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E177" w14:textId="6E92ECEF" w:rsidR="00051696" w:rsidRDefault="00657C5D" w:rsidP="003A0653">
      <w:pPr>
        <w:spacing w:after="480" w:line="240" w:lineRule="auto"/>
        <w:rPr>
          <w:rFonts w:asciiTheme="majorHAnsi" w:eastAsia="Times New Roman" w:hAnsiTheme="majorHAnsi" w:cs="Times New Roman"/>
          <w:b/>
          <w:bCs/>
          <w:kern w:val="28"/>
          <w:sz w:val="36"/>
          <w:szCs w:val="36"/>
          <w:lang w:eastAsia="ja-JP"/>
        </w:rPr>
      </w:pPr>
      <w:r w:rsidRPr="003A0653">
        <w:rPr>
          <w:rFonts w:asciiTheme="majorHAnsi" w:eastAsia="Times New Roman" w:hAnsiTheme="majorHAnsi" w:cs="Times New Roman"/>
          <w:b/>
          <w:bCs/>
          <w:kern w:val="28"/>
          <w:sz w:val="36"/>
          <w:szCs w:val="36"/>
          <w:lang w:eastAsia="ja-JP"/>
        </w:rPr>
        <w:t>State Flexibility White Paper</w:t>
      </w:r>
      <w:r w:rsidR="00953D53">
        <w:rPr>
          <w:rFonts w:asciiTheme="majorHAnsi" w:eastAsia="Times New Roman" w:hAnsiTheme="majorHAnsi" w:cs="Times New Roman"/>
          <w:b/>
          <w:bCs/>
          <w:kern w:val="28"/>
          <w:sz w:val="36"/>
          <w:szCs w:val="36"/>
          <w:lang w:eastAsia="ja-JP"/>
        </w:rPr>
        <w:t xml:space="preserve"> - </w:t>
      </w:r>
      <w:r w:rsidR="00953D53" w:rsidRPr="00953D53">
        <w:rPr>
          <w:rFonts w:asciiTheme="majorHAnsi" w:eastAsia="Times New Roman" w:hAnsiTheme="majorHAnsi" w:cs="Times New Roman"/>
          <w:b/>
          <w:bCs/>
          <w:color w:val="FF0000"/>
          <w:kern w:val="28"/>
          <w:sz w:val="36"/>
          <w:szCs w:val="36"/>
          <w:lang w:eastAsia="ja-JP"/>
        </w:rPr>
        <w:t>Draft</w:t>
      </w:r>
    </w:p>
    <w:p w14:paraId="3FD3EF84" w14:textId="4A3149D2" w:rsidR="003A0653" w:rsidRPr="00051696" w:rsidRDefault="003A0653" w:rsidP="003A0653">
      <w:pPr>
        <w:spacing w:after="480" w:line="240" w:lineRule="auto"/>
        <w:rPr>
          <w:rFonts w:asciiTheme="majorHAnsi" w:eastAsia="Times New Roman" w:hAnsiTheme="majorHAnsi" w:cs="Times New Roman"/>
          <w:b/>
          <w:bCs/>
          <w:kern w:val="28"/>
          <w:sz w:val="36"/>
          <w:szCs w:val="36"/>
          <w:lang w:eastAsia="ja-JP"/>
        </w:rPr>
      </w:pPr>
      <w:r w:rsidRPr="003A0653">
        <w:rPr>
          <w:rFonts w:asciiTheme="majorHAnsi" w:eastAsia="Times New Roman" w:hAnsiTheme="majorHAnsi" w:cs="Times New Roman"/>
          <w:kern w:val="28"/>
          <w:sz w:val="28"/>
          <w:szCs w:val="28"/>
          <w:lang w:eastAsia="ja-JP"/>
        </w:rPr>
        <w:t xml:space="preserve">Compiled by the </w:t>
      </w:r>
      <w:r w:rsidRPr="003A0653">
        <w:rPr>
          <w:rFonts w:asciiTheme="majorHAnsi" w:eastAsia="Aptos" w:hAnsiTheme="majorHAnsi" w:cs="Times New Roman"/>
          <w:kern w:val="2"/>
          <w:sz w:val="28"/>
          <w:szCs w:val="28"/>
          <w14:ligatures w14:val="standardContextual"/>
        </w:rPr>
        <w:t>NAIC Health Innovations (B) Working Group</w:t>
      </w:r>
    </w:p>
    <w:sdt>
      <w:sdtPr>
        <w:rPr>
          <w:rFonts w:asciiTheme="minorHAnsi" w:eastAsiaTheme="minorEastAsia" w:hAnsiTheme="minorHAnsi" w:cstheme="minorBidi"/>
          <w:color w:val="auto"/>
          <w:sz w:val="24"/>
          <w:szCs w:val="24"/>
        </w:rPr>
        <w:id w:val="-648285791"/>
        <w:docPartObj>
          <w:docPartGallery w:val="Table of Contents"/>
          <w:docPartUnique/>
        </w:docPartObj>
      </w:sdtPr>
      <w:sdtEndPr>
        <w:rPr>
          <w:b/>
          <w:bCs/>
          <w:noProof/>
        </w:rPr>
      </w:sdtEndPr>
      <w:sdtContent>
        <w:p w14:paraId="55AD78D0" w14:textId="15C97586" w:rsidR="00775684" w:rsidRDefault="00775684">
          <w:pPr>
            <w:pStyle w:val="TOCHeading"/>
          </w:pPr>
          <w:r>
            <w:t>Contents</w:t>
          </w:r>
        </w:p>
        <w:p w14:paraId="5897BBA6" w14:textId="33F8D414" w:rsidR="005D142A" w:rsidRDefault="00775684">
          <w:pPr>
            <w:pStyle w:val="TOC1"/>
            <w:tabs>
              <w:tab w:val="right" w:leader="dot" w:pos="10070"/>
            </w:tabs>
            <w:rPr>
              <w:b w:val="0"/>
              <w:noProof/>
              <w:kern w:val="2"/>
              <w:lang w:val="en-US"/>
              <w14:ligatures w14:val="standardContextual"/>
            </w:rPr>
          </w:pPr>
          <w:r>
            <w:fldChar w:fldCharType="begin"/>
          </w:r>
          <w:r>
            <w:instrText xml:space="preserve"> TOC \o "1-3" \h \z \u </w:instrText>
          </w:r>
          <w:r>
            <w:fldChar w:fldCharType="separate"/>
          </w:r>
          <w:hyperlink w:anchor="_Toc216861691" w:history="1">
            <w:r w:rsidR="005D142A" w:rsidRPr="00E1522F">
              <w:rPr>
                <w:rStyle w:val="Hyperlink"/>
                <w:rFonts w:eastAsia="Times New Roman"/>
                <w:noProof/>
                <w:lang w:eastAsia="ja-JP"/>
              </w:rPr>
              <w:t>Introduction: State and federal roles in regulating health insurance</w:t>
            </w:r>
            <w:r w:rsidR="005D142A">
              <w:rPr>
                <w:noProof/>
                <w:webHidden/>
              </w:rPr>
              <w:tab/>
            </w:r>
            <w:r w:rsidR="005D142A">
              <w:rPr>
                <w:noProof/>
                <w:webHidden/>
              </w:rPr>
              <w:fldChar w:fldCharType="begin"/>
            </w:r>
            <w:r w:rsidR="005D142A">
              <w:rPr>
                <w:noProof/>
                <w:webHidden/>
              </w:rPr>
              <w:instrText xml:space="preserve"> PAGEREF _Toc216861691 \h </w:instrText>
            </w:r>
            <w:r w:rsidR="005D142A">
              <w:rPr>
                <w:noProof/>
                <w:webHidden/>
              </w:rPr>
            </w:r>
            <w:r w:rsidR="005D142A">
              <w:rPr>
                <w:noProof/>
                <w:webHidden/>
              </w:rPr>
              <w:fldChar w:fldCharType="separate"/>
            </w:r>
            <w:r w:rsidR="005D142A">
              <w:rPr>
                <w:noProof/>
                <w:webHidden/>
              </w:rPr>
              <w:t>2</w:t>
            </w:r>
            <w:r w:rsidR="005D142A">
              <w:rPr>
                <w:noProof/>
                <w:webHidden/>
              </w:rPr>
              <w:fldChar w:fldCharType="end"/>
            </w:r>
          </w:hyperlink>
        </w:p>
        <w:p w14:paraId="5006BBF3" w14:textId="76C33F4F" w:rsidR="005D142A" w:rsidRDefault="005D142A">
          <w:pPr>
            <w:pStyle w:val="TOC1"/>
            <w:tabs>
              <w:tab w:val="right" w:leader="dot" w:pos="10070"/>
            </w:tabs>
            <w:rPr>
              <w:b w:val="0"/>
              <w:noProof/>
              <w:kern w:val="2"/>
              <w:lang w:val="en-US"/>
              <w14:ligatures w14:val="standardContextual"/>
            </w:rPr>
          </w:pPr>
          <w:hyperlink w:anchor="_Toc216861692" w:history="1">
            <w:r w:rsidRPr="00E1522F">
              <w:rPr>
                <w:rStyle w:val="Hyperlink"/>
                <w:rFonts w:eastAsia="Times New Roman"/>
                <w:noProof/>
                <w:lang w:eastAsia="ja-JP"/>
              </w:rPr>
              <w:t>Section 1331 Basic Health Programs</w:t>
            </w:r>
            <w:r>
              <w:rPr>
                <w:noProof/>
                <w:webHidden/>
              </w:rPr>
              <w:tab/>
            </w:r>
            <w:r>
              <w:rPr>
                <w:noProof/>
                <w:webHidden/>
              </w:rPr>
              <w:fldChar w:fldCharType="begin"/>
            </w:r>
            <w:r>
              <w:rPr>
                <w:noProof/>
                <w:webHidden/>
              </w:rPr>
              <w:instrText xml:space="preserve"> PAGEREF _Toc216861692 \h </w:instrText>
            </w:r>
            <w:r>
              <w:rPr>
                <w:noProof/>
                <w:webHidden/>
              </w:rPr>
            </w:r>
            <w:r>
              <w:rPr>
                <w:noProof/>
                <w:webHidden/>
              </w:rPr>
              <w:fldChar w:fldCharType="separate"/>
            </w:r>
            <w:r>
              <w:rPr>
                <w:noProof/>
                <w:webHidden/>
              </w:rPr>
              <w:t>3</w:t>
            </w:r>
            <w:r>
              <w:rPr>
                <w:noProof/>
                <w:webHidden/>
              </w:rPr>
              <w:fldChar w:fldCharType="end"/>
            </w:r>
          </w:hyperlink>
        </w:p>
        <w:p w14:paraId="2D6541A7" w14:textId="06953E04" w:rsidR="005D142A" w:rsidRDefault="005D142A">
          <w:pPr>
            <w:pStyle w:val="TOC2"/>
            <w:tabs>
              <w:tab w:val="right" w:leader="dot" w:pos="10070"/>
            </w:tabs>
            <w:rPr>
              <w:noProof/>
              <w:kern w:val="2"/>
              <w:lang w:val="en-US"/>
              <w14:ligatures w14:val="standardContextual"/>
            </w:rPr>
          </w:pPr>
          <w:hyperlink w:anchor="_Toc216861693" w:history="1">
            <w:r w:rsidRPr="00E1522F">
              <w:rPr>
                <w:rStyle w:val="Hyperlink"/>
                <w:rFonts w:eastAsia="Times New Roman"/>
                <w:noProof/>
                <w:lang w:eastAsia="ja-JP"/>
              </w:rPr>
              <w:t>Population eligible</w:t>
            </w:r>
            <w:r>
              <w:rPr>
                <w:noProof/>
                <w:webHidden/>
              </w:rPr>
              <w:tab/>
            </w:r>
            <w:r>
              <w:rPr>
                <w:noProof/>
                <w:webHidden/>
              </w:rPr>
              <w:fldChar w:fldCharType="begin"/>
            </w:r>
            <w:r>
              <w:rPr>
                <w:noProof/>
                <w:webHidden/>
              </w:rPr>
              <w:instrText xml:space="preserve"> PAGEREF _Toc216861693 \h </w:instrText>
            </w:r>
            <w:r>
              <w:rPr>
                <w:noProof/>
                <w:webHidden/>
              </w:rPr>
            </w:r>
            <w:r>
              <w:rPr>
                <w:noProof/>
                <w:webHidden/>
              </w:rPr>
              <w:fldChar w:fldCharType="separate"/>
            </w:r>
            <w:r>
              <w:rPr>
                <w:noProof/>
                <w:webHidden/>
              </w:rPr>
              <w:t>4</w:t>
            </w:r>
            <w:r>
              <w:rPr>
                <w:noProof/>
                <w:webHidden/>
              </w:rPr>
              <w:fldChar w:fldCharType="end"/>
            </w:r>
          </w:hyperlink>
        </w:p>
        <w:p w14:paraId="20947E7C" w14:textId="058B5744" w:rsidR="005D142A" w:rsidRDefault="005D142A">
          <w:pPr>
            <w:pStyle w:val="TOC2"/>
            <w:tabs>
              <w:tab w:val="right" w:leader="dot" w:pos="10070"/>
            </w:tabs>
            <w:rPr>
              <w:noProof/>
              <w:kern w:val="2"/>
              <w:lang w:val="en-US"/>
              <w14:ligatures w14:val="standardContextual"/>
            </w:rPr>
          </w:pPr>
          <w:hyperlink w:anchor="_Toc216861694" w:history="1">
            <w:r w:rsidRPr="00E1522F">
              <w:rPr>
                <w:rStyle w:val="Hyperlink"/>
                <w:rFonts w:eastAsia="Times New Roman"/>
                <w:noProof/>
                <w:lang w:eastAsia="ja-JP"/>
              </w:rPr>
              <w:t>Summary of federal statute, regulations, and guidance</w:t>
            </w:r>
            <w:r>
              <w:rPr>
                <w:noProof/>
                <w:webHidden/>
              </w:rPr>
              <w:tab/>
            </w:r>
            <w:r>
              <w:rPr>
                <w:noProof/>
                <w:webHidden/>
              </w:rPr>
              <w:fldChar w:fldCharType="begin"/>
            </w:r>
            <w:r>
              <w:rPr>
                <w:noProof/>
                <w:webHidden/>
              </w:rPr>
              <w:instrText xml:space="preserve"> PAGEREF _Toc216861694 \h </w:instrText>
            </w:r>
            <w:r>
              <w:rPr>
                <w:noProof/>
                <w:webHidden/>
              </w:rPr>
            </w:r>
            <w:r>
              <w:rPr>
                <w:noProof/>
                <w:webHidden/>
              </w:rPr>
              <w:fldChar w:fldCharType="separate"/>
            </w:r>
            <w:r>
              <w:rPr>
                <w:noProof/>
                <w:webHidden/>
              </w:rPr>
              <w:t>4</w:t>
            </w:r>
            <w:r>
              <w:rPr>
                <w:noProof/>
                <w:webHidden/>
              </w:rPr>
              <w:fldChar w:fldCharType="end"/>
            </w:r>
          </w:hyperlink>
        </w:p>
        <w:p w14:paraId="7BC51437" w14:textId="78C55190" w:rsidR="005D142A" w:rsidRDefault="005D142A">
          <w:pPr>
            <w:pStyle w:val="TOC2"/>
            <w:tabs>
              <w:tab w:val="right" w:leader="dot" w:pos="10070"/>
            </w:tabs>
            <w:rPr>
              <w:noProof/>
              <w:kern w:val="2"/>
              <w:lang w:val="en-US"/>
              <w14:ligatures w14:val="standardContextual"/>
            </w:rPr>
          </w:pPr>
          <w:hyperlink w:anchor="_Toc216861695" w:history="1">
            <w:r w:rsidRPr="00E1522F">
              <w:rPr>
                <w:rStyle w:val="Hyperlink"/>
                <w:rFonts w:eastAsia="Times New Roman"/>
                <w:noProof/>
                <w:lang w:eastAsia="ja-JP"/>
              </w:rPr>
              <w:t>State experiences</w:t>
            </w:r>
            <w:r>
              <w:rPr>
                <w:noProof/>
                <w:webHidden/>
              </w:rPr>
              <w:tab/>
            </w:r>
            <w:r>
              <w:rPr>
                <w:noProof/>
                <w:webHidden/>
              </w:rPr>
              <w:fldChar w:fldCharType="begin"/>
            </w:r>
            <w:r>
              <w:rPr>
                <w:noProof/>
                <w:webHidden/>
              </w:rPr>
              <w:instrText xml:space="preserve"> PAGEREF _Toc216861695 \h </w:instrText>
            </w:r>
            <w:r>
              <w:rPr>
                <w:noProof/>
                <w:webHidden/>
              </w:rPr>
            </w:r>
            <w:r>
              <w:rPr>
                <w:noProof/>
                <w:webHidden/>
              </w:rPr>
              <w:fldChar w:fldCharType="separate"/>
            </w:r>
            <w:r>
              <w:rPr>
                <w:noProof/>
                <w:webHidden/>
              </w:rPr>
              <w:t>5</w:t>
            </w:r>
            <w:r>
              <w:rPr>
                <w:noProof/>
                <w:webHidden/>
              </w:rPr>
              <w:fldChar w:fldCharType="end"/>
            </w:r>
          </w:hyperlink>
        </w:p>
        <w:p w14:paraId="52A57286" w14:textId="07D211BC" w:rsidR="005D142A" w:rsidRDefault="005D142A">
          <w:pPr>
            <w:pStyle w:val="TOC3"/>
            <w:tabs>
              <w:tab w:val="right" w:leader="dot" w:pos="10070"/>
            </w:tabs>
            <w:rPr>
              <w:noProof/>
              <w:kern w:val="2"/>
              <w:lang w:val="en-US"/>
              <w14:ligatures w14:val="standardContextual"/>
            </w:rPr>
          </w:pPr>
          <w:hyperlink w:anchor="_Toc216861696" w:history="1">
            <w:r w:rsidRPr="00E1522F">
              <w:rPr>
                <w:rStyle w:val="Hyperlink"/>
                <w:rFonts w:eastAsia="Cambria"/>
                <w:noProof/>
              </w:rPr>
              <w:t>Minnesota</w:t>
            </w:r>
            <w:r>
              <w:rPr>
                <w:noProof/>
                <w:webHidden/>
              </w:rPr>
              <w:tab/>
            </w:r>
            <w:r>
              <w:rPr>
                <w:noProof/>
                <w:webHidden/>
              </w:rPr>
              <w:fldChar w:fldCharType="begin"/>
            </w:r>
            <w:r>
              <w:rPr>
                <w:noProof/>
                <w:webHidden/>
              </w:rPr>
              <w:instrText xml:space="preserve"> PAGEREF _Toc216861696 \h </w:instrText>
            </w:r>
            <w:r>
              <w:rPr>
                <w:noProof/>
                <w:webHidden/>
              </w:rPr>
            </w:r>
            <w:r>
              <w:rPr>
                <w:noProof/>
                <w:webHidden/>
              </w:rPr>
              <w:fldChar w:fldCharType="separate"/>
            </w:r>
            <w:r>
              <w:rPr>
                <w:noProof/>
                <w:webHidden/>
              </w:rPr>
              <w:t>5</w:t>
            </w:r>
            <w:r>
              <w:rPr>
                <w:noProof/>
                <w:webHidden/>
              </w:rPr>
              <w:fldChar w:fldCharType="end"/>
            </w:r>
          </w:hyperlink>
        </w:p>
        <w:p w14:paraId="302751ED" w14:textId="74886EDD" w:rsidR="005D142A" w:rsidRDefault="005D142A">
          <w:pPr>
            <w:pStyle w:val="TOC3"/>
            <w:tabs>
              <w:tab w:val="right" w:leader="dot" w:pos="10070"/>
            </w:tabs>
            <w:rPr>
              <w:noProof/>
              <w:kern w:val="2"/>
              <w:lang w:val="en-US"/>
              <w14:ligatures w14:val="standardContextual"/>
            </w:rPr>
          </w:pPr>
          <w:hyperlink w:anchor="_Toc216861697" w:history="1">
            <w:r w:rsidRPr="00E1522F">
              <w:rPr>
                <w:rStyle w:val="Hyperlink"/>
                <w:rFonts w:eastAsia="Times New Roman"/>
                <w:noProof/>
                <w:lang w:eastAsia="ja-JP"/>
              </w:rPr>
              <w:t>New York</w:t>
            </w:r>
            <w:r>
              <w:rPr>
                <w:noProof/>
                <w:webHidden/>
              </w:rPr>
              <w:tab/>
            </w:r>
            <w:r>
              <w:rPr>
                <w:noProof/>
                <w:webHidden/>
              </w:rPr>
              <w:fldChar w:fldCharType="begin"/>
            </w:r>
            <w:r>
              <w:rPr>
                <w:noProof/>
                <w:webHidden/>
              </w:rPr>
              <w:instrText xml:space="preserve"> PAGEREF _Toc216861697 \h </w:instrText>
            </w:r>
            <w:r>
              <w:rPr>
                <w:noProof/>
                <w:webHidden/>
              </w:rPr>
            </w:r>
            <w:r>
              <w:rPr>
                <w:noProof/>
                <w:webHidden/>
              </w:rPr>
              <w:fldChar w:fldCharType="separate"/>
            </w:r>
            <w:r>
              <w:rPr>
                <w:noProof/>
                <w:webHidden/>
              </w:rPr>
              <w:t>6</w:t>
            </w:r>
            <w:r>
              <w:rPr>
                <w:noProof/>
                <w:webHidden/>
              </w:rPr>
              <w:fldChar w:fldCharType="end"/>
            </w:r>
          </w:hyperlink>
        </w:p>
        <w:p w14:paraId="6F7EC35E" w14:textId="1E132C4D" w:rsidR="005D142A" w:rsidRDefault="005D142A">
          <w:pPr>
            <w:pStyle w:val="TOC3"/>
            <w:tabs>
              <w:tab w:val="right" w:leader="dot" w:pos="10070"/>
            </w:tabs>
            <w:rPr>
              <w:noProof/>
              <w:kern w:val="2"/>
              <w:lang w:val="en-US"/>
              <w14:ligatures w14:val="standardContextual"/>
            </w:rPr>
          </w:pPr>
          <w:hyperlink w:anchor="_Toc216861698" w:history="1">
            <w:r w:rsidRPr="00E1522F">
              <w:rPr>
                <w:rStyle w:val="Hyperlink"/>
                <w:rFonts w:eastAsia="Times New Roman"/>
                <w:noProof/>
                <w:lang w:eastAsia="ja-JP"/>
              </w:rPr>
              <w:t>Oregon</w:t>
            </w:r>
            <w:r>
              <w:rPr>
                <w:noProof/>
                <w:webHidden/>
              </w:rPr>
              <w:tab/>
            </w:r>
            <w:r>
              <w:rPr>
                <w:noProof/>
                <w:webHidden/>
              </w:rPr>
              <w:fldChar w:fldCharType="begin"/>
            </w:r>
            <w:r>
              <w:rPr>
                <w:noProof/>
                <w:webHidden/>
              </w:rPr>
              <w:instrText xml:space="preserve"> PAGEREF _Toc216861698 \h </w:instrText>
            </w:r>
            <w:r>
              <w:rPr>
                <w:noProof/>
                <w:webHidden/>
              </w:rPr>
            </w:r>
            <w:r>
              <w:rPr>
                <w:noProof/>
                <w:webHidden/>
              </w:rPr>
              <w:fldChar w:fldCharType="separate"/>
            </w:r>
            <w:r>
              <w:rPr>
                <w:noProof/>
                <w:webHidden/>
              </w:rPr>
              <w:t>7</w:t>
            </w:r>
            <w:r>
              <w:rPr>
                <w:noProof/>
                <w:webHidden/>
              </w:rPr>
              <w:fldChar w:fldCharType="end"/>
            </w:r>
          </w:hyperlink>
        </w:p>
        <w:p w14:paraId="6D19D7EB" w14:textId="2497E18C" w:rsidR="005D142A" w:rsidRDefault="005D142A">
          <w:pPr>
            <w:pStyle w:val="TOC3"/>
            <w:tabs>
              <w:tab w:val="right" w:leader="dot" w:pos="10070"/>
            </w:tabs>
            <w:rPr>
              <w:noProof/>
              <w:kern w:val="2"/>
              <w:lang w:val="en-US"/>
              <w14:ligatures w14:val="standardContextual"/>
            </w:rPr>
          </w:pPr>
          <w:hyperlink w:anchor="_Toc216861699" w:history="1">
            <w:r w:rsidRPr="00E1522F">
              <w:rPr>
                <w:rStyle w:val="Hyperlink"/>
                <w:rFonts w:eastAsia="Times New Roman"/>
                <w:noProof/>
                <w:lang w:eastAsia="ja-JP"/>
              </w:rPr>
              <w:t>District of Columbia</w:t>
            </w:r>
            <w:r>
              <w:rPr>
                <w:noProof/>
                <w:webHidden/>
              </w:rPr>
              <w:tab/>
            </w:r>
            <w:r>
              <w:rPr>
                <w:noProof/>
                <w:webHidden/>
              </w:rPr>
              <w:fldChar w:fldCharType="begin"/>
            </w:r>
            <w:r>
              <w:rPr>
                <w:noProof/>
                <w:webHidden/>
              </w:rPr>
              <w:instrText xml:space="preserve"> PAGEREF _Toc216861699 \h </w:instrText>
            </w:r>
            <w:r>
              <w:rPr>
                <w:noProof/>
                <w:webHidden/>
              </w:rPr>
            </w:r>
            <w:r>
              <w:rPr>
                <w:noProof/>
                <w:webHidden/>
              </w:rPr>
              <w:fldChar w:fldCharType="separate"/>
            </w:r>
            <w:r>
              <w:rPr>
                <w:noProof/>
                <w:webHidden/>
              </w:rPr>
              <w:t>8</w:t>
            </w:r>
            <w:r>
              <w:rPr>
                <w:noProof/>
                <w:webHidden/>
              </w:rPr>
              <w:fldChar w:fldCharType="end"/>
            </w:r>
          </w:hyperlink>
        </w:p>
        <w:p w14:paraId="137D4C6F" w14:textId="32E26444" w:rsidR="005D142A" w:rsidRDefault="005D142A">
          <w:pPr>
            <w:pStyle w:val="TOC2"/>
            <w:tabs>
              <w:tab w:val="right" w:leader="dot" w:pos="10070"/>
            </w:tabs>
            <w:rPr>
              <w:noProof/>
              <w:kern w:val="2"/>
              <w:lang w:val="en-US"/>
              <w14:ligatures w14:val="standardContextual"/>
            </w:rPr>
          </w:pPr>
          <w:hyperlink w:anchor="_Toc216861700" w:history="1">
            <w:r w:rsidRPr="00E1522F">
              <w:rPr>
                <w:rStyle w:val="Hyperlink"/>
                <w:rFonts w:eastAsia="Times New Roman"/>
                <w:noProof/>
                <w:lang w:eastAsia="ja-JP"/>
              </w:rPr>
              <w:t>Considerations for consumers, states, and insurance markets</w:t>
            </w:r>
            <w:r>
              <w:rPr>
                <w:noProof/>
                <w:webHidden/>
              </w:rPr>
              <w:tab/>
            </w:r>
            <w:r>
              <w:rPr>
                <w:noProof/>
                <w:webHidden/>
              </w:rPr>
              <w:fldChar w:fldCharType="begin"/>
            </w:r>
            <w:r>
              <w:rPr>
                <w:noProof/>
                <w:webHidden/>
              </w:rPr>
              <w:instrText xml:space="preserve"> PAGEREF _Toc216861700 \h </w:instrText>
            </w:r>
            <w:r>
              <w:rPr>
                <w:noProof/>
                <w:webHidden/>
              </w:rPr>
            </w:r>
            <w:r>
              <w:rPr>
                <w:noProof/>
                <w:webHidden/>
              </w:rPr>
              <w:fldChar w:fldCharType="separate"/>
            </w:r>
            <w:r>
              <w:rPr>
                <w:noProof/>
                <w:webHidden/>
              </w:rPr>
              <w:t>8</w:t>
            </w:r>
            <w:r>
              <w:rPr>
                <w:noProof/>
                <w:webHidden/>
              </w:rPr>
              <w:fldChar w:fldCharType="end"/>
            </w:r>
          </w:hyperlink>
        </w:p>
        <w:p w14:paraId="48E9EDC1" w14:textId="11854CB0" w:rsidR="005D142A" w:rsidRDefault="005D142A">
          <w:pPr>
            <w:pStyle w:val="TOC3"/>
            <w:tabs>
              <w:tab w:val="right" w:leader="dot" w:pos="10070"/>
            </w:tabs>
            <w:rPr>
              <w:noProof/>
              <w:kern w:val="2"/>
              <w:lang w:val="en-US"/>
              <w14:ligatures w14:val="standardContextual"/>
            </w:rPr>
          </w:pPr>
          <w:hyperlink w:anchor="_Toc216861701" w:history="1">
            <w:r w:rsidRPr="00E1522F">
              <w:rPr>
                <w:rStyle w:val="Hyperlink"/>
                <w:rFonts w:eastAsia="Times New Roman"/>
                <w:noProof/>
                <w:lang w:eastAsia="ja-JP"/>
              </w:rPr>
              <w:t>Consumer coverage impacts</w:t>
            </w:r>
            <w:r>
              <w:rPr>
                <w:noProof/>
                <w:webHidden/>
              </w:rPr>
              <w:tab/>
            </w:r>
            <w:r>
              <w:rPr>
                <w:noProof/>
                <w:webHidden/>
              </w:rPr>
              <w:fldChar w:fldCharType="begin"/>
            </w:r>
            <w:r>
              <w:rPr>
                <w:noProof/>
                <w:webHidden/>
              </w:rPr>
              <w:instrText xml:space="preserve"> PAGEREF _Toc216861701 \h </w:instrText>
            </w:r>
            <w:r>
              <w:rPr>
                <w:noProof/>
                <w:webHidden/>
              </w:rPr>
            </w:r>
            <w:r>
              <w:rPr>
                <w:noProof/>
                <w:webHidden/>
              </w:rPr>
              <w:fldChar w:fldCharType="separate"/>
            </w:r>
            <w:r>
              <w:rPr>
                <w:noProof/>
                <w:webHidden/>
              </w:rPr>
              <w:t>8</w:t>
            </w:r>
            <w:r>
              <w:rPr>
                <w:noProof/>
                <w:webHidden/>
              </w:rPr>
              <w:fldChar w:fldCharType="end"/>
            </w:r>
          </w:hyperlink>
        </w:p>
        <w:p w14:paraId="5152DE21" w14:textId="264C6B81" w:rsidR="005D142A" w:rsidRDefault="005D142A">
          <w:pPr>
            <w:pStyle w:val="TOC3"/>
            <w:tabs>
              <w:tab w:val="right" w:leader="dot" w:pos="10070"/>
            </w:tabs>
            <w:rPr>
              <w:noProof/>
              <w:kern w:val="2"/>
              <w:lang w:val="en-US"/>
              <w14:ligatures w14:val="standardContextual"/>
            </w:rPr>
          </w:pPr>
          <w:hyperlink w:anchor="_Toc216861702" w:history="1">
            <w:r w:rsidRPr="00E1522F">
              <w:rPr>
                <w:rStyle w:val="Hyperlink"/>
                <w:rFonts w:eastAsia="Times New Roman"/>
                <w:noProof/>
                <w:lang w:eastAsia="ja-JP"/>
              </w:rPr>
              <w:t>State considerations</w:t>
            </w:r>
            <w:r>
              <w:rPr>
                <w:noProof/>
                <w:webHidden/>
              </w:rPr>
              <w:tab/>
            </w:r>
            <w:r>
              <w:rPr>
                <w:noProof/>
                <w:webHidden/>
              </w:rPr>
              <w:fldChar w:fldCharType="begin"/>
            </w:r>
            <w:r>
              <w:rPr>
                <w:noProof/>
                <w:webHidden/>
              </w:rPr>
              <w:instrText xml:space="preserve"> PAGEREF _Toc216861702 \h </w:instrText>
            </w:r>
            <w:r>
              <w:rPr>
                <w:noProof/>
                <w:webHidden/>
              </w:rPr>
            </w:r>
            <w:r>
              <w:rPr>
                <w:noProof/>
                <w:webHidden/>
              </w:rPr>
              <w:fldChar w:fldCharType="separate"/>
            </w:r>
            <w:r>
              <w:rPr>
                <w:noProof/>
                <w:webHidden/>
              </w:rPr>
              <w:t>9</w:t>
            </w:r>
            <w:r>
              <w:rPr>
                <w:noProof/>
                <w:webHidden/>
              </w:rPr>
              <w:fldChar w:fldCharType="end"/>
            </w:r>
          </w:hyperlink>
        </w:p>
        <w:p w14:paraId="732069BB" w14:textId="0EAB8411" w:rsidR="005D142A" w:rsidRDefault="005D142A">
          <w:pPr>
            <w:pStyle w:val="TOC1"/>
            <w:tabs>
              <w:tab w:val="right" w:leader="dot" w:pos="10070"/>
            </w:tabs>
            <w:rPr>
              <w:b w:val="0"/>
              <w:noProof/>
              <w:kern w:val="2"/>
              <w:lang w:val="en-US"/>
              <w14:ligatures w14:val="standardContextual"/>
            </w:rPr>
          </w:pPr>
          <w:hyperlink w:anchor="_Toc216861703" w:history="1">
            <w:r w:rsidRPr="00E1522F">
              <w:rPr>
                <w:rStyle w:val="Hyperlink"/>
                <w:rFonts w:eastAsia="Times New Roman"/>
                <w:noProof/>
                <w:lang w:eastAsia="ja-JP"/>
              </w:rPr>
              <w:t>Section 1332 State Innovations Waivers</w:t>
            </w:r>
            <w:r>
              <w:rPr>
                <w:noProof/>
                <w:webHidden/>
              </w:rPr>
              <w:tab/>
            </w:r>
            <w:r>
              <w:rPr>
                <w:noProof/>
                <w:webHidden/>
              </w:rPr>
              <w:fldChar w:fldCharType="begin"/>
            </w:r>
            <w:r>
              <w:rPr>
                <w:noProof/>
                <w:webHidden/>
              </w:rPr>
              <w:instrText xml:space="preserve"> PAGEREF _Toc216861703 \h </w:instrText>
            </w:r>
            <w:r>
              <w:rPr>
                <w:noProof/>
                <w:webHidden/>
              </w:rPr>
            </w:r>
            <w:r>
              <w:rPr>
                <w:noProof/>
                <w:webHidden/>
              </w:rPr>
              <w:fldChar w:fldCharType="separate"/>
            </w:r>
            <w:r>
              <w:rPr>
                <w:noProof/>
                <w:webHidden/>
              </w:rPr>
              <w:t>11</w:t>
            </w:r>
            <w:r>
              <w:rPr>
                <w:noProof/>
                <w:webHidden/>
              </w:rPr>
              <w:fldChar w:fldCharType="end"/>
            </w:r>
          </w:hyperlink>
        </w:p>
        <w:p w14:paraId="3D8531A8" w14:textId="5417201D" w:rsidR="005D142A" w:rsidRDefault="005D142A">
          <w:pPr>
            <w:pStyle w:val="TOC2"/>
            <w:tabs>
              <w:tab w:val="right" w:leader="dot" w:pos="10070"/>
            </w:tabs>
            <w:rPr>
              <w:noProof/>
              <w:kern w:val="2"/>
              <w:lang w:val="en-US"/>
              <w14:ligatures w14:val="standardContextual"/>
            </w:rPr>
          </w:pPr>
          <w:hyperlink w:anchor="_Toc216861704" w:history="1">
            <w:r w:rsidRPr="00E1522F">
              <w:rPr>
                <w:rStyle w:val="Hyperlink"/>
                <w:rFonts w:eastAsia="Times New Roman"/>
                <w:noProof/>
                <w:lang w:eastAsia="ja-JP"/>
              </w:rPr>
              <w:t>Summary of statute, regulations, and guidance</w:t>
            </w:r>
            <w:r>
              <w:rPr>
                <w:noProof/>
                <w:webHidden/>
              </w:rPr>
              <w:tab/>
            </w:r>
            <w:r>
              <w:rPr>
                <w:noProof/>
                <w:webHidden/>
              </w:rPr>
              <w:fldChar w:fldCharType="begin"/>
            </w:r>
            <w:r>
              <w:rPr>
                <w:noProof/>
                <w:webHidden/>
              </w:rPr>
              <w:instrText xml:space="preserve"> PAGEREF _Toc216861704 \h </w:instrText>
            </w:r>
            <w:r>
              <w:rPr>
                <w:noProof/>
                <w:webHidden/>
              </w:rPr>
            </w:r>
            <w:r>
              <w:rPr>
                <w:noProof/>
                <w:webHidden/>
              </w:rPr>
              <w:fldChar w:fldCharType="separate"/>
            </w:r>
            <w:r>
              <w:rPr>
                <w:noProof/>
                <w:webHidden/>
              </w:rPr>
              <w:t>11</w:t>
            </w:r>
            <w:r>
              <w:rPr>
                <w:noProof/>
                <w:webHidden/>
              </w:rPr>
              <w:fldChar w:fldCharType="end"/>
            </w:r>
          </w:hyperlink>
        </w:p>
        <w:p w14:paraId="39CEC449" w14:textId="7A31D4A4" w:rsidR="005D142A" w:rsidRDefault="005D142A">
          <w:pPr>
            <w:pStyle w:val="TOC2"/>
            <w:tabs>
              <w:tab w:val="right" w:leader="dot" w:pos="10070"/>
            </w:tabs>
            <w:rPr>
              <w:noProof/>
              <w:kern w:val="2"/>
              <w:lang w:val="en-US"/>
              <w14:ligatures w14:val="standardContextual"/>
            </w:rPr>
          </w:pPr>
          <w:hyperlink w:anchor="_Toc216861705" w:history="1">
            <w:r w:rsidRPr="00E1522F">
              <w:rPr>
                <w:rStyle w:val="Hyperlink"/>
                <w:rFonts w:eastAsia="Times New Roman"/>
                <w:noProof/>
                <w:lang w:eastAsia="ja-JP"/>
              </w:rPr>
              <w:t>Guardrails and the limitations they introduce</w:t>
            </w:r>
            <w:r>
              <w:rPr>
                <w:noProof/>
                <w:webHidden/>
              </w:rPr>
              <w:tab/>
            </w:r>
            <w:r>
              <w:rPr>
                <w:noProof/>
                <w:webHidden/>
              </w:rPr>
              <w:fldChar w:fldCharType="begin"/>
            </w:r>
            <w:r>
              <w:rPr>
                <w:noProof/>
                <w:webHidden/>
              </w:rPr>
              <w:instrText xml:space="preserve"> PAGEREF _Toc216861705 \h </w:instrText>
            </w:r>
            <w:r>
              <w:rPr>
                <w:noProof/>
                <w:webHidden/>
              </w:rPr>
            </w:r>
            <w:r>
              <w:rPr>
                <w:noProof/>
                <w:webHidden/>
              </w:rPr>
              <w:fldChar w:fldCharType="separate"/>
            </w:r>
            <w:r>
              <w:rPr>
                <w:noProof/>
                <w:webHidden/>
              </w:rPr>
              <w:t>12</w:t>
            </w:r>
            <w:r>
              <w:rPr>
                <w:noProof/>
                <w:webHidden/>
              </w:rPr>
              <w:fldChar w:fldCharType="end"/>
            </w:r>
          </w:hyperlink>
        </w:p>
        <w:p w14:paraId="4C4CFE95" w14:textId="7354D93E" w:rsidR="005D142A" w:rsidRDefault="005D142A">
          <w:pPr>
            <w:pStyle w:val="TOC2"/>
            <w:tabs>
              <w:tab w:val="right" w:leader="dot" w:pos="10070"/>
            </w:tabs>
            <w:rPr>
              <w:noProof/>
              <w:kern w:val="2"/>
              <w:lang w:val="en-US"/>
              <w14:ligatures w14:val="standardContextual"/>
            </w:rPr>
          </w:pPr>
          <w:hyperlink w:anchor="_Toc216861706" w:history="1">
            <w:r w:rsidRPr="00E1522F">
              <w:rPr>
                <w:rStyle w:val="Hyperlink"/>
                <w:rFonts w:eastAsia="Times New Roman"/>
                <w:noProof/>
                <w:lang w:eastAsia="ja-JP"/>
              </w:rPr>
              <w:t>State experiences</w:t>
            </w:r>
            <w:r>
              <w:rPr>
                <w:noProof/>
                <w:webHidden/>
              </w:rPr>
              <w:tab/>
            </w:r>
            <w:r>
              <w:rPr>
                <w:noProof/>
                <w:webHidden/>
              </w:rPr>
              <w:fldChar w:fldCharType="begin"/>
            </w:r>
            <w:r>
              <w:rPr>
                <w:noProof/>
                <w:webHidden/>
              </w:rPr>
              <w:instrText xml:space="preserve"> PAGEREF _Toc216861706 \h </w:instrText>
            </w:r>
            <w:r>
              <w:rPr>
                <w:noProof/>
                <w:webHidden/>
              </w:rPr>
            </w:r>
            <w:r>
              <w:rPr>
                <w:noProof/>
                <w:webHidden/>
              </w:rPr>
              <w:fldChar w:fldCharType="separate"/>
            </w:r>
            <w:r>
              <w:rPr>
                <w:noProof/>
                <w:webHidden/>
              </w:rPr>
              <w:t>12</w:t>
            </w:r>
            <w:r>
              <w:rPr>
                <w:noProof/>
                <w:webHidden/>
              </w:rPr>
              <w:fldChar w:fldCharType="end"/>
            </w:r>
          </w:hyperlink>
        </w:p>
        <w:p w14:paraId="40CF80B5" w14:textId="5A7B4F75" w:rsidR="005D142A" w:rsidRDefault="005D142A">
          <w:pPr>
            <w:pStyle w:val="TOC3"/>
            <w:tabs>
              <w:tab w:val="right" w:leader="dot" w:pos="10070"/>
            </w:tabs>
            <w:rPr>
              <w:noProof/>
              <w:kern w:val="2"/>
              <w:lang w:val="en-US"/>
              <w14:ligatures w14:val="standardContextual"/>
            </w:rPr>
          </w:pPr>
          <w:hyperlink w:anchor="_Toc216861707" w:history="1">
            <w:r w:rsidRPr="00E1522F">
              <w:rPr>
                <w:rStyle w:val="Hyperlink"/>
                <w:rFonts w:eastAsia="Times New Roman"/>
                <w:noProof/>
                <w:lang w:eastAsia="ja-JP"/>
              </w:rPr>
              <w:t>Reinsurance waivers and related state choices</w:t>
            </w:r>
            <w:r>
              <w:rPr>
                <w:noProof/>
                <w:webHidden/>
              </w:rPr>
              <w:tab/>
            </w:r>
            <w:r>
              <w:rPr>
                <w:noProof/>
                <w:webHidden/>
              </w:rPr>
              <w:fldChar w:fldCharType="begin"/>
            </w:r>
            <w:r>
              <w:rPr>
                <w:noProof/>
                <w:webHidden/>
              </w:rPr>
              <w:instrText xml:space="preserve"> PAGEREF _Toc216861707 \h </w:instrText>
            </w:r>
            <w:r>
              <w:rPr>
                <w:noProof/>
                <w:webHidden/>
              </w:rPr>
            </w:r>
            <w:r>
              <w:rPr>
                <w:noProof/>
                <w:webHidden/>
              </w:rPr>
              <w:fldChar w:fldCharType="separate"/>
            </w:r>
            <w:r>
              <w:rPr>
                <w:noProof/>
                <w:webHidden/>
              </w:rPr>
              <w:t>13</w:t>
            </w:r>
            <w:r>
              <w:rPr>
                <w:noProof/>
                <w:webHidden/>
              </w:rPr>
              <w:fldChar w:fldCharType="end"/>
            </w:r>
          </w:hyperlink>
        </w:p>
        <w:p w14:paraId="73896CC7" w14:textId="7CE7C1BB" w:rsidR="005D142A" w:rsidRDefault="005D142A">
          <w:pPr>
            <w:pStyle w:val="TOC3"/>
            <w:tabs>
              <w:tab w:val="right" w:leader="dot" w:pos="10070"/>
            </w:tabs>
            <w:rPr>
              <w:noProof/>
              <w:kern w:val="2"/>
              <w:lang w:val="en-US"/>
              <w14:ligatures w14:val="standardContextual"/>
            </w:rPr>
          </w:pPr>
          <w:hyperlink w:anchor="_Toc216861708" w:history="1">
            <w:r w:rsidRPr="00E1522F">
              <w:rPr>
                <w:rStyle w:val="Hyperlink"/>
                <w:rFonts w:eastAsia="Times New Roman"/>
                <w:noProof/>
                <w:lang w:eastAsia="ja-JP"/>
              </w:rPr>
              <w:t>Other Approved 1332 Waivers</w:t>
            </w:r>
            <w:r>
              <w:rPr>
                <w:noProof/>
                <w:webHidden/>
              </w:rPr>
              <w:tab/>
            </w:r>
            <w:r>
              <w:rPr>
                <w:noProof/>
                <w:webHidden/>
              </w:rPr>
              <w:fldChar w:fldCharType="begin"/>
            </w:r>
            <w:r>
              <w:rPr>
                <w:noProof/>
                <w:webHidden/>
              </w:rPr>
              <w:instrText xml:space="preserve"> PAGEREF _Toc216861708 \h </w:instrText>
            </w:r>
            <w:r>
              <w:rPr>
                <w:noProof/>
                <w:webHidden/>
              </w:rPr>
            </w:r>
            <w:r>
              <w:rPr>
                <w:noProof/>
                <w:webHidden/>
              </w:rPr>
              <w:fldChar w:fldCharType="separate"/>
            </w:r>
            <w:r>
              <w:rPr>
                <w:noProof/>
                <w:webHidden/>
              </w:rPr>
              <w:t>14</w:t>
            </w:r>
            <w:r>
              <w:rPr>
                <w:noProof/>
                <w:webHidden/>
              </w:rPr>
              <w:fldChar w:fldCharType="end"/>
            </w:r>
          </w:hyperlink>
        </w:p>
        <w:p w14:paraId="7A1F0401" w14:textId="3BAC97BD" w:rsidR="005D142A" w:rsidRDefault="005D142A">
          <w:pPr>
            <w:pStyle w:val="TOC3"/>
            <w:tabs>
              <w:tab w:val="right" w:leader="dot" w:pos="10070"/>
            </w:tabs>
            <w:rPr>
              <w:noProof/>
              <w:kern w:val="2"/>
              <w:lang w:val="en-US"/>
              <w14:ligatures w14:val="standardContextual"/>
            </w:rPr>
          </w:pPr>
          <w:hyperlink w:anchor="_Toc216861709" w:history="1">
            <w:r w:rsidRPr="00E1522F">
              <w:rPr>
                <w:rStyle w:val="Hyperlink"/>
                <w:rFonts w:eastAsia="Times New Roman"/>
                <w:noProof/>
                <w:lang w:eastAsia="ja-JP"/>
              </w:rPr>
              <w:t>Waivers Applied for But Not Approved</w:t>
            </w:r>
            <w:r>
              <w:rPr>
                <w:noProof/>
                <w:webHidden/>
              </w:rPr>
              <w:tab/>
            </w:r>
            <w:r>
              <w:rPr>
                <w:noProof/>
                <w:webHidden/>
              </w:rPr>
              <w:fldChar w:fldCharType="begin"/>
            </w:r>
            <w:r>
              <w:rPr>
                <w:noProof/>
                <w:webHidden/>
              </w:rPr>
              <w:instrText xml:space="preserve"> PAGEREF _Toc216861709 \h </w:instrText>
            </w:r>
            <w:r>
              <w:rPr>
                <w:noProof/>
                <w:webHidden/>
              </w:rPr>
            </w:r>
            <w:r>
              <w:rPr>
                <w:noProof/>
                <w:webHidden/>
              </w:rPr>
              <w:fldChar w:fldCharType="separate"/>
            </w:r>
            <w:r>
              <w:rPr>
                <w:noProof/>
                <w:webHidden/>
              </w:rPr>
              <w:t>15</w:t>
            </w:r>
            <w:r>
              <w:rPr>
                <w:noProof/>
                <w:webHidden/>
              </w:rPr>
              <w:fldChar w:fldCharType="end"/>
            </w:r>
          </w:hyperlink>
        </w:p>
        <w:p w14:paraId="12E981FE" w14:textId="048C2BD3" w:rsidR="005D142A" w:rsidRDefault="005D142A">
          <w:pPr>
            <w:pStyle w:val="TOC2"/>
            <w:tabs>
              <w:tab w:val="right" w:leader="dot" w:pos="10070"/>
            </w:tabs>
            <w:rPr>
              <w:noProof/>
              <w:kern w:val="2"/>
              <w:lang w:val="en-US"/>
              <w14:ligatures w14:val="standardContextual"/>
            </w:rPr>
          </w:pPr>
          <w:hyperlink w:anchor="_Toc216861710" w:history="1">
            <w:r w:rsidRPr="00E1522F">
              <w:rPr>
                <w:rStyle w:val="Hyperlink"/>
                <w:rFonts w:eastAsia="Times New Roman"/>
                <w:noProof/>
                <w:lang w:eastAsia="ja-JP"/>
              </w:rPr>
              <w:t>Considerations for consumers, states, and insurance markets</w:t>
            </w:r>
            <w:r>
              <w:rPr>
                <w:noProof/>
                <w:webHidden/>
              </w:rPr>
              <w:tab/>
            </w:r>
            <w:r>
              <w:rPr>
                <w:noProof/>
                <w:webHidden/>
              </w:rPr>
              <w:fldChar w:fldCharType="begin"/>
            </w:r>
            <w:r>
              <w:rPr>
                <w:noProof/>
                <w:webHidden/>
              </w:rPr>
              <w:instrText xml:space="preserve"> PAGEREF _Toc216861710 \h </w:instrText>
            </w:r>
            <w:r>
              <w:rPr>
                <w:noProof/>
                <w:webHidden/>
              </w:rPr>
            </w:r>
            <w:r>
              <w:rPr>
                <w:noProof/>
                <w:webHidden/>
              </w:rPr>
              <w:fldChar w:fldCharType="separate"/>
            </w:r>
            <w:r>
              <w:rPr>
                <w:noProof/>
                <w:webHidden/>
              </w:rPr>
              <w:t>16</w:t>
            </w:r>
            <w:r>
              <w:rPr>
                <w:noProof/>
                <w:webHidden/>
              </w:rPr>
              <w:fldChar w:fldCharType="end"/>
            </w:r>
          </w:hyperlink>
        </w:p>
        <w:p w14:paraId="232CA8D8" w14:textId="2E69D016" w:rsidR="005D142A" w:rsidRDefault="005D142A">
          <w:pPr>
            <w:pStyle w:val="TOC3"/>
            <w:tabs>
              <w:tab w:val="right" w:leader="dot" w:pos="10070"/>
            </w:tabs>
            <w:rPr>
              <w:noProof/>
              <w:kern w:val="2"/>
              <w:lang w:val="en-US"/>
              <w14:ligatures w14:val="standardContextual"/>
            </w:rPr>
          </w:pPr>
          <w:hyperlink w:anchor="_Toc216861711" w:history="1">
            <w:r w:rsidRPr="00E1522F">
              <w:rPr>
                <w:rStyle w:val="Hyperlink"/>
                <w:rFonts w:eastAsia="Times New Roman"/>
                <w:noProof/>
                <w:lang w:eastAsia="ja-JP"/>
              </w:rPr>
              <w:t>Reinsurance</w:t>
            </w:r>
            <w:r>
              <w:rPr>
                <w:noProof/>
                <w:webHidden/>
              </w:rPr>
              <w:tab/>
            </w:r>
            <w:r>
              <w:rPr>
                <w:noProof/>
                <w:webHidden/>
              </w:rPr>
              <w:fldChar w:fldCharType="begin"/>
            </w:r>
            <w:r>
              <w:rPr>
                <w:noProof/>
                <w:webHidden/>
              </w:rPr>
              <w:instrText xml:space="preserve"> PAGEREF _Toc216861711 \h </w:instrText>
            </w:r>
            <w:r>
              <w:rPr>
                <w:noProof/>
                <w:webHidden/>
              </w:rPr>
            </w:r>
            <w:r>
              <w:rPr>
                <w:noProof/>
                <w:webHidden/>
              </w:rPr>
              <w:fldChar w:fldCharType="separate"/>
            </w:r>
            <w:r>
              <w:rPr>
                <w:noProof/>
                <w:webHidden/>
              </w:rPr>
              <w:t>16</w:t>
            </w:r>
            <w:r>
              <w:rPr>
                <w:noProof/>
                <w:webHidden/>
              </w:rPr>
              <w:fldChar w:fldCharType="end"/>
            </w:r>
          </w:hyperlink>
        </w:p>
        <w:p w14:paraId="03562975" w14:textId="15B397FA" w:rsidR="005D142A" w:rsidRDefault="005D142A">
          <w:pPr>
            <w:pStyle w:val="TOC3"/>
            <w:tabs>
              <w:tab w:val="right" w:leader="dot" w:pos="10070"/>
            </w:tabs>
            <w:rPr>
              <w:noProof/>
              <w:kern w:val="2"/>
              <w:lang w:val="en-US"/>
              <w14:ligatures w14:val="standardContextual"/>
            </w:rPr>
          </w:pPr>
          <w:hyperlink w:anchor="_Toc216861712" w:history="1">
            <w:r w:rsidRPr="00E1522F">
              <w:rPr>
                <w:rStyle w:val="Hyperlink"/>
                <w:rFonts w:eastAsia="Times New Roman"/>
                <w:noProof/>
                <w:lang w:eastAsia="ja-JP"/>
              </w:rPr>
              <w:t>Other waiver types</w:t>
            </w:r>
            <w:r>
              <w:rPr>
                <w:noProof/>
                <w:webHidden/>
              </w:rPr>
              <w:tab/>
            </w:r>
            <w:r>
              <w:rPr>
                <w:noProof/>
                <w:webHidden/>
              </w:rPr>
              <w:fldChar w:fldCharType="begin"/>
            </w:r>
            <w:r>
              <w:rPr>
                <w:noProof/>
                <w:webHidden/>
              </w:rPr>
              <w:instrText xml:space="preserve"> PAGEREF _Toc216861712 \h </w:instrText>
            </w:r>
            <w:r>
              <w:rPr>
                <w:noProof/>
                <w:webHidden/>
              </w:rPr>
            </w:r>
            <w:r>
              <w:rPr>
                <w:noProof/>
                <w:webHidden/>
              </w:rPr>
              <w:fldChar w:fldCharType="separate"/>
            </w:r>
            <w:r>
              <w:rPr>
                <w:noProof/>
                <w:webHidden/>
              </w:rPr>
              <w:t>17</w:t>
            </w:r>
            <w:r>
              <w:rPr>
                <w:noProof/>
                <w:webHidden/>
              </w:rPr>
              <w:fldChar w:fldCharType="end"/>
            </w:r>
          </w:hyperlink>
        </w:p>
        <w:p w14:paraId="1B812FD1" w14:textId="37B0EA4B" w:rsidR="005D142A" w:rsidRDefault="005D142A">
          <w:pPr>
            <w:pStyle w:val="TOC1"/>
            <w:tabs>
              <w:tab w:val="right" w:leader="dot" w:pos="10070"/>
            </w:tabs>
            <w:rPr>
              <w:b w:val="0"/>
              <w:noProof/>
              <w:kern w:val="2"/>
              <w:lang w:val="en-US"/>
              <w14:ligatures w14:val="standardContextual"/>
            </w:rPr>
          </w:pPr>
          <w:hyperlink w:anchor="_Toc216861713" w:history="1">
            <w:r w:rsidRPr="00E1522F">
              <w:rPr>
                <w:rStyle w:val="Hyperlink"/>
                <w:rFonts w:eastAsia="Times New Roman"/>
                <w:noProof/>
                <w:lang w:eastAsia="ja-JP"/>
              </w:rPr>
              <w:t>Section 1333 Health Care Choice Compacts</w:t>
            </w:r>
            <w:r>
              <w:rPr>
                <w:noProof/>
                <w:webHidden/>
              </w:rPr>
              <w:tab/>
            </w:r>
            <w:r>
              <w:rPr>
                <w:noProof/>
                <w:webHidden/>
              </w:rPr>
              <w:fldChar w:fldCharType="begin"/>
            </w:r>
            <w:r>
              <w:rPr>
                <w:noProof/>
                <w:webHidden/>
              </w:rPr>
              <w:instrText xml:space="preserve"> PAGEREF _Toc216861713 \h </w:instrText>
            </w:r>
            <w:r>
              <w:rPr>
                <w:noProof/>
                <w:webHidden/>
              </w:rPr>
            </w:r>
            <w:r>
              <w:rPr>
                <w:noProof/>
                <w:webHidden/>
              </w:rPr>
              <w:fldChar w:fldCharType="separate"/>
            </w:r>
            <w:r>
              <w:rPr>
                <w:noProof/>
                <w:webHidden/>
              </w:rPr>
              <w:t>18</w:t>
            </w:r>
            <w:r>
              <w:rPr>
                <w:noProof/>
                <w:webHidden/>
              </w:rPr>
              <w:fldChar w:fldCharType="end"/>
            </w:r>
          </w:hyperlink>
        </w:p>
        <w:p w14:paraId="46143540" w14:textId="6EF8FFCC" w:rsidR="005D142A" w:rsidRDefault="005D142A">
          <w:pPr>
            <w:pStyle w:val="TOC2"/>
            <w:tabs>
              <w:tab w:val="right" w:leader="dot" w:pos="10070"/>
            </w:tabs>
            <w:rPr>
              <w:noProof/>
              <w:kern w:val="2"/>
              <w:lang w:val="en-US"/>
              <w14:ligatures w14:val="standardContextual"/>
            </w:rPr>
          </w:pPr>
          <w:hyperlink w:anchor="_Toc216861714" w:history="1">
            <w:r w:rsidRPr="00E1522F">
              <w:rPr>
                <w:rStyle w:val="Hyperlink"/>
                <w:rFonts w:eastAsia="Times New Roman"/>
                <w:noProof/>
                <w:lang w:eastAsia="ja-JP"/>
              </w:rPr>
              <w:t>Background</w:t>
            </w:r>
            <w:r>
              <w:rPr>
                <w:noProof/>
                <w:webHidden/>
              </w:rPr>
              <w:tab/>
            </w:r>
            <w:r>
              <w:rPr>
                <w:noProof/>
                <w:webHidden/>
              </w:rPr>
              <w:fldChar w:fldCharType="begin"/>
            </w:r>
            <w:r>
              <w:rPr>
                <w:noProof/>
                <w:webHidden/>
              </w:rPr>
              <w:instrText xml:space="preserve"> PAGEREF _Toc216861714 \h </w:instrText>
            </w:r>
            <w:r>
              <w:rPr>
                <w:noProof/>
                <w:webHidden/>
              </w:rPr>
            </w:r>
            <w:r>
              <w:rPr>
                <w:noProof/>
                <w:webHidden/>
              </w:rPr>
              <w:fldChar w:fldCharType="separate"/>
            </w:r>
            <w:r>
              <w:rPr>
                <w:noProof/>
                <w:webHidden/>
              </w:rPr>
              <w:t>18</w:t>
            </w:r>
            <w:r>
              <w:rPr>
                <w:noProof/>
                <w:webHidden/>
              </w:rPr>
              <w:fldChar w:fldCharType="end"/>
            </w:r>
          </w:hyperlink>
        </w:p>
        <w:p w14:paraId="104BA74D" w14:textId="255C9244" w:rsidR="005D142A" w:rsidRDefault="005D142A">
          <w:pPr>
            <w:pStyle w:val="TOC3"/>
            <w:tabs>
              <w:tab w:val="right" w:leader="dot" w:pos="10070"/>
            </w:tabs>
            <w:rPr>
              <w:noProof/>
              <w:kern w:val="2"/>
              <w:lang w:val="en-US"/>
              <w14:ligatures w14:val="standardContextual"/>
            </w:rPr>
          </w:pPr>
          <w:hyperlink w:anchor="_Toc216861715" w:history="1">
            <w:r w:rsidRPr="00E1522F">
              <w:rPr>
                <w:rStyle w:val="Hyperlink"/>
                <w:rFonts w:eastAsia="Times New Roman"/>
                <w:noProof/>
                <w:lang w:eastAsia="ja-JP"/>
              </w:rPr>
              <w:t>Summary of statute and 2019 request for information</w:t>
            </w:r>
            <w:r>
              <w:rPr>
                <w:noProof/>
                <w:webHidden/>
              </w:rPr>
              <w:tab/>
            </w:r>
            <w:r>
              <w:rPr>
                <w:noProof/>
                <w:webHidden/>
              </w:rPr>
              <w:fldChar w:fldCharType="begin"/>
            </w:r>
            <w:r>
              <w:rPr>
                <w:noProof/>
                <w:webHidden/>
              </w:rPr>
              <w:instrText xml:space="preserve"> PAGEREF _Toc216861715 \h </w:instrText>
            </w:r>
            <w:r>
              <w:rPr>
                <w:noProof/>
                <w:webHidden/>
              </w:rPr>
            </w:r>
            <w:r>
              <w:rPr>
                <w:noProof/>
                <w:webHidden/>
              </w:rPr>
              <w:fldChar w:fldCharType="separate"/>
            </w:r>
            <w:r>
              <w:rPr>
                <w:noProof/>
                <w:webHidden/>
              </w:rPr>
              <w:t>18</w:t>
            </w:r>
            <w:r>
              <w:rPr>
                <w:noProof/>
                <w:webHidden/>
              </w:rPr>
              <w:fldChar w:fldCharType="end"/>
            </w:r>
          </w:hyperlink>
        </w:p>
        <w:p w14:paraId="415E00A7" w14:textId="778F2005" w:rsidR="005D142A" w:rsidRDefault="005D142A">
          <w:pPr>
            <w:pStyle w:val="TOC2"/>
            <w:tabs>
              <w:tab w:val="right" w:leader="dot" w:pos="10070"/>
            </w:tabs>
            <w:rPr>
              <w:noProof/>
              <w:kern w:val="2"/>
              <w:lang w:val="en-US"/>
              <w14:ligatures w14:val="standardContextual"/>
            </w:rPr>
          </w:pPr>
          <w:hyperlink w:anchor="_Toc216861716" w:history="1">
            <w:r w:rsidRPr="00E1522F">
              <w:rPr>
                <w:rStyle w:val="Hyperlink"/>
                <w:rFonts w:eastAsia="Times New Roman"/>
                <w:noProof/>
                <w:lang w:eastAsia="ja-JP"/>
              </w:rPr>
              <w:t>Considerations for consumers, states, and insurance markets</w:t>
            </w:r>
            <w:r>
              <w:rPr>
                <w:noProof/>
                <w:webHidden/>
              </w:rPr>
              <w:tab/>
            </w:r>
            <w:r>
              <w:rPr>
                <w:noProof/>
                <w:webHidden/>
              </w:rPr>
              <w:fldChar w:fldCharType="begin"/>
            </w:r>
            <w:r>
              <w:rPr>
                <w:noProof/>
                <w:webHidden/>
              </w:rPr>
              <w:instrText xml:space="preserve"> PAGEREF _Toc216861716 \h </w:instrText>
            </w:r>
            <w:r>
              <w:rPr>
                <w:noProof/>
                <w:webHidden/>
              </w:rPr>
            </w:r>
            <w:r>
              <w:rPr>
                <w:noProof/>
                <w:webHidden/>
              </w:rPr>
              <w:fldChar w:fldCharType="separate"/>
            </w:r>
            <w:r>
              <w:rPr>
                <w:noProof/>
                <w:webHidden/>
              </w:rPr>
              <w:t>21</w:t>
            </w:r>
            <w:r>
              <w:rPr>
                <w:noProof/>
                <w:webHidden/>
              </w:rPr>
              <w:fldChar w:fldCharType="end"/>
            </w:r>
          </w:hyperlink>
        </w:p>
        <w:p w14:paraId="4E4BCBAD" w14:textId="646127FE" w:rsidR="005D142A" w:rsidRDefault="005D142A">
          <w:pPr>
            <w:pStyle w:val="TOC3"/>
            <w:tabs>
              <w:tab w:val="right" w:leader="dot" w:pos="10070"/>
            </w:tabs>
            <w:rPr>
              <w:noProof/>
              <w:kern w:val="2"/>
              <w:lang w:val="en-US"/>
              <w14:ligatures w14:val="standardContextual"/>
            </w:rPr>
          </w:pPr>
          <w:hyperlink w:anchor="_Toc216861717" w:history="1">
            <w:r w:rsidRPr="00E1522F">
              <w:rPr>
                <w:rStyle w:val="Hyperlink"/>
                <w:rFonts w:eastAsia="Times New Roman"/>
                <w:noProof/>
                <w:lang w:eastAsia="ja-JP"/>
              </w:rPr>
              <w:t>Potential areas of regulation impacted by HCC compact</w:t>
            </w:r>
            <w:r>
              <w:rPr>
                <w:noProof/>
                <w:webHidden/>
              </w:rPr>
              <w:tab/>
            </w:r>
            <w:r>
              <w:rPr>
                <w:noProof/>
                <w:webHidden/>
              </w:rPr>
              <w:fldChar w:fldCharType="begin"/>
            </w:r>
            <w:r>
              <w:rPr>
                <w:noProof/>
                <w:webHidden/>
              </w:rPr>
              <w:instrText xml:space="preserve"> PAGEREF _Toc216861717 \h </w:instrText>
            </w:r>
            <w:r>
              <w:rPr>
                <w:noProof/>
                <w:webHidden/>
              </w:rPr>
            </w:r>
            <w:r>
              <w:rPr>
                <w:noProof/>
                <w:webHidden/>
              </w:rPr>
              <w:fldChar w:fldCharType="separate"/>
            </w:r>
            <w:r>
              <w:rPr>
                <w:noProof/>
                <w:webHidden/>
              </w:rPr>
              <w:t>21</w:t>
            </w:r>
            <w:r>
              <w:rPr>
                <w:noProof/>
                <w:webHidden/>
              </w:rPr>
              <w:fldChar w:fldCharType="end"/>
            </w:r>
          </w:hyperlink>
        </w:p>
        <w:p w14:paraId="4CD190DA" w14:textId="2FA39C98" w:rsidR="005D142A" w:rsidRDefault="005D142A">
          <w:pPr>
            <w:pStyle w:val="TOC3"/>
            <w:tabs>
              <w:tab w:val="right" w:leader="dot" w:pos="10070"/>
            </w:tabs>
            <w:rPr>
              <w:noProof/>
              <w:kern w:val="2"/>
              <w:lang w:val="en-US"/>
              <w14:ligatures w14:val="standardContextual"/>
            </w:rPr>
          </w:pPr>
          <w:hyperlink w:anchor="_Toc216861718" w:history="1">
            <w:r w:rsidRPr="00E1522F">
              <w:rPr>
                <w:rStyle w:val="Hyperlink"/>
                <w:rFonts w:eastAsia="Times New Roman"/>
                <w:noProof/>
                <w:lang w:eastAsia="ja-JP"/>
              </w:rPr>
              <w:t>Pros and cons for states</w:t>
            </w:r>
            <w:r>
              <w:rPr>
                <w:noProof/>
                <w:webHidden/>
              </w:rPr>
              <w:tab/>
            </w:r>
            <w:r>
              <w:rPr>
                <w:noProof/>
                <w:webHidden/>
              </w:rPr>
              <w:fldChar w:fldCharType="begin"/>
            </w:r>
            <w:r>
              <w:rPr>
                <w:noProof/>
                <w:webHidden/>
              </w:rPr>
              <w:instrText xml:space="preserve"> PAGEREF _Toc216861718 \h </w:instrText>
            </w:r>
            <w:r>
              <w:rPr>
                <w:noProof/>
                <w:webHidden/>
              </w:rPr>
            </w:r>
            <w:r>
              <w:rPr>
                <w:noProof/>
                <w:webHidden/>
              </w:rPr>
              <w:fldChar w:fldCharType="separate"/>
            </w:r>
            <w:r>
              <w:rPr>
                <w:noProof/>
                <w:webHidden/>
              </w:rPr>
              <w:t>21</w:t>
            </w:r>
            <w:r>
              <w:rPr>
                <w:noProof/>
                <w:webHidden/>
              </w:rPr>
              <w:fldChar w:fldCharType="end"/>
            </w:r>
          </w:hyperlink>
        </w:p>
        <w:p w14:paraId="1EAECF58" w14:textId="55AD93F3" w:rsidR="005D142A" w:rsidRDefault="005D142A">
          <w:pPr>
            <w:pStyle w:val="TOC1"/>
            <w:tabs>
              <w:tab w:val="right" w:leader="dot" w:pos="10070"/>
            </w:tabs>
            <w:rPr>
              <w:b w:val="0"/>
              <w:noProof/>
              <w:kern w:val="2"/>
              <w:lang w:val="en-US"/>
              <w14:ligatures w14:val="standardContextual"/>
            </w:rPr>
          </w:pPr>
          <w:hyperlink w:anchor="_Toc216861719" w:history="1">
            <w:r w:rsidRPr="00E1522F">
              <w:rPr>
                <w:rStyle w:val="Hyperlink"/>
                <w:rFonts w:eastAsia="Times New Roman"/>
                <w:noProof/>
                <w:lang w:eastAsia="ja-JP"/>
              </w:rPr>
              <w:t>Discussion, including combining waiver authorities</w:t>
            </w:r>
            <w:r>
              <w:rPr>
                <w:noProof/>
                <w:webHidden/>
              </w:rPr>
              <w:tab/>
            </w:r>
            <w:r>
              <w:rPr>
                <w:noProof/>
                <w:webHidden/>
              </w:rPr>
              <w:fldChar w:fldCharType="begin"/>
            </w:r>
            <w:r>
              <w:rPr>
                <w:noProof/>
                <w:webHidden/>
              </w:rPr>
              <w:instrText xml:space="preserve"> PAGEREF _Toc216861719 \h </w:instrText>
            </w:r>
            <w:r>
              <w:rPr>
                <w:noProof/>
                <w:webHidden/>
              </w:rPr>
            </w:r>
            <w:r>
              <w:rPr>
                <w:noProof/>
                <w:webHidden/>
              </w:rPr>
              <w:fldChar w:fldCharType="separate"/>
            </w:r>
            <w:r>
              <w:rPr>
                <w:noProof/>
                <w:webHidden/>
              </w:rPr>
              <w:t>23</w:t>
            </w:r>
            <w:r>
              <w:rPr>
                <w:noProof/>
                <w:webHidden/>
              </w:rPr>
              <w:fldChar w:fldCharType="end"/>
            </w:r>
          </w:hyperlink>
        </w:p>
        <w:p w14:paraId="335515C5" w14:textId="64BEA57B" w:rsidR="005D142A" w:rsidRDefault="005D142A">
          <w:pPr>
            <w:pStyle w:val="TOC1"/>
            <w:tabs>
              <w:tab w:val="right" w:leader="dot" w:pos="10070"/>
            </w:tabs>
            <w:rPr>
              <w:b w:val="0"/>
              <w:noProof/>
              <w:kern w:val="2"/>
              <w:lang w:val="en-US"/>
              <w14:ligatures w14:val="standardContextual"/>
            </w:rPr>
          </w:pPr>
          <w:hyperlink w:anchor="_Toc216861720" w:history="1">
            <w:r w:rsidRPr="00E1522F">
              <w:rPr>
                <w:rStyle w:val="Hyperlink"/>
                <w:rFonts w:asciiTheme="majorHAnsi" w:eastAsiaTheme="majorEastAsia" w:hAnsiTheme="majorHAnsi" w:cstheme="majorBidi"/>
                <w:noProof/>
              </w:rPr>
              <w:t>Conclusion</w:t>
            </w:r>
            <w:r>
              <w:rPr>
                <w:noProof/>
                <w:webHidden/>
              </w:rPr>
              <w:tab/>
            </w:r>
            <w:r>
              <w:rPr>
                <w:noProof/>
                <w:webHidden/>
              </w:rPr>
              <w:fldChar w:fldCharType="begin"/>
            </w:r>
            <w:r>
              <w:rPr>
                <w:noProof/>
                <w:webHidden/>
              </w:rPr>
              <w:instrText xml:space="preserve"> PAGEREF _Toc216861720 \h </w:instrText>
            </w:r>
            <w:r>
              <w:rPr>
                <w:noProof/>
                <w:webHidden/>
              </w:rPr>
            </w:r>
            <w:r>
              <w:rPr>
                <w:noProof/>
                <w:webHidden/>
              </w:rPr>
              <w:fldChar w:fldCharType="separate"/>
            </w:r>
            <w:r>
              <w:rPr>
                <w:noProof/>
                <w:webHidden/>
              </w:rPr>
              <w:t>24</w:t>
            </w:r>
            <w:r>
              <w:rPr>
                <w:noProof/>
                <w:webHidden/>
              </w:rPr>
              <w:fldChar w:fldCharType="end"/>
            </w:r>
          </w:hyperlink>
        </w:p>
        <w:p w14:paraId="7B00B753" w14:textId="62310640" w:rsidR="00775684" w:rsidRDefault="00775684">
          <w:r>
            <w:rPr>
              <w:b/>
              <w:bCs/>
              <w:noProof/>
            </w:rPr>
            <w:fldChar w:fldCharType="end"/>
          </w:r>
        </w:p>
      </w:sdtContent>
    </w:sdt>
    <w:p w14:paraId="16FDC91F" w14:textId="77777777" w:rsidR="00165F4D" w:rsidRPr="00657C5D" w:rsidRDefault="00165F4D" w:rsidP="00657C5D">
      <w:pPr>
        <w:spacing w:after="480" w:line="240" w:lineRule="auto"/>
        <w:rPr>
          <w:rFonts w:ascii="Calibri" w:eastAsia="Times New Roman" w:hAnsi="Calibri" w:cs="Times New Roman"/>
          <w:b/>
          <w:bCs/>
          <w:kern w:val="28"/>
          <w:sz w:val="32"/>
          <w:szCs w:val="32"/>
          <w:lang w:eastAsia="ja-JP"/>
        </w:rPr>
      </w:pPr>
    </w:p>
    <w:bookmarkStart w:id="0" w:name="_Toc216861691"/>
    <w:p w14:paraId="366FB016" w14:textId="62F1A517" w:rsidR="008E7948" w:rsidRPr="00405F31" w:rsidRDefault="00B0340D" w:rsidP="006063FE">
      <w:pPr>
        <w:pStyle w:val="Heading1"/>
        <w:rPr>
          <w:rFonts w:eastAsia="Times New Roman"/>
          <w:lang w:eastAsia="ja-JP"/>
        </w:rPr>
      </w:pPr>
      <w:sdt>
        <w:sdtPr>
          <w:rPr>
            <w:rFonts w:eastAsia="Times New Roman"/>
            <w:lang w:eastAsia="ja-JP"/>
          </w:rPr>
          <w:id w:val="-1719891336"/>
          <w:placeholder>
            <w:docPart w:val="EFF2071D1DF049FDBAA181950DF52EE0"/>
          </w:placeholder>
          <w:temporary/>
          <w:showingPlcHdr/>
          <w15:appearance w15:val="hidden"/>
        </w:sdtPr>
        <w:sdtEndPr/>
        <w:sdtContent>
          <w:r w:rsidR="00657C5D" w:rsidRPr="00657C5D">
            <w:rPr>
              <w:rFonts w:eastAsia="Times New Roman"/>
              <w:lang w:eastAsia="ja-JP"/>
            </w:rPr>
            <w:t>Introduction</w:t>
          </w:r>
        </w:sdtContent>
      </w:sdt>
      <w:r w:rsidR="00FA4F38">
        <w:rPr>
          <w:rFonts w:eastAsia="Times New Roman"/>
          <w:lang w:eastAsia="ja-JP"/>
        </w:rPr>
        <w:t xml:space="preserve">: </w:t>
      </w:r>
      <w:r w:rsidR="00657C5D" w:rsidRPr="00405F31">
        <w:rPr>
          <w:rFonts w:eastAsia="Times New Roman"/>
          <w:lang w:eastAsia="ja-JP"/>
        </w:rPr>
        <w:t xml:space="preserve">State and federal roles in regulating </w:t>
      </w:r>
      <w:r w:rsidR="00AE1AF8">
        <w:rPr>
          <w:rFonts w:eastAsia="Times New Roman"/>
          <w:lang w:eastAsia="ja-JP"/>
        </w:rPr>
        <w:t xml:space="preserve">health </w:t>
      </w:r>
      <w:r w:rsidR="00657C5D" w:rsidRPr="00405F31">
        <w:rPr>
          <w:rFonts w:eastAsia="Times New Roman"/>
          <w:lang w:eastAsia="ja-JP"/>
        </w:rPr>
        <w:t>insurance</w:t>
      </w:r>
      <w:bookmarkEnd w:id="0"/>
    </w:p>
    <w:p w14:paraId="452FE3AC" w14:textId="77777777" w:rsidR="00FA4F38" w:rsidRPr="00FA4F38" w:rsidRDefault="00FA4F38" w:rsidP="00FA4F38">
      <w:pPr>
        <w:spacing w:after="200" w:line="276" w:lineRule="auto"/>
        <w:ind w:left="360"/>
        <w:contextualSpacing/>
        <w:outlineLvl w:val="0"/>
        <w:rPr>
          <w:rFonts w:ascii="Cambria" w:eastAsia="Times New Roman" w:hAnsi="Cambria" w:cs="Times New Roman"/>
          <w:b/>
          <w:bCs/>
          <w:sz w:val="22"/>
          <w:szCs w:val="22"/>
          <w:lang w:eastAsia="ja-JP"/>
        </w:rPr>
      </w:pPr>
    </w:p>
    <w:p w14:paraId="27E161DA" w14:textId="1F0FEA91" w:rsidR="00B90759" w:rsidRPr="00B90759" w:rsidRDefault="00B90759" w:rsidP="006063FE">
      <w:pPr>
        <w:rPr>
          <w:rFonts w:eastAsia="Times New Roman"/>
          <w:lang w:eastAsia="ja-JP"/>
        </w:rPr>
      </w:pPr>
      <w:r>
        <w:rPr>
          <w:rFonts w:eastAsia="Times New Roman"/>
          <w:lang w:eastAsia="ja-JP"/>
        </w:rPr>
        <w:t xml:space="preserve">State insurance regulators have primary responsibility for </w:t>
      </w:r>
      <w:r w:rsidR="00132088">
        <w:rPr>
          <w:rFonts w:eastAsia="Times New Roman"/>
          <w:lang w:eastAsia="ja-JP"/>
        </w:rPr>
        <w:t>regulating insurance</w:t>
      </w:r>
      <w:r w:rsidR="004134B0">
        <w:rPr>
          <w:rFonts w:eastAsia="Times New Roman"/>
          <w:lang w:eastAsia="ja-JP"/>
        </w:rPr>
        <w:t xml:space="preserve"> in the United States</w:t>
      </w:r>
      <w:r w:rsidR="00132088">
        <w:rPr>
          <w:rFonts w:eastAsia="Times New Roman"/>
          <w:lang w:eastAsia="ja-JP"/>
        </w:rPr>
        <w:t>, including health insurance.</w:t>
      </w:r>
      <w:r w:rsidR="00F56E40">
        <w:rPr>
          <w:rFonts w:eastAsia="Times New Roman"/>
          <w:lang w:eastAsia="ja-JP"/>
        </w:rPr>
        <w:t xml:space="preserve"> While the </w:t>
      </w:r>
      <w:r w:rsidR="00643778">
        <w:rPr>
          <w:rFonts w:eastAsia="Times New Roman"/>
          <w:lang w:eastAsia="ja-JP"/>
        </w:rPr>
        <w:t xml:space="preserve">Supremacy clause of the Constitution </w:t>
      </w:r>
      <w:r w:rsidR="00D144DC">
        <w:rPr>
          <w:rFonts w:eastAsia="Times New Roman"/>
          <w:lang w:eastAsia="ja-JP"/>
        </w:rPr>
        <w:t xml:space="preserve">assures that federal law takes precedence over state laws, Congress has recognized </w:t>
      </w:r>
      <w:r w:rsidR="00C50F41">
        <w:rPr>
          <w:rFonts w:eastAsia="Times New Roman"/>
          <w:lang w:eastAsia="ja-JP"/>
        </w:rPr>
        <w:t>and validated states’ roles in regulating insurance.</w:t>
      </w:r>
      <w:r w:rsidR="003E1E6A">
        <w:rPr>
          <w:rFonts w:eastAsia="Times New Roman"/>
          <w:lang w:eastAsia="ja-JP"/>
        </w:rPr>
        <w:t xml:space="preserve"> The McCarran-Ferguson Act of 1945 protects state authority to regulate the business of insurance</w:t>
      </w:r>
      <w:r w:rsidR="007B0ABD">
        <w:rPr>
          <w:rFonts w:eastAsia="Times New Roman"/>
          <w:lang w:eastAsia="ja-JP"/>
        </w:rPr>
        <w:t>.</w:t>
      </w:r>
      <w:r w:rsidR="0091438D">
        <w:rPr>
          <w:rFonts w:eastAsia="Times New Roman"/>
          <w:lang w:eastAsia="ja-JP"/>
        </w:rPr>
        <w:t xml:space="preserve"> </w:t>
      </w:r>
      <w:r w:rsidR="001279A6">
        <w:rPr>
          <w:rFonts w:eastAsia="Times New Roman"/>
          <w:lang w:eastAsia="ja-JP"/>
        </w:rPr>
        <w:t>Federal law preempts s</w:t>
      </w:r>
      <w:r w:rsidR="0091438D">
        <w:rPr>
          <w:rFonts w:eastAsia="Times New Roman"/>
          <w:lang w:eastAsia="ja-JP"/>
        </w:rPr>
        <w:t xml:space="preserve">tate insurance </w:t>
      </w:r>
      <w:r w:rsidR="001279A6">
        <w:rPr>
          <w:rFonts w:eastAsia="Times New Roman"/>
          <w:lang w:eastAsia="ja-JP"/>
        </w:rPr>
        <w:t>l</w:t>
      </w:r>
      <w:r w:rsidR="0091438D">
        <w:rPr>
          <w:rFonts w:eastAsia="Times New Roman"/>
          <w:lang w:eastAsia="ja-JP"/>
        </w:rPr>
        <w:t xml:space="preserve">aws </w:t>
      </w:r>
      <w:r w:rsidR="00CB1CCA">
        <w:rPr>
          <w:rFonts w:eastAsia="Times New Roman"/>
          <w:lang w:eastAsia="ja-JP"/>
        </w:rPr>
        <w:t xml:space="preserve">only when the state law </w:t>
      </w:r>
      <w:r w:rsidR="00735554">
        <w:rPr>
          <w:rFonts w:eastAsia="Times New Roman"/>
          <w:lang w:eastAsia="ja-JP"/>
        </w:rPr>
        <w:t>would prevent the application of a federal law.</w:t>
      </w:r>
      <w:r w:rsidR="00C50F41">
        <w:rPr>
          <w:rFonts w:eastAsia="Times New Roman"/>
          <w:lang w:eastAsia="ja-JP"/>
        </w:rPr>
        <w:t xml:space="preserve"> </w:t>
      </w:r>
      <w:r w:rsidR="0015144A">
        <w:rPr>
          <w:rFonts w:eastAsia="Times New Roman"/>
          <w:lang w:eastAsia="ja-JP"/>
        </w:rPr>
        <w:t xml:space="preserve"> </w:t>
      </w:r>
    </w:p>
    <w:p w14:paraId="06E85222" w14:textId="5D8BE466" w:rsidR="006C69D5" w:rsidRDefault="006C4004" w:rsidP="7EB38FF3">
      <w:pPr>
        <w:rPr>
          <w:rFonts w:eastAsia="Times New Roman"/>
          <w:lang w:val="en-US" w:eastAsia="ja-JP"/>
        </w:rPr>
      </w:pPr>
      <w:r w:rsidRPr="7EB38FF3">
        <w:rPr>
          <w:rFonts w:eastAsia="Times New Roman"/>
          <w:lang w:val="en-US" w:eastAsia="ja-JP"/>
        </w:rPr>
        <w:t xml:space="preserve">Nonetheless, both </w:t>
      </w:r>
      <w:r w:rsidR="00C32468" w:rsidRPr="7EB38FF3">
        <w:rPr>
          <w:rFonts w:eastAsia="Times New Roman"/>
          <w:lang w:val="en-US" w:eastAsia="ja-JP"/>
        </w:rPr>
        <w:t xml:space="preserve">states and Congress have taken steps to regulate </w:t>
      </w:r>
      <w:r w:rsidR="00281A61" w:rsidRPr="7EB38FF3">
        <w:rPr>
          <w:rFonts w:eastAsia="Times New Roman"/>
          <w:lang w:val="en-US" w:eastAsia="ja-JP"/>
        </w:rPr>
        <w:t xml:space="preserve">health insurance. </w:t>
      </w:r>
      <w:r w:rsidR="00F3125B" w:rsidRPr="7EB38FF3">
        <w:rPr>
          <w:rFonts w:eastAsia="Times New Roman"/>
          <w:lang w:val="en-US" w:eastAsia="ja-JP"/>
        </w:rPr>
        <w:t>States generally</w:t>
      </w:r>
      <w:r w:rsidR="005D1C12" w:rsidRPr="7EB38FF3">
        <w:rPr>
          <w:rFonts w:eastAsia="Times New Roman"/>
          <w:lang w:val="en-US" w:eastAsia="ja-JP"/>
        </w:rPr>
        <w:t xml:space="preserve"> supervise solvency,</w:t>
      </w:r>
      <w:r w:rsidR="00F3125B" w:rsidRPr="7EB38FF3">
        <w:rPr>
          <w:rFonts w:eastAsia="Times New Roman"/>
          <w:lang w:val="en-US" w:eastAsia="ja-JP"/>
        </w:rPr>
        <w:t xml:space="preserve"> </w:t>
      </w:r>
      <w:r w:rsidR="009C3697" w:rsidRPr="7EB38FF3">
        <w:rPr>
          <w:rFonts w:eastAsia="Times New Roman"/>
          <w:lang w:val="en-US" w:eastAsia="ja-JP"/>
        </w:rPr>
        <w:t>review health insurer</w:t>
      </w:r>
      <w:r w:rsidR="007B1A9F" w:rsidRPr="7EB38FF3">
        <w:rPr>
          <w:rFonts w:eastAsia="Times New Roman"/>
          <w:lang w:val="en-US" w:eastAsia="ja-JP"/>
        </w:rPr>
        <w:t>s’</w:t>
      </w:r>
      <w:r w:rsidR="00B93BCD" w:rsidRPr="7EB38FF3">
        <w:rPr>
          <w:rFonts w:eastAsia="Times New Roman"/>
          <w:lang w:val="en-US" w:eastAsia="ja-JP"/>
        </w:rPr>
        <w:t xml:space="preserve"> rates</w:t>
      </w:r>
      <w:r w:rsidR="00F100BF" w:rsidRPr="7EB38FF3">
        <w:rPr>
          <w:rFonts w:eastAsia="Times New Roman"/>
          <w:lang w:val="en-US" w:eastAsia="ja-JP"/>
        </w:rPr>
        <w:t xml:space="preserve"> and the content of policies</w:t>
      </w:r>
      <w:r w:rsidR="003A0EBC" w:rsidRPr="7EB38FF3">
        <w:rPr>
          <w:rFonts w:eastAsia="Times New Roman"/>
          <w:lang w:val="en-US" w:eastAsia="ja-JP"/>
        </w:rPr>
        <w:t xml:space="preserve">, </w:t>
      </w:r>
      <w:r w:rsidR="005D1C12" w:rsidRPr="7EB38FF3">
        <w:rPr>
          <w:rFonts w:eastAsia="Times New Roman"/>
          <w:lang w:val="en-US" w:eastAsia="ja-JP"/>
        </w:rPr>
        <w:t xml:space="preserve">and </w:t>
      </w:r>
      <w:r w:rsidR="003A0EBC" w:rsidRPr="7EB38FF3">
        <w:rPr>
          <w:rFonts w:eastAsia="Times New Roman"/>
          <w:lang w:val="en-US" w:eastAsia="ja-JP"/>
        </w:rPr>
        <w:t xml:space="preserve">establish consumer </w:t>
      </w:r>
      <w:proofErr w:type="gramStart"/>
      <w:r w:rsidR="003A0EBC" w:rsidRPr="7EB38FF3">
        <w:rPr>
          <w:rFonts w:eastAsia="Times New Roman"/>
          <w:lang w:val="en-US" w:eastAsia="ja-JP"/>
        </w:rPr>
        <w:t>protections</w:t>
      </w:r>
      <w:proofErr w:type="gramEnd"/>
      <w:r w:rsidR="005D1C12" w:rsidRPr="7EB38FF3">
        <w:rPr>
          <w:rFonts w:eastAsia="Times New Roman"/>
          <w:lang w:val="en-US" w:eastAsia="ja-JP"/>
        </w:rPr>
        <w:t xml:space="preserve"> for individual and group health insurance marke</w:t>
      </w:r>
      <w:r w:rsidR="0028465E" w:rsidRPr="7EB38FF3">
        <w:rPr>
          <w:rFonts w:eastAsia="Times New Roman"/>
          <w:lang w:val="en-US" w:eastAsia="ja-JP"/>
        </w:rPr>
        <w:t>ts</w:t>
      </w:r>
      <w:r w:rsidR="005D1C12" w:rsidRPr="7EB38FF3">
        <w:rPr>
          <w:rFonts w:eastAsia="Times New Roman"/>
          <w:lang w:val="en-US" w:eastAsia="ja-JP"/>
        </w:rPr>
        <w:t xml:space="preserve">. Congress </w:t>
      </w:r>
      <w:r w:rsidR="0099426C" w:rsidRPr="7EB38FF3">
        <w:rPr>
          <w:rFonts w:eastAsia="Times New Roman"/>
          <w:lang w:val="en-US" w:eastAsia="ja-JP"/>
        </w:rPr>
        <w:t xml:space="preserve">reserved for federal regulators the role of regulating self-funded </w:t>
      </w:r>
      <w:r w:rsidR="00716AF8" w:rsidRPr="7EB38FF3">
        <w:rPr>
          <w:rFonts w:eastAsia="Times New Roman"/>
          <w:lang w:val="en-US" w:eastAsia="ja-JP"/>
        </w:rPr>
        <w:t xml:space="preserve">employer health plans </w:t>
      </w:r>
      <w:r w:rsidR="001A2D0C" w:rsidRPr="7EB38FF3">
        <w:rPr>
          <w:rFonts w:eastAsia="Times New Roman"/>
          <w:lang w:val="en-US" w:eastAsia="ja-JP"/>
        </w:rPr>
        <w:t>through the Employee Retirement Income Security Act of 1974.</w:t>
      </w:r>
      <w:r w:rsidR="006C69D5" w:rsidRPr="7EB38FF3">
        <w:rPr>
          <w:rFonts w:eastAsia="Times New Roman"/>
          <w:lang w:val="en-US" w:eastAsia="ja-JP"/>
        </w:rPr>
        <w:t xml:space="preserve"> Federal laws since then have</w:t>
      </w:r>
      <w:r w:rsidR="00DE1A79" w:rsidRPr="7EB38FF3">
        <w:rPr>
          <w:rFonts w:eastAsia="Times New Roman"/>
          <w:lang w:val="en-US" w:eastAsia="ja-JP"/>
        </w:rPr>
        <w:t xml:space="preserve"> added</w:t>
      </w:r>
      <w:r w:rsidR="00701928" w:rsidRPr="7EB38FF3">
        <w:rPr>
          <w:rFonts w:eastAsia="Times New Roman"/>
          <w:lang w:val="en-US" w:eastAsia="ja-JP"/>
        </w:rPr>
        <w:t xml:space="preserve"> requirements for health insurers related to information privacy, availability of coverage, </w:t>
      </w:r>
      <w:r w:rsidR="14B6D3F6" w:rsidRPr="7EB38FF3">
        <w:rPr>
          <w:rFonts w:eastAsia="Times New Roman"/>
          <w:lang w:val="en-US" w:eastAsia="ja-JP"/>
        </w:rPr>
        <w:t xml:space="preserve">surprise billing, </w:t>
      </w:r>
      <w:r w:rsidR="00701928" w:rsidRPr="7EB38FF3">
        <w:rPr>
          <w:rFonts w:eastAsia="Times New Roman"/>
          <w:lang w:val="en-US" w:eastAsia="ja-JP"/>
        </w:rPr>
        <w:t xml:space="preserve">and </w:t>
      </w:r>
      <w:r w:rsidR="0089753B" w:rsidRPr="7EB38FF3">
        <w:rPr>
          <w:rFonts w:eastAsia="Times New Roman"/>
          <w:lang w:val="en-US" w:eastAsia="ja-JP"/>
        </w:rPr>
        <w:t>some benefit mandates</w:t>
      </w:r>
      <w:r w:rsidR="00A26809" w:rsidRPr="7EB38FF3">
        <w:rPr>
          <w:rFonts w:eastAsia="Times New Roman"/>
          <w:lang w:val="en-US" w:eastAsia="ja-JP"/>
        </w:rPr>
        <w:t>, among others.</w:t>
      </w:r>
      <w:r w:rsidR="001A2D0C" w:rsidRPr="7EB38FF3">
        <w:rPr>
          <w:rFonts w:eastAsia="Times New Roman"/>
          <w:lang w:val="en-US" w:eastAsia="ja-JP"/>
        </w:rPr>
        <w:t xml:space="preserve"> </w:t>
      </w:r>
    </w:p>
    <w:p w14:paraId="087C2723" w14:textId="77777777" w:rsidR="00607483" w:rsidRDefault="006C69D5" w:rsidP="006063FE">
      <w:pPr>
        <w:rPr>
          <w:rFonts w:eastAsia="Times New Roman"/>
          <w:lang w:eastAsia="ja-JP"/>
        </w:rPr>
      </w:pPr>
      <w:r>
        <w:rPr>
          <w:rFonts w:eastAsia="Times New Roman"/>
          <w:lang w:eastAsia="ja-JP"/>
        </w:rPr>
        <w:t>In 2010, the passage of the Affordable Care Act</w:t>
      </w:r>
      <w:r w:rsidR="007D3311">
        <w:rPr>
          <w:rFonts w:eastAsia="Times New Roman"/>
          <w:lang w:eastAsia="ja-JP"/>
        </w:rPr>
        <w:t xml:space="preserve"> (ACA)</w:t>
      </w:r>
      <w:r>
        <w:rPr>
          <w:rFonts w:eastAsia="Times New Roman"/>
          <w:lang w:eastAsia="ja-JP"/>
        </w:rPr>
        <w:t xml:space="preserve"> introduced extensive new </w:t>
      </w:r>
      <w:r w:rsidR="00243DED">
        <w:rPr>
          <w:rFonts w:eastAsia="Times New Roman"/>
          <w:lang w:eastAsia="ja-JP"/>
        </w:rPr>
        <w:t xml:space="preserve">federal regulations </w:t>
      </w:r>
      <w:r w:rsidR="00115894">
        <w:rPr>
          <w:rFonts w:eastAsia="Times New Roman"/>
          <w:lang w:eastAsia="ja-JP"/>
        </w:rPr>
        <w:t xml:space="preserve">for individual health insurance markets. </w:t>
      </w:r>
      <w:r w:rsidR="00E32A30">
        <w:rPr>
          <w:rFonts w:eastAsia="Times New Roman"/>
          <w:lang w:eastAsia="ja-JP"/>
        </w:rPr>
        <w:t xml:space="preserve">While maintaining </w:t>
      </w:r>
      <w:r w:rsidR="0070433D">
        <w:rPr>
          <w:rFonts w:eastAsia="Times New Roman"/>
          <w:lang w:eastAsia="ja-JP"/>
        </w:rPr>
        <w:t xml:space="preserve">markets in each state, the ACA </w:t>
      </w:r>
      <w:r w:rsidR="009434F7">
        <w:rPr>
          <w:rFonts w:eastAsia="Times New Roman"/>
          <w:lang w:eastAsia="ja-JP"/>
        </w:rPr>
        <w:t>established</w:t>
      </w:r>
      <w:r w:rsidR="00045B05">
        <w:rPr>
          <w:rFonts w:eastAsia="Times New Roman"/>
          <w:lang w:eastAsia="ja-JP"/>
        </w:rPr>
        <w:t xml:space="preserve"> requirements </w:t>
      </w:r>
      <w:r w:rsidR="005F5149">
        <w:rPr>
          <w:rFonts w:eastAsia="Times New Roman"/>
          <w:lang w:eastAsia="ja-JP"/>
        </w:rPr>
        <w:t>in each state’s market related to</w:t>
      </w:r>
      <w:r w:rsidR="00045B05">
        <w:rPr>
          <w:rFonts w:eastAsia="Times New Roman"/>
          <w:lang w:eastAsia="ja-JP"/>
        </w:rPr>
        <w:t xml:space="preserve"> risk pools, </w:t>
      </w:r>
      <w:r w:rsidR="00F039FE">
        <w:rPr>
          <w:rFonts w:eastAsia="Times New Roman"/>
          <w:lang w:eastAsia="ja-JP"/>
        </w:rPr>
        <w:t xml:space="preserve">enrollment periods, coverage tiers, benefits, </w:t>
      </w:r>
      <w:r w:rsidR="00A829D3">
        <w:rPr>
          <w:rFonts w:eastAsia="Times New Roman"/>
          <w:lang w:eastAsia="ja-JP"/>
        </w:rPr>
        <w:t>and new consumer protections</w:t>
      </w:r>
      <w:r w:rsidR="005F5149">
        <w:rPr>
          <w:rFonts w:eastAsia="Times New Roman"/>
          <w:lang w:eastAsia="ja-JP"/>
        </w:rPr>
        <w:t xml:space="preserve">. It also </w:t>
      </w:r>
      <w:r w:rsidR="00C121FE">
        <w:rPr>
          <w:rFonts w:eastAsia="Times New Roman"/>
          <w:lang w:eastAsia="ja-JP"/>
        </w:rPr>
        <w:t>creat</w:t>
      </w:r>
      <w:r w:rsidR="005F5149">
        <w:rPr>
          <w:rFonts w:eastAsia="Times New Roman"/>
          <w:lang w:eastAsia="ja-JP"/>
        </w:rPr>
        <w:t>ed</w:t>
      </w:r>
      <w:r w:rsidR="00C121FE">
        <w:rPr>
          <w:rFonts w:eastAsia="Times New Roman"/>
          <w:lang w:eastAsia="ja-JP"/>
        </w:rPr>
        <w:t xml:space="preserve"> </w:t>
      </w:r>
      <w:r w:rsidR="00455634">
        <w:rPr>
          <w:rFonts w:eastAsia="Times New Roman"/>
          <w:lang w:eastAsia="ja-JP"/>
        </w:rPr>
        <w:t xml:space="preserve">Marketplaces for coverage supported by </w:t>
      </w:r>
      <w:r w:rsidR="005F5149">
        <w:rPr>
          <w:rFonts w:eastAsia="Times New Roman"/>
          <w:lang w:eastAsia="ja-JP"/>
        </w:rPr>
        <w:t xml:space="preserve">federal </w:t>
      </w:r>
      <w:r w:rsidR="006636BA">
        <w:rPr>
          <w:rFonts w:eastAsia="Times New Roman"/>
          <w:lang w:eastAsia="ja-JP"/>
        </w:rPr>
        <w:t>premium tax credits</w:t>
      </w:r>
      <w:r w:rsidR="00042B21">
        <w:rPr>
          <w:rFonts w:eastAsia="Times New Roman"/>
          <w:lang w:eastAsia="ja-JP"/>
        </w:rPr>
        <w:t xml:space="preserve"> for eligible individuals.</w:t>
      </w:r>
    </w:p>
    <w:p w14:paraId="3119F5D2" w14:textId="0DADBB0B" w:rsidR="006C69D5" w:rsidRDefault="006B10EC" w:rsidP="7EB38FF3">
      <w:pPr>
        <w:rPr>
          <w:rFonts w:eastAsia="Times New Roman"/>
          <w:lang w:val="en-US" w:eastAsia="ja-JP"/>
        </w:rPr>
      </w:pPr>
      <w:r w:rsidRPr="7EB38FF3">
        <w:rPr>
          <w:rFonts w:eastAsia="Times New Roman"/>
          <w:lang w:val="en-US" w:eastAsia="ja-JP"/>
        </w:rPr>
        <w:t>While the</w:t>
      </w:r>
      <w:r w:rsidR="00C57FAC" w:rsidRPr="7EB38FF3">
        <w:rPr>
          <w:rFonts w:eastAsia="Times New Roman"/>
          <w:lang w:val="en-US" w:eastAsia="ja-JP"/>
        </w:rPr>
        <w:t xml:space="preserve"> ACA’s </w:t>
      </w:r>
      <w:r w:rsidRPr="7EB38FF3">
        <w:rPr>
          <w:rFonts w:eastAsia="Times New Roman"/>
          <w:lang w:val="en-US" w:eastAsia="ja-JP"/>
        </w:rPr>
        <w:t>reforms appl</w:t>
      </w:r>
      <w:r w:rsidR="00A40607" w:rsidRPr="7EB38FF3">
        <w:rPr>
          <w:rFonts w:eastAsia="Times New Roman"/>
          <w:lang w:val="en-US" w:eastAsia="ja-JP"/>
        </w:rPr>
        <w:t>y</w:t>
      </w:r>
      <w:r w:rsidRPr="7EB38FF3">
        <w:rPr>
          <w:rFonts w:eastAsia="Times New Roman"/>
          <w:lang w:val="en-US" w:eastAsia="ja-JP"/>
        </w:rPr>
        <w:t xml:space="preserve"> nationwide, </w:t>
      </w:r>
      <w:r w:rsidR="008B6CA6" w:rsidRPr="7EB38FF3">
        <w:rPr>
          <w:rFonts w:eastAsia="Times New Roman"/>
          <w:lang w:val="en-US" w:eastAsia="ja-JP"/>
        </w:rPr>
        <w:t xml:space="preserve">Congress </w:t>
      </w:r>
      <w:r w:rsidR="00FB5F0B" w:rsidRPr="7EB38FF3">
        <w:rPr>
          <w:rFonts w:eastAsia="Times New Roman"/>
          <w:lang w:val="en-US" w:eastAsia="ja-JP"/>
        </w:rPr>
        <w:t>also provided</w:t>
      </w:r>
      <w:r w:rsidR="00A40607" w:rsidRPr="7EB38FF3">
        <w:rPr>
          <w:rFonts w:eastAsia="Times New Roman"/>
          <w:lang w:val="en-US" w:eastAsia="ja-JP"/>
        </w:rPr>
        <w:t xml:space="preserve"> </w:t>
      </w:r>
      <w:r w:rsidR="00343D8B" w:rsidRPr="7EB38FF3">
        <w:rPr>
          <w:rFonts w:eastAsia="Times New Roman"/>
          <w:lang w:val="en-US" w:eastAsia="ja-JP"/>
        </w:rPr>
        <w:t xml:space="preserve">mechanisms </w:t>
      </w:r>
      <w:r w:rsidR="001116EA" w:rsidRPr="7EB38FF3">
        <w:rPr>
          <w:rFonts w:eastAsia="Times New Roman"/>
          <w:lang w:val="en-US" w:eastAsia="ja-JP"/>
        </w:rPr>
        <w:t xml:space="preserve">in the law </w:t>
      </w:r>
      <w:r w:rsidR="00343D8B" w:rsidRPr="7EB38FF3">
        <w:rPr>
          <w:rFonts w:eastAsia="Times New Roman"/>
          <w:lang w:val="en-US" w:eastAsia="ja-JP"/>
        </w:rPr>
        <w:t>for states to</w:t>
      </w:r>
      <w:r w:rsidR="00C57FAC" w:rsidRPr="7EB38FF3">
        <w:rPr>
          <w:rFonts w:eastAsia="Times New Roman"/>
          <w:lang w:val="en-US" w:eastAsia="ja-JP"/>
        </w:rPr>
        <w:t xml:space="preserve"> </w:t>
      </w:r>
      <w:r w:rsidR="00C5644B" w:rsidRPr="7EB38FF3">
        <w:rPr>
          <w:rFonts w:eastAsia="Times New Roman"/>
          <w:lang w:val="en-US" w:eastAsia="ja-JP"/>
        </w:rPr>
        <w:t xml:space="preserve">alter how the </w:t>
      </w:r>
      <w:r w:rsidR="001116EA" w:rsidRPr="7EB38FF3">
        <w:rPr>
          <w:rFonts w:eastAsia="Times New Roman"/>
          <w:lang w:val="en-US" w:eastAsia="ja-JP"/>
        </w:rPr>
        <w:t>ACA</w:t>
      </w:r>
      <w:r w:rsidR="00A275BD" w:rsidRPr="7EB38FF3">
        <w:rPr>
          <w:rFonts w:eastAsia="Times New Roman"/>
          <w:lang w:val="en-US" w:eastAsia="ja-JP"/>
        </w:rPr>
        <w:t xml:space="preserve"> </w:t>
      </w:r>
      <w:r w:rsidR="00B72FFD" w:rsidRPr="7EB38FF3">
        <w:rPr>
          <w:rFonts w:eastAsia="Times New Roman"/>
          <w:lang w:val="en-US" w:eastAsia="ja-JP"/>
        </w:rPr>
        <w:t xml:space="preserve">functions </w:t>
      </w:r>
      <w:r w:rsidR="005C337D" w:rsidRPr="7EB38FF3">
        <w:rPr>
          <w:rFonts w:eastAsia="Times New Roman"/>
          <w:lang w:val="en-US" w:eastAsia="ja-JP"/>
        </w:rPr>
        <w:t>on a state-by-state basis.</w:t>
      </w:r>
      <w:r w:rsidR="00523BE9" w:rsidRPr="7EB38FF3">
        <w:rPr>
          <w:rFonts w:eastAsia="Times New Roman"/>
          <w:lang w:val="en-US" w:eastAsia="ja-JP"/>
        </w:rPr>
        <w:t xml:space="preserve"> </w:t>
      </w:r>
      <w:r w:rsidR="00887579" w:rsidRPr="7EB38FF3">
        <w:rPr>
          <w:rFonts w:eastAsia="Times New Roman"/>
          <w:lang w:val="en-US" w:eastAsia="ja-JP"/>
        </w:rPr>
        <w:t xml:space="preserve">The state flexibility sections of the ACA </w:t>
      </w:r>
      <w:r w:rsidR="009E6017" w:rsidRPr="7EB38FF3">
        <w:rPr>
          <w:rFonts w:eastAsia="Times New Roman"/>
          <w:lang w:val="en-US" w:eastAsia="ja-JP"/>
        </w:rPr>
        <w:t>allow for state</w:t>
      </w:r>
      <w:r w:rsidR="00E45A70" w:rsidRPr="7EB38FF3">
        <w:rPr>
          <w:rFonts w:eastAsia="Times New Roman"/>
          <w:lang w:val="en-US" w:eastAsia="ja-JP"/>
        </w:rPr>
        <w:t xml:space="preserve">s, individually or working together, to change </w:t>
      </w:r>
      <w:r w:rsidR="0024622C" w:rsidRPr="7EB38FF3">
        <w:rPr>
          <w:rFonts w:eastAsia="Times New Roman"/>
          <w:lang w:val="en-US" w:eastAsia="ja-JP"/>
        </w:rPr>
        <w:t xml:space="preserve">how coverage is delivered or </w:t>
      </w:r>
      <w:r w:rsidR="0028788E" w:rsidRPr="7EB38FF3">
        <w:rPr>
          <w:rFonts w:eastAsia="Times New Roman"/>
          <w:lang w:val="en-US" w:eastAsia="ja-JP"/>
        </w:rPr>
        <w:t xml:space="preserve">waive requirements of the </w:t>
      </w:r>
      <w:r w:rsidR="00BF666A" w:rsidRPr="7EB38FF3">
        <w:rPr>
          <w:rFonts w:eastAsia="Times New Roman"/>
          <w:lang w:val="en-US" w:eastAsia="ja-JP"/>
        </w:rPr>
        <w:t xml:space="preserve">law </w:t>
      </w:r>
      <w:r w:rsidR="0028788E" w:rsidRPr="7EB38FF3">
        <w:rPr>
          <w:rFonts w:eastAsia="Times New Roman"/>
          <w:lang w:val="en-US" w:eastAsia="ja-JP"/>
        </w:rPr>
        <w:t xml:space="preserve">entirely, </w:t>
      </w:r>
      <w:proofErr w:type="gramStart"/>
      <w:r w:rsidR="0028788E" w:rsidRPr="7EB38FF3">
        <w:rPr>
          <w:rFonts w:eastAsia="Times New Roman"/>
          <w:lang w:val="en-US" w:eastAsia="ja-JP"/>
        </w:rPr>
        <w:t>as long as</w:t>
      </w:r>
      <w:proofErr w:type="gramEnd"/>
      <w:r w:rsidR="0028788E" w:rsidRPr="7EB38FF3">
        <w:rPr>
          <w:rFonts w:eastAsia="Times New Roman"/>
          <w:lang w:val="en-US" w:eastAsia="ja-JP"/>
        </w:rPr>
        <w:t xml:space="preserve"> the states meet </w:t>
      </w:r>
      <w:r w:rsidR="00CE23B7" w:rsidRPr="7EB38FF3">
        <w:rPr>
          <w:rFonts w:eastAsia="Times New Roman"/>
          <w:lang w:val="en-US" w:eastAsia="ja-JP"/>
        </w:rPr>
        <w:lastRenderedPageBreak/>
        <w:t>specified</w:t>
      </w:r>
      <w:r w:rsidR="00CA62BA" w:rsidRPr="7EB38FF3">
        <w:rPr>
          <w:rFonts w:eastAsia="Times New Roman"/>
          <w:lang w:val="en-US" w:eastAsia="ja-JP"/>
        </w:rPr>
        <w:t xml:space="preserve"> criteria</w:t>
      </w:r>
      <w:r w:rsidR="00CE23B7" w:rsidRPr="7EB38FF3">
        <w:rPr>
          <w:rFonts w:eastAsia="Times New Roman"/>
          <w:lang w:val="en-US" w:eastAsia="ja-JP"/>
        </w:rPr>
        <w:t>.</w:t>
      </w:r>
      <w:r w:rsidR="00A5256B" w:rsidRPr="7EB38FF3">
        <w:rPr>
          <w:rFonts w:eastAsia="Times New Roman"/>
          <w:lang w:val="en-US" w:eastAsia="ja-JP"/>
        </w:rPr>
        <w:t xml:space="preserve"> Under two of the sections, states can access federal funding that would otherwise</w:t>
      </w:r>
      <w:r w:rsidR="008E43F0" w:rsidRPr="7EB38FF3">
        <w:rPr>
          <w:rFonts w:eastAsia="Times New Roman"/>
          <w:lang w:val="en-US" w:eastAsia="ja-JP"/>
        </w:rPr>
        <w:t xml:space="preserve"> be used for ACA coverage in the state.</w:t>
      </w:r>
      <w:r w:rsidR="00A5256B" w:rsidRPr="7EB38FF3">
        <w:rPr>
          <w:rFonts w:eastAsia="Times New Roman"/>
          <w:lang w:val="en-US" w:eastAsia="ja-JP"/>
        </w:rPr>
        <w:t xml:space="preserve"> </w:t>
      </w:r>
      <w:r w:rsidR="00CA62BA" w:rsidRPr="7EB38FF3">
        <w:rPr>
          <w:rFonts w:eastAsia="Times New Roman"/>
          <w:lang w:val="en-US" w:eastAsia="ja-JP"/>
        </w:rPr>
        <w:t xml:space="preserve"> </w:t>
      </w:r>
      <w:r w:rsidR="004A0D47" w:rsidRPr="7EB38FF3">
        <w:rPr>
          <w:rFonts w:eastAsia="Times New Roman"/>
          <w:lang w:val="en-US" w:eastAsia="ja-JP"/>
        </w:rPr>
        <w:t xml:space="preserve">Section 1331 of the ACA </w:t>
      </w:r>
      <w:r w:rsidR="00B5381F" w:rsidRPr="7EB38FF3">
        <w:rPr>
          <w:rFonts w:eastAsia="Times New Roman"/>
          <w:lang w:val="en-US" w:eastAsia="ja-JP"/>
        </w:rPr>
        <w:t xml:space="preserve">allows states to </w:t>
      </w:r>
      <w:r w:rsidR="000105B7" w:rsidRPr="7EB38FF3">
        <w:rPr>
          <w:rFonts w:eastAsia="Times New Roman"/>
          <w:lang w:val="en-US" w:eastAsia="ja-JP"/>
        </w:rPr>
        <w:t xml:space="preserve">contract </w:t>
      </w:r>
      <w:r w:rsidR="003D22E2" w:rsidRPr="7EB38FF3">
        <w:rPr>
          <w:rFonts w:eastAsia="Times New Roman"/>
          <w:lang w:val="en-US" w:eastAsia="ja-JP"/>
        </w:rPr>
        <w:t xml:space="preserve">directly with health plans to cover some individuals who would otherwise qualify for </w:t>
      </w:r>
      <w:r w:rsidR="00716143" w:rsidRPr="7EB38FF3">
        <w:rPr>
          <w:rFonts w:eastAsia="Times New Roman"/>
          <w:lang w:val="en-US" w:eastAsia="ja-JP"/>
        </w:rPr>
        <w:t>Marketplace coverage. Section 1332 includes broad authority to waive p</w:t>
      </w:r>
      <w:r w:rsidR="00D14EA9" w:rsidRPr="7EB38FF3">
        <w:rPr>
          <w:rFonts w:eastAsia="Times New Roman"/>
          <w:lang w:val="en-US" w:eastAsia="ja-JP"/>
        </w:rPr>
        <w:t>ortion</w:t>
      </w:r>
      <w:r w:rsidR="00716143" w:rsidRPr="7EB38FF3">
        <w:rPr>
          <w:rFonts w:eastAsia="Times New Roman"/>
          <w:lang w:val="en-US" w:eastAsia="ja-JP"/>
        </w:rPr>
        <w:t xml:space="preserve">s of the ACA </w:t>
      </w:r>
      <w:proofErr w:type="gramStart"/>
      <w:r w:rsidR="00716143" w:rsidRPr="7EB38FF3">
        <w:rPr>
          <w:rFonts w:eastAsia="Times New Roman"/>
          <w:lang w:val="en-US" w:eastAsia="ja-JP"/>
        </w:rPr>
        <w:t>as long as</w:t>
      </w:r>
      <w:proofErr w:type="gramEnd"/>
      <w:r w:rsidR="00716143" w:rsidRPr="7EB38FF3">
        <w:rPr>
          <w:rFonts w:eastAsia="Times New Roman"/>
          <w:lang w:val="en-US" w:eastAsia="ja-JP"/>
        </w:rPr>
        <w:t xml:space="preserve"> states </w:t>
      </w:r>
      <w:r w:rsidR="00432036" w:rsidRPr="7EB38FF3">
        <w:rPr>
          <w:rFonts w:eastAsia="Times New Roman"/>
          <w:lang w:val="en-US" w:eastAsia="ja-JP"/>
        </w:rPr>
        <w:t>continue to make coverage as affordable</w:t>
      </w:r>
      <w:r w:rsidR="00E02DA8" w:rsidRPr="7EB38FF3">
        <w:rPr>
          <w:rFonts w:eastAsia="Times New Roman"/>
          <w:lang w:val="en-US" w:eastAsia="ja-JP"/>
        </w:rPr>
        <w:t xml:space="preserve"> and com</w:t>
      </w:r>
      <w:r w:rsidR="00DB37F9" w:rsidRPr="7EB38FF3">
        <w:rPr>
          <w:rFonts w:eastAsia="Times New Roman"/>
          <w:lang w:val="en-US" w:eastAsia="ja-JP"/>
        </w:rPr>
        <w:t xml:space="preserve">prehensive to as many </w:t>
      </w:r>
      <w:r w:rsidR="004F0B6C" w:rsidRPr="7EB38FF3">
        <w:rPr>
          <w:rFonts w:eastAsia="Times New Roman"/>
          <w:lang w:val="en-US" w:eastAsia="ja-JP"/>
        </w:rPr>
        <w:t xml:space="preserve">people as </w:t>
      </w:r>
      <w:r w:rsidR="2011E0B3" w:rsidRPr="7EB38FF3">
        <w:rPr>
          <w:rFonts w:eastAsia="Times New Roman"/>
          <w:lang w:val="en-US" w:eastAsia="ja-JP"/>
        </w:rPr>
        <w:t xml:space="preserve">would be </w:t>
      </w:r>
      <w:r w:rsidR="00740DC7" w:rsidRPr="7EB38FF3">
        <w:rPr>
          <w:rFonts w:eastAsia="Times New Roman"/>
          <w:lang w:val="en-US" w:eastAsia="ja-JP"/>
        </w:rPr>
        <w:t>covered under the</w:t>
      </w:r>
      <w:r w:rsidR="712E0572" w:rsidRPr="7EB38FF3">
        <w:rPr>
          <w:rFonts w:eastAsia="Times New Roman"/>
          <w:lang w:val="en-US" w:eastAsia="ja-JP"/>
        </w:rPr>
        <w:t xml:space="preserve"> waived provisions of the</w:t>
      </w:r>
      <w:r w:rsidR="00740DC7" w:rsidRPr="7EB38FF3">
        <w:rPr>
          <w:rFonts w:eastAsia="Times New Roman"/>
          <w:lang w:val="en-US" w:eastAsia="ja-JP"/>
        </w:rPr>
        <w:t xml:space="preserve"> ACA. Section 1333 provides a process for states to </w:t>
      </w:r>
      <w:proofErr w:type="gramStart"/>
      <w:r w:rsidR="00740DC7" w:rsidRPr="7EB38FF3">
        <w:rPr>
          <w:rFonts w:eastAsia="Times New Roman"/>
          <w:lang w:val="en-US" w:eastAsia="ja-JP"/>
        </w:rPr>
        <w:t>enter into</w:t>
      </w:r>
      <w:proofErr w:type="gramEnd"/>
      <w:r w:rsidR="00740DC7" w:rsidRPr="7EB38FF3">
        <w:rPr>
          <w:rFonts w:eastAsia="Times New Roman"/>
          <w:lang w:val="en-US" w:eastAsia="ja-JP"/>
        </w:rPr>
        <w:t xml:space="preserve"> multistate compacts</w:t>
      </w:r>
      <w:r w:rsidRPr="7EB38FF3" w:rsidDel="0001382A">
        <w:rPr>
          <w:rFonts w:eastAsia="Times New Roman"/>
          <w:lang w:val="en-US" w:eastAsia="ja-JP"/>
        </w:rPr>
        <w:t xml:space="preserve"> </w:t>
      </w:r>
      <w:proofErr w:type="gramStart"/>
      <w:r w:rsidR="18D6C506" w:rsidRPr="7EB38FF3">
        <w:rPr>
          <w:rFonts w:eastAsia="Times New Roman"/>
          <w:lang w:val="en-US" w:eastAsia="ja-JP"/>
        </w:rPr>
        <w:t>in order to</w:t>
      </w:r>
      <w:proofErr w:type="gramEnd"/>
      <w:r w:rsidR="18D6C506" w:rsidRPr="7EB38FF3">
        <w:rPr>
          <w:rFonts w:eastAsia="Times New Roman"/>
          <w:lang w:val="en-US" w:eastAsia="ja-JP"/>
        </w:rPr>
        <w:t xml:space="preserve"> allow </w:t>
      </w:r>
      <w:r w:rsidR="0001382A" w:rsidRPr="7EB38FF3">
        <w:rPr>
          <w:rFonts w:eastAsia="Times New Roman"/>
          <w:lang w:val="en-US" w:eastAsia="ja-JP"/>
        </w:rPr>
        <w:t xml:space="preserve">the sale of </w:t>
      </w:r>
      <w:r w:rsidR="6FC55D81" w:rsidRPr="7EB38FF3">
        <w:rPr>
          <w:rFonts w:eastAsia="Times New Roman"/>
          <w:lang w:val="en-US" w:eastAsia="ja-JP"/>
        </w:rPr>
        <w:t xml:space="preserve">individual </w:t>
      </w:r>
      <w:r w:rsidR="0001382A" w:rsidRPr="7EB38FF3">
        <w:rPr>
          <w:rFonts w:eastAsia="Times New Roman"/>
          <w:lang w:val="en-US" w:eastAsia="ja-JP"/>
        </w:rPr>
        <w:t xml:space="preserve">insurance </w:t>
      </w:r>
      <w:r w:rsidR="7ED6A10C" w:rsidRPr="59BDA9E1">
        <w:rPr>
          <w:rFonts w:eastAsia="Times New Roman"/>
          <w:lang w:val="en-US" w:eastAsia="ja-JP"/>
        </w:rPr>
        <w:t>products</w:t>
      </w:r>
      <w:r w:rsidR="7ED6A10C" w:rsidRPr="7EB38FF3">
        <w:rPr>
          <w:rFonts w:eastAsia="Times New Roman"/>
          <w:lang w:val="en-US" w:eastAsia="ja-JP"/>
        </w:rPr>
        <w:t xml:space="preserve"> in multiple states</w:t>
      </w:r>
      <w:r w:rsidR="0001382A" w:rsidRPr="7EB38FF3">
        <w:rPr>
          <w:rFonts w:eastAsia="Times New Roman"/>
          <w:lang w:val="en-US" w:eastAsia="ja-JP"/>
        </w:rPr>
        <w:t>.</w:t>
      </w:r>
      <w:r w:rsidR="00095682" w:rsidRPr="7EB38FF3">
        <w:rPr>
          <w:rFonts w:eastAsia="Times New Roman"/>
          <w:lang w:val="en-US" w:eastAsia="ja-JP"/>
        </w:rPr>
        <w:t xml:space="preserve"> This paper reviews each of these three sections</w:t>
      </w:r>
      <w:r w:rsidR="00C1760B" w:rsidRPr="7EB38FF3">
        <w:rPr>
          <w:rFonts w:eastAsia="Times New Roman"/>
          <w:lang w:val="en-US" w:eastAsia="ja-JP"/>
        </w:rPr>
        <w:t>, summarizing state experiences an</w:t>
      </w:r>
      <w:r w:rsidR="00F5173B" w:rsidRPr="7EB38FF3">
        <w:rPr>
          <w:rFonts w:eastAsia="Times New Roman"/>
          <w:lang w:val="en-US" w:eastAsia="ja-JP"/>
        </w:rPr>
        <w:t xml:space="preserve">d offering considerations </w:t>
      </w:r>
      <w:r w:rsidR="007F4BD6" w:rsidRPr="7EB38FF3">
        <w:rPr>
          <w:rFonts w:eastAsia="Times New Roman"/>
          <w:lang w:val="en-US" w:eastAsia="ja-JP"/>
        </w:rPr>
        <w:t>for states</w:t>
      </w:r>
      <w:r w:rsidR="2774CA61" w:rsidRPr="7EB38FF3">
        <w:rPr>
          <w:rFonts w:eastAsia="Times New Roman"/>
          <w:lang w:val="en-US" w:eastAsia="ja-JP"/>
        </w:rPr>
        <w:t xml:space="preserve"> as well as recommendations for consideration to allow for greater flexibility to improve coverage options within states</w:t>
      </w:r>
      <w:r w:rsidR="007F4BD6" w:rsidRPr="7EB38FF3">
        <w:rPr>
          <w:rFonts w:eastAsia="Times New Roman"/>
          <w:lang w:val="en-US" w:eastAsia="ja-JP"/>
        </w:rPr>
        <w:t>.</w:t>
      </w:r>
      <w:r w:rsidR="00095682" w:rsidRPr="7EB38FF3">
        <w:rPr>
          <w:rFonts w:eastAsia="Times New Roman"/>
          <w:lang w:val="en-US" w:eastAsia="ja-JP"/>
        </w:rPr>
        <w:t xml:space="preserve"> </w:t>
      </w:r>
    </w:p>
    <w:p w14:paraId="10B3C980" w14:textId="77777777" w:rsidR="006C69D5" w:rsidRDefault="006C69D5" w:rsidP="42069771">
      <w:pPr>
        <w:spacing w:after="200" w:line="276" w:lineRule="auto"/>
        <w:outlineLvl w:val="0"/>
        <w:rPr>
          <w:rFonts w:ascii="Cambria" w:eastAsia="Times New Roman" w:hAnsi="Cambria" w:cs="Times New Roman"/>
          <w:sz w:val="22"/>
          <w:szCs w:val="22"/>
          <w:lang w:eastAsia="ja-JP"/>
        </w:rPr>
      </w:pPr>
    </w:p>
    <w:p w14:paraId="4F88B0B3" w14:textId="2AAC9840" w:rsidR="00657C5D" w:rsidRPr="006063FE" w:rsidRDefault="00657C5D" w:rsidP="000E628C">
      <w:pPr>
        <w:pStyle w:val="Heading1"/>
        <w:rPr>
          <w:rFonts w:eastAsia="Times New Roman"/>
          <w:lang w:eastAsia="ja-JP"/>
        </w:rPr>
      </w:pPr>
      <w:bookmarkStart w:id="1" w:name="_Toc216861692"/>
      <w:r w:rsidRPr="67927A30">
        <w:rPr>
          <w:rFonts w:eastAsia="Times New Roman"/>
          <w:lang w:eastAsia="ja-JP"/>
        </w:rPr>
        <w:t>Section 1331 Basic Health Programs</w:t>
      </w:r>
      <w:bookmarkEnd w:id="1"/>
    </w:p>
    <w:p w14:paraId="429CF8B2" w14:textId="58F13196" w:rsidR="5ECDA8C2" w:rsidRDefault="5ECDA8C2" w:rsidP="000E628C">
      <w:pPr>
        <w:rPr>
          <w:rFonts w:eastAsia="Cambria"/>
        </w:rPr>
      </w:pPr>
      <w:r w:rsidRPr="67927A30">
        <w:rPr>
          <w:rFonts w:eastAsia="Cambria"/>
        </w:rPr>
        <w:t xml:space="preserve">Section 1331 of the Affordable Care Act </w:t>
      </w:r>
      <w:r w:rsidR="22AE7586" w:rsidRPr="67927A30">
        <w:rPr>
          <w:rFonts w:eastAsia="Cambria"/>
        </w:rPr>
        <w:t>allows states to create</w:t>
      </w:r>
      <w:r w:rsidRPr="67927A30">
        <w:rPr>
          <w:rFonts w:eastAsia="Cambria"/>
        </w:rPr>
        <w:t xml:space="preserve"> a Basic Health Program (BHP), a health benefits coverage program for low-income residents who would otherwise be eligible to purchase coverage through the Health Insurance Marketplace. The Basic Health Program gives states the ability to provide more affordable coverage for these low-income residents and improve continuity of care for people whose income fluctuates above and below Medicaid and Children's Health Insurance Program (CHIP) levels.</w:t>
      </w:r>
      <w:r w:rsidRPr="67927A30">
        <w:rPr>
          <w:rStyle w:val="FootnoteReference"/>
          <w:rFonts w:ascii="Cambria" w:eastAsia="Cambria" w:hAnsi="Cambria" w:cs="Cambria"/>
          <w:sz w:val="22"/>
          <w:szCs w:val="22"/>
        </w:rPr>
        <w:footnoteReference w:id="2"/>
      </w:r>
      <w:r w:rsidR="00D35DCB">
        <w:rPr>
          <w:rFonts w:eastAsia="Cambria"/>
        </w:rPr>
        <w:t xml:space="preserve"> </w:t>
      </w:r>
    </w:p>
    <w:p w14:paraId="309E6BFD" w14:textId="131F9C5D" w:rsidR="5ECDA8C2" w:rsidRDefault="4EE94B81" w:rsidP="7EB38FF3">
      <w:pPr>
        <w:rPr>
          <w:rFonts w:eastAsia="Cambria"/>
          <w:lang w:val="en-US"/>
        </w:rPr>
      </w:pPr>
      <w:r w:rsidRPr="7EB38FF3">
        <w:rPr>
          <w:rFonts w:eastAsia="Cambria"/>
          <w:lang w:val="en-US"/>
        </w:rPr>
        <w:t>Benefits under a Basic Health Program are required by the ACA to</w:t>
      </w:r>
      <w:r w:rsidR="5ECDA8C2" w:rsidRPr="7EB38FF3">
        <w:rPr>
          <w:rFonts w:eastAsia="Cambria"/>
          <w:lang w:val="en-US"/>
        </w:rPr>
        <w:t xml:space="preserve"> include at least the ten essential health benefits specified in the Affordable Care Act. The monthly premium and cost sharing charged to eligible individuals </w:t>
      </w:r>
      <w:r w:rsidR="007B41CD" w:rsidRPr="7EB38FF3">
        <w:rPr>
          <w:rFonts w:eastAsia="Cambria"/>
          <w:lang w:val="en-US"/>
        </w:rPr>
        <w:t>must</w:t>
      </w:r>
      <w:r w:rsidR="5ECDA8C2" w:rsidRPr="7EB38FF3">
        <w:rPr>
          <w:rFonts w:eastAsia="Cambria"/>
          <w:lang w:val="en-US"/>
        </w:rPr>
        <w:t xml:space="preserve"> not exceed what an eligible individual would have paid if he or she were to receive coverage from a qualified health plan (QHP) through the Marketplace. A state that operates a Basic Health Program receive</w:t>
      </w:r>
      <w:r w:rsidR="007B41CD" w:rsidRPr="7EB38FF3">
        <w:rPr>
          <w:rFonts w:eastAsia="Cambria"/>
          <w:lang w:val="en-US"/>
        </w:rPr>
        <w:t>s</w:t>
      </w:r>
      <w:r w:rsidR="5ECDA8C2" w:rsidRPr="7EB38FF3">
        <w:rPr>
          <w:rFonts w:eastAsia="Cambria"/>
          <w:lang w:val="en-US"/>
        </w:rPr>
        <w:t xml:space="preserve"> federal funding equal to 95 percent of the amount of the premium tax credits that would have otherwise been provided to (or on behalf of) eligible individuals if these individuals enrolled in QHPs through the Marketplace.</w:t>
      </w:r>
      <w:r w:rsidR="5ECDA8C2" w:rsidRPr="7EB38FF3">
        <w:rPr>
          <w:rStyle w:val="FootnoteReference"/>
          <w:rFonts w:ascii="Cambria" w:eastAsia="Cambria" w:hAnsi="Cambria" w:cs="Cambria"/>
          <w:sz w:val="22"/>
          <w:szCs w:val="22"/>
          <w:lang w:val="en-US"/>
        </w:rPr>
        <w:footnoteReference w:id="3"/>
      </w:r>
      <w:r w:rsidR="00550820" w:rsidRPr="7EB38FF3">
        <w:rPr>
          <w:rFonts w:eastAsia="Cambria"/>
          <w:lang w:val="en-US"/>
        </w:rPr>
        <w:t xml:space="preserve"> </w:t>
      </w:r>
      <w:r w:rsidR="005E2E04" w:rsidRPr="7EB38FF3">
        <w:rPr>
          <w:rFonts w:eastAsia="Cambria"/>
          <w:lang w:val="en-US"/>
        </w:rPr>
        <w:t>T</w:t>
      </w:r>
      <w:r w:rsidR="00EA1F49" w:rsidRPr="7EB38FF3">
        <w:rPr>
          <w:rFonts w:eastAsia="Cambria"/>
          <w:lang w:val="en-US"/>
        </w:rPr>
        <w:t xml:space="preserve">his amount </w:t>
      </w:r>
      <w:r w:rsidR="00DD6A51" w:rsidRPr="7EB38FF3">
        <w:rPr>
          <w:rFonts w:eastAsia="Cambria"/>
          <w:lang w:val="en-US"/>
        </w:rPr>
        <w:t>may cover the costs of a state program</w:t>
      </w:r>
      <w:r w:rsidR="005E2E04" w:rsidRPr="7EB38FF3">
        <w:rPr>
          <w:rFonts w:eastAsia="Cambria"/>
          <w:lang w:val="en-US"/>
        </w:rPr>
        <w:t>, but depending on state circumstances and implementation choices, some additional state funding may be necessary.</w:t>
      </w:r>
    </w:p>
    <w:p w14:paraId="10B7C199" w14:textId="748AC2ED" w:rsidR="00DC4165" w:rsidRPr="002A2A98" w:rsidRDefault="00657C5D" w:rsidP="002A2A98">
      <w:pPr>
        <w:pStyle w:val="Heading2"/>
        <w:rPr>
          <w:rFonts w:eastAsia="Times New Roman"/>
          <w:lang w:eastAsia="ja-JP"/>
        </w:rPr>
      </w:pPr>
      <w:bookmarkStart w:id="2" w:name="_Toc216861693"/>
      <w:r w:rsidRPr="002A2A98">
        <w:rPr>
          <w:rFonts w:eastAsia="Times New Roman"/>
          <w:lang w:eastAsia="ja-JP"/>
        </w:rPr>
        <w:lastRenderedPageBreak/>
        <w:t>Population eligible</w:t>
      </w:r>
      <w:bookmarkEnd w:id="2"/>
    </w:p>
    <w:p w14:paraId="6C3545AE" w14:textId="5F90EF7F" w:rsidR="005536CB" w:rsidRDefault="4C1B581F" w:rsidP="001D14B4">
      <w:pPr>
        <w:rPr>
          <w:rFonts w:eastAsia="Cambria"/>
        </w:rPr>
      </w:pPr>
      <w:r w:rsidRPr="67927A30">
        <w:rPr>
          <w:rFonts w:eastAsia="Cambria"/>
        </w:rPr>
        <w:t xml:space="preserve">Through the Basic Health Program, states can provide coverage to individuals who are citizens or lawfully present non-citizens, who do not qualify for Medicaid, CHIP, or other minimum essential coverage and have income between 133 percent and 200 percent of the federal poverty level (FPL). People who are lawfully present non-citizens who have income that does not exceed 133 percent of FPL but who are unable to qualify for Medicaid due to </w:t>
      </w:r>
      <w:r w:rsidR="006C62EC">
        <w:rPr>
          <w:rFonts w:eastAsia="Cambria"/>
        </w:rPr>
        <w:t>their</w:t>
      </w:r>
      <w:r w:rsidRPr="67927A30">
        <w:rPr>
          <w:rFonts w:eastAsia="Cambria"/>
        </w:rPr>
        <w:t xml:space="preserve"> non-citizen status, are also eligible to enroll.</w:t>
      </w:r>
      <w:r w:rsidRPr="67927A30">
        <w:rPr>
          <w:rStyle w:val="FootnoteReference"/>
          <w:rFonts w:ascii="Cambria" w:eastAsia="Cambria" w:hAnsi="Cambria" w:cs="Cambria"/>
          <w:sz w:val="22"/>
          <w:szCs w:val="22"/>
        </w:rPr>
        <w:footnoteReference w:id="4"/>
      </w:r>
      <w:r w:rsidR="00694926">
        <w:rPr>
          <w:rFonts w:eastAsia="Cambria"/>
        </w:rPr>
        <w:t xml:space="preserve"> However, these individuals will no longer be eligible for premium tax credits beginning in 2027</w:t>
      </w:r>
      <w:r w:rsidR="00652653">
        <w:rPr>
          <w:rFonts w:eastAsia="Cambria"/>
        </w:rPr>
        <w:t xml:space="preserve">, so </w:t>
      </w:r>
      <w:r w:rsidR="00403068">
        <w:rPr>
          <w:rFonts w:eastAsia="Cambria"/>
        </w:rPr>
        <w:t xml:space="preserve">after 2026, </w:t>
      </w:r>
      <w:r w:rsidR="00652653">
        <w:rPr>
          <w:rFonts w:eastAsia="Cambria"/>
        </w:rPr>
        <w:t>federal BHP funding will not be available to states for this population.</w:t>
      </w:r>
    </w:p>
    <w:p w14:paraId="4DCEE467" w14:textId="77777777" w:rsidR="00DC4165" w:rsidRPr="00105306" w:rsidRDefault="00DC4165" w:rsidP="00105306">
      <w:pPr>
        <w:spacing w:after="200" w:line="276" w:lineRule="auto"/>
        <w:outlineLvl w:val="1"/>
        <w:rPr>
          <w:rFonts w:ascii="Cambria" w:eastAsia="Times New Roman" w:hAnsi="Cambria" w:cs="Times New Roman"/>
          <w:sz w:val="22"/>
          <w:szCs w:val="22"/>
          <w:lang w:eastAsia="ja-JP"/>
        </w:rPr>
      </w:pPr>
    </w:p>
    <w:p w14:paraId="68944840" w14:textId="50C42B23" w:rsidR="00657C5D" w:rsidRPr="00105306" w:rsidRDefault="00657C5D" w:rsidP="001A4955">
      <w:pPr>
        <w:pStyle w:val="Heading2"/>
        <w:rPr>
          <w:rFonts w:eastAsia="Times New Roman"/>
          <w:lang w:eastAsia="ja-JP"/>
        </w:rPr>
      </w:pPr>
      <w:bookmarkStart w:id="3" w:name="_Toc216861694"/>
      <w:r w:rsidRPr="00105306">
        <w:rPr>
          <w:rFonts w:eastAsia="Times New Roman"/>
          <w:lang w:eastAsia="ja-JP"/>
        </w:rPr>
        <w:t>Summary of federal statute, regulations, and guidance</w:t>
      </w:r>
      <w:bookmarkEnd w:id="3"/>
    </w:p>
    <w:p w14:paraId="3A293608" w14:textId="38D6C312" w:rsidR="00300D79" w:rsidRDefault="00C72BD2" w:rsidP="00342FC6">
      <w:pPr>
        <w:rPr>
          <w:rFonts w:eastAsia="Times New Roman"/>
          <w:lang w:eastAsia="ja-JP"/>
        </w:rPr>
      </w:pPr>
      <w:r>
        <w:rPr>
          <w:rFonts w:eastAsia="Times New Roman"/>
          <w:lang w:eastAsia="ja-JP"/>
        </w:rPr>
        <w:t xml:space="preserve">Section 1331 of the ACA outlines the </w:t>
      </w:r>
      <w:r w:rsidR="009501FD">
        <w:rPr>
          <w:rFonts w:eastAsia="Times New Roman"/>
          <w:lang w:eastAsia="ja-JP"/>
        </w:rPr>
        <w:t xml:space="preserve">requirements for the Basic Health Program. </w:t>
      </w:r>
      <w:r w:rsidR="00604C91">
        <w:rPr>
          <w:rFonts w:eastAsia="Times New Roman"/>
          <w:lang w:eastAsia="ja-JP"/>
        </w:rPr>
        <w:t xml:space="preserve"> Regulations finalized by HHS in 2014 further define the program, while </w:t>
      </w:r>
      <w:r w:rsidR="00444478">
        <w:rPr>
          <w:rFonts w:eastAsia="Times New Roman"/>
          <w:lang w:eastAsia="ja-JP"/>
        </w:rPr>
        <w:t xml:space="preserve">subsequent </w:t>
      </w:r>
      <w:r w:rsidR="000C4BCC">
        <w:rPr>
          <w:rFonts w:eastAsia="Times New Roman"/>
          <w:lang w:eastAsia="ja-JP"/>
        </w:rPr>
        <w:t xml:space="preserve">regulation and </w:t>
      </w:r>
      <w:r w:rsidR="00604C91">
        <w:rPr>
          <w:rFonts w:eastAsia="Times New Roman"/>
          <w:lang w:eastAsia="ja-JP"/>
        </w:rPr>
        <w:t>guidance</w:t>
      </w:r>
      <w:r w:rsidR="00444478">
        <w:rPr>
          <w:rFonts w:eastAsia="Times New Roman"/>
          <w:lang w:eastAsia="ja-JP"/>
        </w:rPr>
        <w:t xml:space="preserve"> has refined the methods for calculating federal payments to states </w:t>
      </w:r>
      <w:r w:rsidR="00300D79">
        <w:rPr>
          <w:rFonts w:eastAsia="Times New Roman"/>
          <w:lang w:eastAsia="ja-JP"/>
        </w:rPr>
        <w:t>to support their programs.</w:t>
      </w:r>
    </w:p>
    <w:p w14:paraId="17F0658D" w14:textId="64F141D7" w:rsidR="005B5A33" w:rsidRDefault="009501FD" w:rsidP="00342FC6">
      <w:pPr>
        <w:rPr>
          <w:rFonts w:eastAsia="Times New Roman"/>
          <w:lang w:eastAsia="ja-JP"/>
        </w:rPr>
      </w:pPr>
      <w:r>
        <w:rPr>
          <w:rFonts w:eastAsia="Times New Roman"/>
          <w:lang w:eastAsia="ja-JP"/>
        </w:rPr>
        <w:t xml:space="preserve">The law authorizes the Secretary of HHS </w:t>
      </w:r>
      <w:r w:rsidR="005E6E58">
        <w:rPr>
          <w:rFonts w:eastAsia="Times New Roman"/>
          <w:lang w:eastAsia="ja-JP"/>
        </w:rPr>
        <w:t xml:space="preserve">to approve state </w:t>
      </w:r>
      <w:r w:rsidR="00644130">
        <w:rPr>
          <w:rFonts w:eastAsia="Times New Roman"/>
          <w:lang w:eastAsia="ja-JP"/>
        </w:rPr>
        <w:t xml:space="preserve">plans that </w:t>
      </w:r>
      <w:r w:rsidR="003358F9">
        <w:rPr>
          <w:rFonts w:eastAsia="Times New Roman"/>
          <w:lang w:eastAsia="ja-JP"/>
        </w:rPr>
        <w:t xml:space="preserve">establish how the state will contract with health plans to </w:t>
      </w:r>
      <w:r w:rsidR="00300D79">
        <w:rPr>
          <w:rFonts w:eastAsia="Times New Roman"/>
          <w:lang w:eastAsia="ja-JP"/>
        </w:rPr>
        <w:t xml:space="preserve">cover eligible enrollees. </w:t>
      </w:r>
      <w:r w:rsidR="00161D56">
        <w:rPr>
          <w:rFonts w:eastAsia="Times New Roman"/>
          <w:lang w:eastAsia="ja-JP"/>
        </w:rPr>
        <w:t>The ACA</w:t>
      </w:r>
      <w:r w:rsidR="00162EB5">
        <w:rPr>
          <w:rFonts w:eastAsia="Times New Roman"/>
          <w:lang w:eastAsia="ja-JP"/>
        </w:rPr>
        <w:t xml:space="preserve"> requires a competitive process to select the contracting health plans and provides se</w:t>
      </w:r>
      <w:r w:rsidR="00D83241">
        <w:rPr>
          <w:rFonts w:eastAsia="Times New Roman"/>
          <w:lang w:eastAsia="ja-JP"/>
        </w:rPr>
        <w:t xml:space="preserve">veral </w:t>
      </w:r>
      <w:r w:rsidR="00EC6E40">
        <w:rPr>
          <w:rFonts w:eastAsia="Times New Roman"/>
          <w:lang w:eastAsia="ja-JP"/>
        </w:rPr>
        <w:t>factors for consideration in making the contract awards. Th</w:t>
      </w:r>
      <w:r w:rsidR="00C47AB4">
        <w:rPr>
          <w:rFonts w:eastAsia="Times New Roman"/>
          <w:lang w:eastAsia="ja-JP"/>
        </w:rPr>
        <w:t xml:space="preserve">e statute lays out the process for </w:t>
      </w:r>
      <w:r w:rsidR="00991A38">
        <w:rPr>
          <w:rFonts w:eastAsia="Times New Roman"/>
          <w:lang w:eastAsia="ja-JP"/>
        </w:rPr>
        <w:t>the Secretary to determin</w:t>
      </w:r>
      <w:r w:rsidR="00161D56">
        <w:rPr>
          <w:rFonts w:eastAsia="Times New Roman"/>
          <w:lang w:eastAsia="ja-JP"/>
        </w:rPr>
        <w:t>e</w:t>
      </w:r>
      <w:r w:rsidR="00991A38">
        <w:rPr>
          <w:rFonts w:eastAsia="Times New Roman"/>
          <w:lang w:eastAsia="ja-JP"/>
        </w:rPr>
        <w:t xml:space="preserve"> the amount of federal funding for a state program</w:t>
      </w:r>
      <w:r w:rsidR="00537BC7">
        <w:rPr>
          <w:rFonts w:eastAsia="Times New Roman"/>
          <w:lang w:eastAsia="ja-JP"/>
        </w:rPr>
        <w:t xml:space="preserve">, which </w:t>
      </w:r>
      <w:r w:rsidR="003243B6">
        <w:rPr>
          <w:rFonts w:eastAsia="Times New Roman"/>
          <w:lang w:eastAsia="ja-JP"/>
        </w:rPr>
        <w:t xml:space="preserve">includes </w:t>
      </w:r>
      <w:r w:rsidR="00DB5F60">
        <w:rPr>
          <w:rFonts w:eastAsia="Times New Roman"/>
          <w:lang w:eastAsia="ja-JP"/>
        </w:rPr>
        <w:t xml:space="preserve">95% of </w:t>
      </w:r>
      <w:r w:rsidR="003243B6">
        <w:rPr>
          <w:rFonts w:eastAsia="Times New Roman"/>
          <w:lang w:eastAsia="ja-JP"/>
        </w:rPr>
        <w:t>the federal payments for premium tax credits and cost-sharing redu</w:t>
      </w:r>
      <w:r w:rsidR="00DB5F60">
        <w:rPr>
          <w:rFonts w:eastAsia="Times New Roman"/>
          <w:lang w:eastAsia="ja-JP"/>
        </w:rPr>
        <w:t>ction that would otherwise go to Basic Health enrollees. The law also</w:t>
      </w:r>
      <w:r w:rsidR="00991A38">
        <w:rPr>
          <w:rFonts w:eastAsia="Times New Roman"/>
          <w:lang w:eastAsia="ja-JP"/>
        </w:rPr>
        <w:t xml:space="preserve"> </w:t>
      </w:r>
      <w:r w:rsidR="00F2627C">
        <w:rPr>
          <w:rFonts w:eastAsia="Times New Roman"/>
          <w:lang w:eastAsia="ja-JP"/>
        </w:rPr>
        <w:t xml:space="preserve">defines </w:t>
      </w:r>
      <w:r w:rsidR="000E7BF0">
        <w:rPr>
          <w:rFonts w:eastAsia="Times New Roman"/>
          <w:lang w:eastAsia="ja-JP"/>
        </w:rPr>
        <w:t>who is eligible for enrollment in Basic Health coverage</w:t>
      </w:r>
      <w:r w:rsidR="00DB5F60">
        <w:rPr>
          <w:rFonts w:eastAsia="Times New Roman"/>
          <w:lang w:eastAsia="ja-JP"/>
        </w:rPr>
        <w:t xml:space="preserve"> and </w:t>
      </w:r>
      <w:r w:rsidR="005570CE">
        <w:rPr>
          <w:rFonts w:eastAsia="Times New Roman"/>
          <w:lang w:eastAsia="ja-JP"/>
        </w:rPr>
        <w:t>requires that BHP enrollees pay no more in premiums</w:t>
      </w:r>
      <w:r w:rsidR="00EC5486">
        <w:rPr>
          <w:rFonts w:eastAsia="Times New Roman"/>
          <w:lang w:eastAsia="ja-JP"/>
        </w:rPr>
        <w:t xml:space="preserve"> </w:t>
      </w:r>
      <w:r w:rsidR="005570CE">
        <w:rPr>
          <w:rFonts w:eastAsia="Times New Roman"/>
          <w:lang w:eastAsia="ja-JP"/>
        </w:rPr>
        <w:t>than they would for the second lowest cost silver plan in their states’ marketplac</w:t>
      </w:r>
      <w:r w:rsidR="00EC5486">
        <w:rPr>
          <w:rFonts w:eastAsia="Times New Roman"/>
          <w:lang w:eastAsia="ja-JP"/>
        </w:rPr>
        <w:t>es</w:t>
      </w:r>
      <w:r w:rsidR="00731202">
        <w:rPr>
          <w:rFonts w:eastAsia="Times New Roman"/>
          <w:lang w:eastAsia="ja-JP"/>
        </w:rPr>
        <w:t xml:space="preserve"> and no more in cost-sharing than would be applicable in a gold or platinum plan, depending on income</w:t>
      </w:r>
      <w:r w:rsidR="00EC5486">
        <w:rPr>
          <w:rFonts w:eastAsia="Times New Roman"/>
          <w:lang w:eastAsia="ja-JP"/>
        </w:rPr>
        <w:t>.</w:t>
      </w:r>
      <w:r w:rsidR="003358F9">
        <w:rPr>
          <w:rFonts w:eastAsia="Times New Roman"/>
          <w:lang w:eastAsia="ja-JP"/>
        </w:rPr>
        <w:t xml:space="preserve"> </w:t>
      </w:r>
      <w:r>
        <w:rPr>
          <w:rFonts w:eastAsia="Times New Roman"/>
          <w:lang w:eastAsia="ja-JP"/>
        </w:rPr>
        <w:t xml:space="preserve"> </w:t>
      </w:r>
    </w:p>
    <w:p w14:paraId="6126B21C" w14:textId="77777777" w:rsidR="00635FBC" w:rsidRDefault="009B22A7" w:rsidP="00342FC6">
      <w:pPr>
        <w:rPr>
          <w:rFonts w:eastAsia="Times New Roman"/>
          <w:lang w:eastAsia="ja-JP"/>
        </w:rPr>
      </w:pPr>
      <w:r>
        <w:rPr>
          <w:rFonts w:eastAsia="Times New Roman"/>
          <w:lang w:eastAsia="ja-JP"/>
        </w:rPr>
        <w:t xml:space="preserve">The final regulation </w:t>
      </w:r>
      <w:r w:rsidR="00BA6D13">
        <w:rPr>
          <w:rFonts w:eastAsia="Times New Roman"/>
          <w:lang w:eastAsia="ja-JP"/>
        </w:rPr>
        <w:t>establishes a Basic Health Program Blueprint which states must develop and submit to HHS for certification. The Blueprint defines how the state will operate its Basic Health Program.</w:t>
      </w:r>
      <w:r w:rsidR="001D3A08">
        <w:rPr>
          <w:rFonts w:eastAsia="Times New Roman"/>
          <w:lang w:eastAsia="ja-JP"/>
        </w:rPr>
        <w:t xml:space="preserve"> The rule </w:t>
      </w:r>
      <w:r w:rsidR="00466E83">
        <w:rPr>
          <w:rFonts w:eastAsia="Times New Roman"/>
          <w:lang w:eastAsia="ja-JP"/>
        </w:rPr>
        <w:t>establishes eligibility and enrollment standard</w:t>
      </w:r>
      <w:r w:rsidR="00E838A8">
        <w:rPr>
          <w:rFonts w:eastAsia="Times New Roman"/>
          <w:lang w:eastAsia="ja-JP"/>
        </w:rPr>
        <w:t xml:space="preserve">s and enrollee financial responsibilities. It requires states to offer at least two plan </w:t>
      </w:r>
      <w:r w:rsidR="0038179F">
        <w:rPr>
          <w:rFonts w:eastAsia="Times New Roman"/>
          <w:lang w:eastAsia="ja-JP"/>
        </w:rPr>
        <w:t>choices to enrollees, except where it is not feasible to do so.</w:t>
      </w:r>
      <w:r w:rsidR="00D67BC4">
        <w:rPr>
          <w:rFonts w:eastAsia="Times New Roman"/>
          <w:lang w:eastAsia="ja-JP"/>
        </w:rPr>
        <w:t xml:space="preserve"> </w:t>
      </w:r>
    </w:p>
    <w:p w14:paraId="6909D570" w14:textId="48C04575" w:rsidR="0004796B" w:rsidRDefault="00D67BC4" w:rsidP="00342FC6">
      <w:pPr>
        <w:rPr>
          <w:rFonts w:eastAsia="Times New Roman"/>
          <w:lang w:eastAsia="ja-JP"/>
        </w:rPr>
      </w:pPr>
      <w:r>
        <w:rPr>
          <w:rFonts w:eastAsia="Times New Roman"/>
          <w:lang w:eastAsia="ja-JP"/>
        </w:rPr>
        <w:t xml:space="preserve">The 2014 rule set up </w:t>
      </w:r>
      <w:r w:rsidR="00E73AAE">
        <w:rPr>
          <w:rFonts w:eastAsia="Times New Roman"/>
          <w:lang w:eastAsia="ja-JP"/>
        </w:rPr>
        <w:t>the initial funding formula for BHPs.</w:t>
      </w:r>
      <w:r w:rsidR="00710F1D">
        <w:rPr>
          <w:rFonts w:eastAsia="Times New Roman"/>
          <w:lang w:eastAsia="ja-JP"/>
        </w:rPr>
        <w:t xml:space="preserve"> </w:t>
      </w:r>
      <w:r w:rsidR="000561E8">
        <w:rPr>
          <w:rFonts w:eastAsia="Times New Roman"/>
          <w:lang w:eastAsia="ja-JP"/>
        </w:rPr>
        <w:t>Because the amount of funding is tied to premium tax credits and cost-sharing reductions</w:t>
      </w:r>
      <w:r w:rsidR="007076D5">
        <w:rPr>
          <w:rFonts w:eastAsia="Times New Roman"/>
          <w:lang w:eastAsia="ja-JP"/>
        </w:rPr>
        <w:t xml:space="preserve"> (CSRs)</w:t>
      </w:r>
      <w:r w:rsidR="000561E8">
        <w:rPr>
          <w:rFonts w:eastAsia="Times New Roman"/>
          <w:lang w:eastAsia="ja-JP"/>
        </w:rPr>
        <w:t>, c</w:t>
      </w:r>
      <w:r w:rsidR="00710F1D">
        <w:rPr>
          <w:rFonts w:eastAsia="Times New Roman"/>
          <w:lang w:eastAsia="ja-JP"/>
        </w:rPr>
        <w:t xml:space="preserve">hanges to </w:t>
      </w:r>
      <w:r w:rsidR="000561E8">
        <w:rPr>
          <w:rFonts w:eastAsia="Times New Roman"/>
          <w:lang w:eastAsia="ja-JP"/>
        </w:rPr>
        <w:t xml:space="preserve">state or </w:t>
      </w:r>
      <w:r w:rsidR="00710F1D">
        <w:rPr>
          <w:rFonts w:eastAsia="Times New Roman"/>
          <w:lang w:eastAsia="ja-JP"/>
        </w:rPr>
        <w:t xml:space="preserve">federal policy since </w:t>
      </w:r>
      <w:r w:rsidR="00B95E29">
        <w:rPr>
          <w:rFonts w:eastAsia="Times New Roman"/>
          <w:lang w:eastAsia="ja-JP"/>
        </w:rPr>
        <w:t>2014</w:t>
      </w:r>
      <w:r w:rsidR="00710F1D">
        <w:rPr>
          <w:rFonts w:eastAsia="Times New Roman"/>
          <w:lang w:eastAsia="ja-JP"/>
        </w:rPr>
        <w:t xml:space="preserve"> </w:t>
      </w:r>
      <w:r w:rsidR="007076D5">
        <w:rPr>
          <w:rFonts w:eastAsia="Times New Roman"/>
          <w:lang w:eastAsia="ja-JP"/>
        </w:rPr>
        <w:t xml:space="preserve">that alter PTC or CSR payments </w:t>
      </w:r>
      <w:r w:rsidR="00710F1D">
        <w:rPr>
          <w:rFonts w:eastAsia="Times New Roman"/>
          <w:lang w:eastAsia="ja-JP"/>
        </w:rPr>
        <w:t xml:space="preserve">have affected the funding available to </w:t>
      </w:r>
      <w:r w:rsidR="00710F1D">
        <w:rPr>
          <w:rFonts w:eastAsia="Times New Roman"/>
          <w:lang w:eastAsia="ja-JP"/>
        </w:rPr>
        <w:lastRenderedPageBreak/>
        <w:t>states with BHPs.</w:t>
      </w:r>
      <w:r w:rsidR="0097310A">
        <w:rPr>
          <w:rFonts w:eastAsia="Times New Roman"/>
          <w:lang w:eastAsia="ja-JP"/>
        </w:rPr>
        <w:t xml:space="preserve"> The end of federal payments to insurers for </w:t>
      </w:r>
      <w:r w:rsidR="009F0633">
        <w:rPr>
          <w:rFonts w:eastAsia="Times New Roman"/>
          <w:lang w:eastAsia="ja-JP"/>
        </w:rPr>
        <w:t>CSRs</w:t>
      </w:r>
      <w:r w:rsidR="0097310A">
        <w:rPr>
          <w:rFonts w:eastAsia="Times New Roman"/>
          <w:lang w:eastAsia="ja-JP"/>
        </w:rPr>
        <w:t xml:space="preserve"> in 2017 eliminated the </w:t>
      </w:r>
      <w:r w:rsidR="00C428B4">
        <w:rPr>
          <w:rFonts w:eastAsia="Times New Roman"/>
          <w:lang w:eastAsia="ja-JP"/>
        </w:rPr>
        <w:t xml:space="preserve">CSR portion of Basic Health funding. </w:t>
      </w:r>
      <w:r w:rsidR="00B95E29">
        <w:rPr>
          <w:rFonts w:eastAsia="Times New Roman"/>
          <w:lang w:eastAsia="ja-JP"/>
        </w:rPr>
        <w:t xml:space="preserve">The enhanced premium tax credits </w:t>
      </w:r>
      <w:r w:rsidR="00074F3A">
        <w:rPr>
          <w:rFonts w:eastAsia="Times New Roman"/>
          <w:lang w:eastAsia="ja-JP"/>
        </w:rPr>
        <w:t xml:space="preserve">authorized in 2021 significantly increased BHP funding for states. </w:t>
      </w:r>
      <w:r w:rsidR="0099630C">
        <w:rPr>
          <w:rFonts w:eastAsia="Times New Roman"/>
          <w:lang w:eastAsia="ja-JP"/>
        </w:rPr>
        <w:t xml:space="preserve">Later, in </w:t>
      </w:r>
      <w:r w:rsidR="00FC7A87">
        <w:rPr>
          <w:rFonts w:eastAsia="Times New Roman"/>
          <w:lang w:eastAsia="ja-JP"/>
        </w:rPr>
        <w:t>2023, HHS established a reinsurance factor in determining BHP funding</w:t>
      </w:r>
      <w:r w:rsidR="003733F5">
        <w:rPr>
          <w:rFonts w:eastAsia="Times New Roman"/>
          <w:lang w:eastAsia="ja-JP"/>
        </w:rPr>
        <w:t xml:space="preserve">—this allows states to </w:t>
      </w:r>
      <w:r w:rsidR="00690AD9">
        <w:rPr>
          <w:rFonts w:eastAsia="Times New Roman"/>
          <w:lang w:eastAsia="ja-JP"/>
        </w:rPr>
        <w:t>maintain</w:t>
      </w:r>
      <w:r w:rsidR="003733F5">
        <w:rPr>
          <w:rFonts w:eastAsia="Times New Roman"/>
          <w:lang w:eastAsia="ja-JP"/>
        </w:rPr>
        <w:t xml:space="preserve"> BHP fund</w:t>
      </w:r>
      <w:r w:rsidR="00B03EF1">
        <w:rPr>
          <w:rFonts w:eastAsia="Times New Roman"/>
          <w:lang w:eastAsia="ja-JP"/>
        </w:rPr>
        <w:t>ing even when</w:t>
      </w:r>
      <w:r w:rsidR="003733F5">
        <w:rPr>
          <w:rFonts w:eastAsia="Times New Roman"/>
          <w:lang w:eastAsia="ja-JP"/>
        </w:rPr>
        <w:t xml:space="preserve"> they </w:t>
      </w:r>
      <w:r w:rsidR="00FD4C44">
        <w:rPr>
          <w:rFonts w:eastAsia="Times New Roman"/>
          <w:lang w:eastAsia="ja-JP"/>
        </w:rPr>
        <w:t>operate a reinsurance program that lowers silver plan premiums</w:t>
      </w:r>
      <w:r w:rsidR="009F0633">
        <w:rPr>
          <w:rFonts w:eastAsia="Times New Roman"/>
          <w:lang w:eastAsia="ja-JP"/>
        </w:rPr>
        <w:t xml:space="preserve"> and thus PTCs</w:t>
      </w:r>
      <w:r w:rsidR="00FD4C44">
        <w:rPr>
          <w:rFonts w:eastAsia="Times New Roman"/>
          <w:lang w:eastAsia="ja-JP"/>
        </w:rPr>
        <w:t>.</w:t>
      </w:r>
    </w:p>
    <w:p w14:paraId="0FAB7BB9" w14:textId="77777777" w:rsidR="00766D8B" w:rsidRPr="005B5A33" w:rsidRDefault="00766D8B" w:rsidP="005B5A33">
      <w:pPr>
        <w:spacing w:after="200" w:line="276" w:lineRule="auto"/>
        <w:outlineLvl w:val="1"/>
        <w:rPr>
          <w:rFonts w:ascii="Cambria" w:eastAsia="Times New Roman" w:hAnsi="Cambria" w:cs="Times New Roman"/>
          <w:sz w:val="22"/>
          <w:szCs w:val="22"/>
          <w:lang w:eastAsia="ja-JP"/>
        </w:rPr>
      </w:pPr>
    </w:p>
    <w:p w14:paraId="1BA4BB1C" w14:textId="15F50C09" w:rsidR="00657C5D" w:rsidRDefault="00657C5D" w:rsidP="00342FC6">
      <w:pPr>
        <w:pStyle w:val="Heading2"/>
        <w:rPr>
          <w:rFonts w:eastAsia="Times New Roman"/>
          <w:lang w:eastAsia="ja-JP"/>
        </w:rPr>
      </w:pPr>
      <w:bookmarkStart w:id="4" w:name="_Toc216861695"/>
      <w:r w:rsidRPr="00657C5D">
        <w:rPr>
          <w:rFonts w:eastAsia="Times New Roman"/>
          <w:lang w:eastAsia="ja-JP"/>
        </w:rPr>
        <w:t>State experiences</w:t>
      </w:r>
      <w:bookmarkEnd w:id="4"/>
    </w:p>
    <w:p w14:paraId="45BA7609" w14:textId="4DB8FB07" w:rsidR="00651CF0" w:rsidRPr="00657C5D" w:rsidRDefault="004904F1">
      <w:pPr>
        <w:rPr>
          <w:rFonts w:eastAsia="Times New Roman"/>
          <w:lang w:val="en-US" w:eastAsia="ja-JP"/>
        </w:rPr>
      </w:pPr>
      <w:r w:rsidRPr="7EB38FF3">
        <w:rPr>
          <w:rFonts w:eastAsia="Times New Roman"/>
          <w:lang w:val="en-US" w:eastAsia="ja-JP"/>
        </w:rPr>
        <w:t>The experience of the states that</w:t>
      </w:r>
      <w:r w:rsidR="00B54415" w:rsidRPr="7EB38FF3">
        <w:rPr>
          <w:rFonts w:eastAsia="Times New Roman"/>
          <w:lang w:val="en-US" w:eastAsia="ja-JP"/>
        </w:rPr>
        <w:t xml:space="preserve"> have adopted BHPs under the ACA</w:t>
      </w:r>
      <w:r w:rsidRPr="7EB38FF3">
        <w:rPr>
          <w:rFonts w:eastAsia="Times New Roman"/>
          <w:lang w:val="en-US" w:eastAsia="ja-JP"/>
        </w:rPr>
        <w:t xml:space="preserve"> c</w:t>
      </w:r>
      <w:r w:rsidR="00B54415" w:rsidRPr="7EB38FF3">
        <w:rPr>
          <w:rFonts w:eastAsia="Times New Roman"/>
          <w:lang w:val="en-US" w:eastAsia="ja-JP"/>
        </w:rPr>
        <w:t xml:space="preserve">an </w:t>
      </w:r>
      <w:r w:rsidRPr="7EB38FF3">
        <w:rPr>
          <w:rFonts w:eastAsia="Times New Roman"/>
          <w:lang w:val="en-US" w:eastAsia="ja-JP"/>
        </w:rPr>
        <w:t xml:space="preserve">help </w:t>
      </w:r>
      <w:r w:rsidR="00B54415" w:rsidRPr="7EB38FF3">
        <w:rPr>
          <w:rFonts w:eastAsia="Times New Roman"/>
          <w:lang w:val="en-US" w:eastAsia="ja-JP"/>
        </w:rPr>
        <w:t xml:space="preserve">guide </w:t>
      </w:r>
      <w:r w:rsidR="0018571D" w:rsidRPr="7EB38FF3">
        <w:rPr>
          <w:rFonts w:eastAsia="Times New Roman"/>
          <w:lang w:val="en-US" w:eastAsia="ja-JP"/>
        </w:rPr>
        <w:t>those</w:t>
      </w:r>
      <w:r w:rsidR="00B54415" w:rsidRPr="7EB38FF3">
        <w:rPr>
          <w:rFonts w:eastAsia="Times New Roman"/>
          <w:lang w:val="en-US" w:eastAsia="ja-JP"/>
        </w:rPr>
        <w:t xml:space="preserve"> </w:t>
      </w:r>
      <w:r w:rsidR="00621A9C" w:rsidRPr="7EB38FF3">
        <w:rPr>
          <w:rFonts w:eastAsia="Times New Roman"/>
          <w:lang w:val="en-US" w:eastAsia="ja-JP"/>
        </w:rPr>
        <w:t xml:space="preserve">that are continuing to consider the option. </w:t>
      </w:r>
      <w:r w:rsidR="0078016D" w:rsidRPr="7EB38FF3">
        <w:rPr>
          <w:rFonts w:eastAsia="Times New Roman"/>
          <w:lang w:val="en-US" w:eastAsia="ja-JP"/>
        </w:rPr>
        <w:t xml:space="preserve">Effective in 2015, </w:t>
      </w:r>
      <w:r w:rsidR="00A326E2" w:rsidRPr="7EB38FF3">
        <w:rPr>
          <w:rFonts w:eastAsia="Times New Roman"/>
          <w:lang w:val="en-US" w:eastAsia="ja-JP"/>
        </w:rPr>
        <w:t xml:space="preserve">Minnesota and New York converted state coverage options that pre-existed the ACA to </w:t>
      </w:r>
      <w:r w:rsidR="00F003D7" w:rsidRPr="7EB38FF3">
        <w:rPr>
          <w:rFonts w:eastAsia="Times New Roman"/>
          <w:lang w:val="en-US" w:eastAsia="ja-JP"/>
        </w:rPr>
        <w:t>BHPs</w:t>
      </w:r>
      <w:r w:rsidR="009E0211" w:rsidRPr="7EB38FF3">
        <w:rPr>
          <w:rFonts w:eastAsia="Times New Roman"/>
          <w:lang w:val="en-US" w:eastAsia="ja-JP"/>
        </w:rPr>
        <w:t xml:space="preserve">. </w:t>
      </w:r>
      <w:r w:rsidR="00F003D7" w:rsidRPr="7EB38FF3">
        <w:rPr>
          <w:rFonts w:eastAsia="Times New Roman"/>
          <w:lang w:val="en-US" w:eastAsia="ja-JP"/>
        </w:rPr>
        <w:t xml:space="preserve">New York </w:t>
      </w:r>
      <w:r w:rsidR="009E0211" w:rsidRPr="7EB38FF3">
        <w:rPr>
          <w:rFonts w:eastAsia="Times New Roman"/>
          <w:lang w:val="en-US" w:eastAsia="ja-JP"/>
        </w:rPr>
        <w:t xml:space="preserve">in 2024 </w:t>
      </w:r>
      <w:r w:rsidR="00F003D7" w:rsidRPr="7EB38FF3">
        <w:rPr>
          <w:rFonts w:eastAsia="Times New Roman"/>
          <w:lang w:val="en-US" w:eastAsia="ja-JP"/>
        </w:rPr>
        <w:t>converted its BHP to a Section 1332 waiver</w:t>
      </w:r>
      <w:r w:rsidR="009E0211" w:rsidRPr="7EB38FF3">
        <w:rPr>
          <w:rFonts w:eastAsia="Times New Roman"/>
          <w:lang w:val="en-US" w:eastAsia="ja-JP"/>
        </w:rPr>
        <w:t xml:space="preserve"> and it </w:t>
      </w:r>
      <w:proofErr w:type="gramStart"/>
      <w:r w:rsidR="009E0211" w:rsidRPr="7EB38FF3">
        <w:rPr>
          <w:rFonts w:eastAsia="Times New Roman"/>
          <w:lang w:val="en-US" w:eastAsia="ja-JP"/>
        </w:rPr>
        <w:t>now</w:t>
      </w:r>
      <w:proofErr w:type="gramEnd"/>
      <w:r w:rsidR="009E0211" w:rsidRPr="7EB38FF3">
        <w:rPr>
          <w:rFonts w:eastAsia="Times New Roman"/>
          <w:lang w:val="en-US" w:eastAsia="ja-JP"/>
        </w:rPr>
        <w:t xml:space="preserve"> seeking to </w:t>
      </w:r>
      <w:r w:rsidR="00AC15D1" w:rsidRPr="7EB38FF3">
        <w:rPr>
          <w:rFonts w:eastAsia="Times New Roman"/>
          <w:lang w:val="en-US" w:eastAsia="ja-JP"/>
        </w:rPr>
        <w:t>revert it back to a BHP,</w:t>
      </w:r>
      <w:r w:rsidRPr="7EB38FF3" w:rsidDel="00AC15D1">
        <w:rPr>
          <w:rFonts w:eastAsia="Times New Roman"/>
          <w:lang w:val="en-US" w:eastAsia="ja-JP"/>
        </w:rPr>
        <w:t xml:space="preserve"> </w:t>
      </w:r>
      <w:r w:rsidR="56270443" w:rsidRPr="110D4E94">
        <w:rPr>
          <w:rFonts w:eastAsia="Times New Roman"/>
          <w:lang w:val="en-US" w:eastAsia="ja-JP"/>
        </w:rPr>
        <w:t>which</w:t>
      </w:r>
      <w:r w:rsidR="56270443" w:rsidRPr="7EB38FF3">
        <w:rPr>
          <w:rFonts w:eastAsia="Times New Roman"/>
          <w:lang w:val="en-US" w:eastAsia="ja-JP"/>
        </w:rPr>
        <w:t xml:space="preserve"> is discussed further below</w:t>
      </w:r>
      <w:r w:rsidR="00622D6E" w:rsidRPr="7EB38FF3">
        <w:rPr>
          <w:rFonts w:eastAsia="Times New Roman"/>
          <w:lang w:val="en-US" w:eastAsia="ja-JP"/>
        </w:rPr>
        <w:t xml:space="preserve">. Oregon launched a </w:t>
      </w:r>
      <w:r w:rsidR="005C4687" w:rsidRPr="7EB38FF3">
        <w:rPr>
          <w:rFonts w:eastAsia="Times New Roman"/>
          <w:lang w:val="en-US" w:eastAsia="ja-JP"/>
        </w:rPr>
        <w:t xml:space="preserve">new </w:t>
      </w:r>
      <w:r w:rsidR="00622D6E" w:rsidRPr="7EB38FF3">
        <w:rPr>
          <w:rFonts w:eastAsia="Times New Roman"/>
          <w:lang w:val="en-US" w:eastAsia="ja-JP"/>
        </w:rPr>
        <w:t xml:space="preserve">BHP </w:t>
      </w:r>
      <w:r w:rsidR="00C9339C" w:rsidRPr="7EB38FF3">
        <w:rPr>
          <w:rFonts w:eastAsia="Times New Roman"/>
          <w:lang w:val="en-US" w:eastAsia="ja-JP"/>
        </w:rPr>
        <w:t xml:space="preserve">in July 2024 and the District of Columbia </w:t>
      </w:r>
      <w:r w:rsidR="00051051" w:rsidRPr="7EB38FF3">
        <w:rPr>
          <w:rFonts w:eastAsia="Times New Roman"/>
          <w:lang w:val="en-US" w:eastAsia="ja-JP"/>
        </w:rPr>
        <w:t>plans to</w:t>
      </w:r>
      <w:r w:rsidR="00C9339C" w:rsidRPr="7EB38FF3">
        <w:rPr>
          <w:rFonts w:eastAsia="Times New Roman"/>
          <w:lang w:val="en-US" w:eastAsia="ja-JP"/>
        </w:rPr>
        <w:t xml:space="preserve"> </w:t>
      </w:r>
      <w:r w:rsidR="004A7785" w:rsidRPr="7EB38FF3">
        <w:rPr>
          <w:rFonts w:eastAsia="Times New Roman"/>
          <w:lang w:val="en-US" w:eastAsia="ja-JP"/>
        </w:rPr>
        <w:t xml:space="preserve">convert some Medicaid </w:t>
      </w:r>
      <w:proofErr w:type="gramStart"/>
      <w:r w:rsidR="004A7785" w:rsidRPr="7EB38FF3">
        <w:rPr>
          <w:rFonts w:eastAsia="Times New Roman"/>
          <w:lang w:val="en-US" w:eastAsia="ja-JP"/>
        </w:rPr>
        <w:t>enrollees</w:t>
      </w:r>
      <w:proofErr w:type="gramEnd"/>
      <w:r w:rsidR="004A7785" w:rsidRPr="7EB38FF3">
        <w:rPr>
          <w:rFonts w:eastAsia="Times New Roman"/>
          <w:lang w:val="en-US" w:eastAsia="ja-JP"/>
        </w:rPr>
        <w:t xml:space="preserve"> to </w:t>
      </w:r>
      <w:r w:rsidR="00825DAA" w:rsidRPr="7EB38FF3">
        <w:rPr>
          <w:rFonts w:eastAsia="Times New Roman"/>
          <w:lang w:val="en-US" w:eastAsia="ja-JP"/>
        </w:rPr>
        <w:t xml:space="preserve">a new </w:t>
      </w:r>
      <w:r w:rsidR="004A7785" w:rsidRPr="7EB38FF3">
        <w:rPr>
          <w:rFonts w:eastAsia="Times New Roman"/>
          <w:lang w:val="en-US" w:eastAsia="ja-JP"/>
        </w:rPr>
        <w:t>BHP in 2026.</w:t>
      </w:r>
      <w:r w:rsidR="00B54415" w:rsidRPr="7EB38FF3">
        <w:rPr>
          <w:rFonts w:eastAsia="Times New Roman"/>
          <w:lang w:val="en-US" w:eastAsia="ja-JP"/>
        </w:rPr>
        <w:t xml:space="preserve"> </w:t>
      </w:r>
    </w:p>
    <w:p w14:paraId="2616F74A" w14:textId="77777777" w:rsidR="00663B61" w:rsidRDefault="4C2D38C2" w:rsidP="00342FC6">
      <w:pPr>
        <w:pStyle w:val="Heading3"/>
        <w:rPr>
          <w:rFonts w:eastAsia="Cambria"/>
        </w:rPr>
      </w:pPr>
      <w:bookmarkStart w:id="5" w:name="_Toc216861696"/>
      <w:r w:rsidRPr="684BAE8A">
        <w:rPr>
          <w:rFonts w:eastAsia="Cambria"/>
        </w:rPr>
        <w:t>Minnesota</w:t>
      </w:r>
      <w:bookmarkEnd w:id="5"/>
    </w:p>
    <w:p w14:paraId="19D08989" w14:textId="559AE916" w:rsidR="00663B61" w:rsidRDefault="4C2D38C2" w:rsidP="00342FC6">
      <w:pPr>
        <w:rPr>
          <w:rFonts w:eastAsia="Cambria"/>
        </w:rPr>
      </w:pPr>
      <w:r w:rsidRPr="684BAE8A">
        <w:rPr>
          <w:rFonts w:eastAsia="Cambria"/>
        </w:rPr>
        <w:t>MinnesotaCare offers comprehensive and affordable health insurance coverage for Minnesota children, parents, and adults without children.</w:t>
      </w:r>
      <w:r w:rsidR="00AF278C">
        <w:rPr>
          <w:rFonts w:eastAsia="Cambria"/>
        </w:rPr>
        <w:t xml:space="preserve"> </w:t>
      </w:r>
      <w:r w:rsidRPr="00882434">
        <w:rPr>
          <w:rFonts w:eastAsia="Cambria"/>
        </w:rPr>
        <w:t xml:space="preserve">MinnesotaCare was established as a state-run program in 1992 to provide coverage for children and parents who were not eligible for Medicaid but still required subsidized health insurance. </w:t>
      </w:r>
    </w:p>
    <w:p w14:paraId="70391932" w14:textId="568F1C5E" w:rsidR="00663B61" w:rsidRPr="00882434" w:rsidRDefault="4C2D38C2" w:rsidP="00342FC6">
      <w:pPr>
        <w:rPr>
          <w:rFonts w:eastAsia="Cambria"/>
        </w:rPr>
      </w:pPr>
      <w:r w:rsidRPr="00882434">
        <w:rPr>
          <w:rFonts w:eastAsia="Cambria"/>
        </w:rPr>
        <w:t xml:space="preserve">In 2015, Minnesota became the first state to take up the Basic Health Plan option, sunsetting </w:t>
      </w:r>
      <w:r w:rsidR="00AC5056" w:rsidRPr="00882434">
        <w:rPr>
          <w:rFonts w:eastAsia="Cambria"/>
        </w:rPr>
        <w:t>its</w:t>
      </w:r>
      <w:r w:rsidRPr="00882434">
        <w:rPr>
          <w:rFonts w:eastAsia="Cambria"/>
        </w:rPr>
        <w:t xml:space="preserve"> Section 1115 Medicaid waiver and converting coverage to the Section 1331 option </w:t>
      </w:r>
      <w:sdt>
        <w:sdtPr>
          <w:rPr>
            <w:rFonts w:eastAsia="Cambria"/>
          </w:rPr>
          <w:id w:val="352386501"/>
          <w:citation/>
        </w:sdtPr>
        <w:sdtEndPr/>
        <w:sdtContent>
          <w:r w:rsidR="00663B61" w:rsidRPr="00882434">
            <w:rPr>
              <w:rFonts w:eastAsia="Cambria"/>
            </w:rPr>
            <w:fldChar w:fldCharType="begin"/>
          </w:r>
          <w:r w:rsidR="00663B61" w:rsidRPr="00882434">
            <w:rPr>
              <w:rFonts w:eastAsia="Cambria"/>
            </w:rPr>
            <w:instrText xml:space="preserve"> CITATION Min18 \l 1033 </w:instrText>
          </w:r>
          <w:r w:rsidR="00663B61" w:rsidRPr="00882434">
            <w:rPr>
              <w:rFonts w:eastAsia="Cambria"/>
            </w:rPr>
            <w:fldChar w:fldCharType="separate"/>
          </w:r>
          <w:r w:rsidRPr="00882434">
            <w:rPr>
              <w:rFonts w:eastAsia="Cambria"/>
            </w:rPr>
            <w:t>(Minnesota Department of Human Services)</w:t>
          </w:r>
          <w:r w:rsidR="00663B61" w:rsidRPr="00882434">
            <w:rPr>
              <w:rFonts w:eastAsia="Cambria"/>
            </w:rPr>
            <w:fldChar w:fldCharType="end"/>
          </w:r>
        </w:sdtContent>
      </w:sdt>
      <w:r w:rsidRPr="00882434">
        <w:rPr>
          <w:rFonts w:eastAsia="Cambria"/>
        </w:rPr>
        <w:t>. In the first full fiscal year that the program was operational, federal funding</w:t>
      </w:r>
      <w:r w:rsidR="000A4D09" w:rsidRPr="00882434">
        <w:rPr>
          <w:rFonts w:eastAsia="Cambria"/>
        </w:rPr>
        <w:t xml:space="preserve"> </w:t>
      </w:r>
      <w:r w:rsidRPr="00882434">
        <w:rPr>
          <w:rFonts w:eastAsia="Cambria"/>
        </w:rPr>
        <w:t>covered 70% of MinnesotaCare’s costs</w:t>
      </w:r>
      <w:r w:rsidR="00FE20FA">
        <w:rPr>
          <w:rStyle w:val="FootnoteReference"/>
          <w:rFonts w:eastAsia="Cambria"/>
        </w:rPr>
        <w:footnoteReference w:id="5"/>
      </w:r>
      <w:r w:rsidRPr="00882434">
        <w:rPr>
          <w:rFonts w:eastAsia="Cambria"/>
        </w:rPr>
        <w:t xml:space="preserve">.  </w:t>
      </w:r>
    </w:p>
    <w:p w14:paraId="3B627B0D" w14:textId="3B432D92" w:rsidR="00663B61" w:rsidRDefault="4C2D38C2" w:rsidP="00342FC6">
      <w:pPr>
        <w:rPr>
          <w:rFonts w:eastAsia="Cambria"/>
        </w:rPr>
      </w:pPr>
      <w:r w:rsidRPr="00EE028D">
        <w:rPr>
          <w:rFonts w:eastAsia="Cambria"/>
        </w:rPr>
        <w:t>MinnesotaCare covers adults ages 19-62 with incomes between 134-200% FPL who don’t have access to other types of insurance, and legal immigrants including children from 0-200% who are otherwise not eligible for Medicaid</w:t>
      </w:r>
      <w:r w:rsidR="00D4354D">
        <w:rPr>
          <w:rStyle w:val="FootnoteReference"/>
          <w:rFonts w:eastAsia="Cambria"/>
        </w:rPr>
        <w:footnoteReference w:id="6"/>
      </w:r>
      <w:r w:rsidRPr="00EE028D">
        <w:rPr>
          <w:rFonts w:eastAsia="Cambria"/>
        </w:rPr>
        <w:t xml:space="preserve">. </w:t>
      </w:r>
    </w:p>
    <w:p w14:paraId="4C1784B4" w14:textId="2D3E4995" w:rsidR="00663B61" w:rsidRDefault="4C2D38C2" w:rsidP="00342FC6">
      <w:pPr>
        <w:rPr>
          <w:rFonts w:eastAsia="Cambria"/>
        </w:rPr>
      </w:pPr>
      <w:r w:rsidRPr="00EE028D">
        <w:rPr>
          <w:rFonts w:eastAsia="Cambria"/>
        </w:rPr>
        <w:lastRenderedPageBreak/>
        <w:t>MinnesotaCare was never intended to offer coverage instead of employer-sponsored-insurance and today continues to require that enrollees must have no access to employer-sponsored insurance</w:t>
      </w:r>
      <w:r w:rsidR="001219F3">
        <w:rPr>
          <w:rStyle w:val="FootnoteReference"/>
          <w:rFonts w:eastAsia="Cambria"/>
        </w:rPr>
        <w:footnoteReference w:id="7"/>
      </w:r>
      <w:r w:rsidRPr="00EE028D">
        <w:rPr>
          <w:rFonts w:eastAsia="Cambria"/>
        </w:rPr>
        <w:t>.</w:t>
      </w:r>
    </w:p>
    <w:p w14:paraId="130FA9EC" w14:textId="21045EB8" w:rsidR="00AF278C" w:rsidRDefault="00AF278C" w:rsidP="00AF278C">
      <w:pPr>
        <w:rPr>
          <w:rFonts w:eastAsia="Cambria"/>
        </w:rPr>
      </w:pPr>
      <w:r w:rsidRPr="00882434">
        <w:rPr>
          <w:rFonts w:eastAsia="Cambria"/>
        </w:rPr>
        <w:t>In 2024, MinnesotaCare covered 101,900 Minnesotans on average each month, about 60% of them adults without children, and the remainder families with children</w:t>
      </w:r>
      <w:r w:rsidR="00AA2C1C">
        <w:rPr>
          <w:rStyle w:val="FootnoteReference"/>
          <w:rFonts w:eastAsia="Cambria"/>
        </w:rPr>
        <w:footnoteReference w:id="8"/>
      </w:r>
      <w:r w:rsidRPr="00882434">
        <w:rPr>
          <w:rFonts w:eastAsia="Cambria"/>
        </w:rPr>
        <w:t xml:space="preserve">. </w:t>
      </w:r>
    </w:p>
    <w:p w14:paraId="79AF21DF" w14:textId="219A99B5" w:rsidR="00663B61" w:rsidRDefault="00265802" w:rsidP="00342FC6">
      <w:pPr>
        <w:rPr>
          <w:rFonts w:eastAsia="Cambria"/>
        </w:rPr>
      </w:pPr>
      <w:r w:rsidRPr="00265802">
        <w:rPr>
          <w:rFonts w:eastAsia="Cambria"/>
        </w:rPr>
        <w:t xml:space="preserve">MinnesotaCare is administered by the Minnesota Department of </w:t>
      </w:r>
      <w:r>
        <w:rPr>
          <w:rFonts w:eastAsia="Cambria"/>
        </w:rPr>
        <w:t xml:space="preserve">Human </w:t>
      </w:r>
      <w:r w:rsidRPr="00265802">
        <w:rPr>
          <w:rFonts w:eastAsia="Cambria"/>
        </w:rPr>
        <w:t>Services, which is also the state’s Medicaid agency.</w:t>
      </w:r>
      <w:r>
        <w:rPr>
          <w:rFonts w:eastAsia="Cambria"/>
        </w:rPr>
        <w:t xml:space="preserve"> </w:t>
      </w:r>
      <w:r w:rsidR="4C2D38C2" w:rsidRPr="00EE028D">
        <w:rPr>
          <w:rFonts w:eastAsia="Cambria"/>
        </w:rPr>
        <w:t xml:space="preserve">In compliance with BHP regulations, MinnesotaCare </w:t>
      </w:r>
      <w:r w:rsidR="004A6FF7" w:rsidRPr="00EE028D">
        <w:rPr>
          <w:rFonts w:eastAsia="Cambria"/>
        </w:rPr>
        <w:t xml:space="preserve">is </w:t>
      </w:r>
      <w:r w:rsidR="4C2D38C2" w:rsidRPr="00EE028D">
        <w:rPr>
          <w:rFonts w:eastAsia="Cambria"/>
        </w:rPr>
        <w:t>administered through managed care</w:t>
      </w:r>
      <w:r w:rsidR="004A6FF7" w:rsidRPr="00EE028D">
        <w:rPr>
          <w:rFonts w:eastAsia="Cambria"/>
        </w:rPr>
        <w:t>, as was its predecessor state program</w:t>
      </w:r>
      <w:r w:rsidR="4C2D38C2" w:rsidRPr="00EE028D">
        <w:rPr>
          <w:rFonts w:eastAsia="Cambria"/>
        </w:rPr>
        <w:t>.</w:t>
      </w:r>
      <w:r w:rsidR="002E68DE">
        <w:rPr>
          <w:rFonts w:eastAsia="Cambria"/>
        </w:rPr>
        <w:t xml:space="preserve"> </w:t>
      </w:r>
      <w:r w:rsidR="002E68DE" w:rsidRPr="684BAE8A">
        <w:rPr>
          <w:rFonts w:eastAsia="Cambria"/>
        </w:rPr>
        <w:t>Rates paid to providers in the program mirror the rates paid in the state’s Medicaid program (Minnesota Statutes 256L.11 Subd. 1).</w:t>
      </w:r>
      <w:r w:rsidR="001254D5">
        <w:rPr>
          <w:rFonts w:eastAsia="Cambria"/>
        </w:rPr>
        <w:t xml:space="preserve"> </w:t>
      </w:r>
      <w:r w:rsidR="4C2D38C2" w:rsidRPr="00EE028D">
        <w:rPr>
          <w:rFonts w:eastAsia="Cambria"/>
        </w:rPr>
        <w:t>MinnesotaCare’s benefit set mimics Minnesota’s Medicaid benefits including things like behavioral health care, eyeglasses, and dental coverage, but excluding benefits such as waivered services and coverage for long-term care.</w:t>
      </w:r>
      <w:r w:rsidR="006613E3">
        <w:rPr>
          <w:rFonts w:eastAsia="Cambria"/>
        </w:rPr>
        <w:t xml:space="preserve"> </w:t>
      </w:r>
      <w:r w:rsidR="002E68DE" w:rsidRPr="00FA40E8">
        <w:rPr>
          <w:rFonts w:eastAsia="Cambria"/>
        </w:rPr>
        <w:t>MinnesotaCare</w:t>
      </w:r>
      <w:r w:rsidR="002E68DE" w:rsidRPr="003E614B">
        <w:rPr>
          <w:rFonts w:eastAsia="Cambria"/>
        </w:rPr>
        <w:t xml:space="preserve"> lowered premiums from a maximum payment of $80 to $28</w:t>
      </w:r>
      <w:r w:rsidR="002E68DE">
        <w:rPr>
          <w:rFonts w:eastAsia="Cambria"/>
        </w:rPr>
        <w:t xml:space="preserve"> </w:t>
      </w:r>
      <w:r w:rsidR="00597E2D">
        <w:rPr>
          <w:rFonts w:eastAsia="Cambria"/>
        </w:rPr>
        <w:t xml:space="preserve">per month </w:t>
      </w:r>
      <w:r w:rsidR="002E68DE">
        <w:rPr>
          <w:rFonts w:eastAsia="Cambria"/>
        </w:rPr>
        <w:t>due to increased federal funding available from enhanced premium tax credits</w:t>
      </w:r>
      <w:r w:rsidR="002E68DE" w:rsidRPr="003E614B">
        <w:rPr>
          <w:rFonts w:eastAsia="Cambria"/>
        </w:rPr>
        <w:t xml:space="preserve">. </w:t>
      </w:r>
    </w:p>
    <w:p w14:paraId="2275ED20" w14:textId="15246B08" w:rsidR="00663B61" w:rsidRPr="004B5754" w:rsidRDefault="4C2D38C2" w:rsidP="7EB38FF3">
      <w:pPr>
        <w:rPr>
          <w:rFonts w:eastAsia="Cambria"/>
          <w:lang w:val="en-US"/>
        </w:rPr>
      </w:pPr>
      <w:r w:rsidRPr="7EB38FF3">
        <w:rPr>
          <w:rFonts w:eastAsia="Cambria"/>
          <w:lang w:val="en-US"/>
        </w:rPr>
        <w:t xml:space="preserve">When MinnesotaCare was established, so too was the Health Care Access Fund (HCAF), a state account that receives revenue from a statewide tax on hospitals and other providers. The provider tax, then set at 2% of gross receipts, provided additional funding for MinnesotaCare and included providers and a premium tax on HMOs. The tax rate and base </w:t>
      </w:r>
      <w:r w:rsidRPr="377221F3">
        <w:rPr>
          <w:rFonts w:eastAsia="Cambria"/>
          <w:lang w:val="en-US"/>
        </w:rPr>
        <w:t>ha</w:t>
      </w:r>
      <w:r w:rsidR="763E0196" w:rsidRPr="377221F3">
        <w:rPr>
          <w:rFonts w:eastAsia="Cambria"/>
          <w:lang w:val="en-US"/>
        </w:rPr>
        <w:t>ve</w:t>
      </w:r>
      <w:r w:rsidRPr="7EB38FF3">
        <w:rPr>
          <w:rFonts w:eastAsia="Cambria"/>
          <w:lang w:val="en-US"/>
        </w:rPr>
        <w:t xml:space="preserve"> varied over the years, but it remains a funding source for the non-federal share of BHP costs. </w:t>
      </w:r>
    </w:p>
    <w:p w14:paraId="213F5203" w14:textId="222303EB" w:rsidR="00663B61" w:rsidRPr="00786BE9" w:rsidRDefault="4C2D38C2" w:rsidP="00342FC6">
      <w:pPr>
        <w:rPr>
          <w:rFonts w:eastAsia="Cambria"/>
        </w:rPr>
      </w:pPr>
      <w:r w:rsidRPr="00786BE9">
        <w:rPr>
          <w:rFonts w:eastAsia="Cambria"/>
        </w:rPr>
        <w:t>In SFY2024, federal funds covered about 87% of the state’s MinnesotaCare costs. That is expected to change over the next four federal fiscal years, with a projection of federal funds covering 75% of costs in SFY29</w:t>
      </w:r>
      <w:r w:rsidR="00525530">
        <w:rPr>
          <w:rStyle w:val="FootnoteReference"/>
          <w:rFonts w:eastAsia="Cambria"/>
        </w:rPr>
        <w:footnoteReference w:id="9"/>
      </w:r>
      <w:r w:rsidRPr="00786BE9">
        <w:rPr>
          <w:rFonts w:eastAsia="Cambria"/>
        </w:rPr>
        <w:t>.</w:t>
      </w:r>
    </w:p>
    <w:p w14:paraId="180B3C80" w14:textId="0E333B8A" w:rsidR="00F90622" w:rsidRDefault="00A65089" w:rsidP="00342FC6">
      <w:pPr>
        <w:pStyle w:val="Heading3"/>
        <w:rPr>
          <w:rFonts w:eastAsia="Times New Roman"/>
          <w:lang w:eastAsia="ja-JP"/>
        </w:rPr>
      </w:pPr>
      <w:bookmarkStart w:id="6" w:name="_Toc216861697"/>
      <w:r w:rsidRPr="00A65089">
        <w:rPr>
          <w:rFonts w:eastAsia="Times New Roman"/>
          <w:lang w:eastAsia="ja-JP"/>
        </w:rPr>
        <w:t>New York</w:t>
      </w:r>
      <w:bookmarkEnd w:id="6"/>
    </w:p>
    <w:p w14:paraId="580333F5" w14:textId="75346D78" w:rsidR="002C5D79" w:rsidRDefault="000E5EDA" w:rsidP="00342FC6">
      <w:pPr>
        <w:rPr>
          <w:rFonts w:eastAsia="Times New Roman"/>
          <w:lang w:eastAsia="ja-JP"/>
        </w:rPr>
      </w:pPr>
      <w:r>
        <w:rPr>
          <w:rFonts w:eastAsia="Times New Roman"/>
          <w:lang w:eastAsia="ja-JP"/>
        </w:rPr>
        <w:t xml:space="preserve">New York’s Essential Plan provides low cost coverage to </w:t>
      </w:r>
      <w:r w:rsidR="00622E65">
        <w:rPr>
          <w:rFonts w:eastAsia="Times New Roman"/>
          <w:lang w:eastAsia="ja-JP"/>
        </w:rPr>
        <w:t>New Yorkers with income above Medicaid limit</w:t>
      </w:r>
      <w:r w:rsidR="008D1860">
        <w:rPr>
          <w:rFonts w:eastAsia="Times New Roman"/>
          <w:lang w:eastAsia="ja-JP"/>
        </w:rPr>
        <w:t>s</w:t>
      </w:r>
      <w:r w:rsidR="00622E65">
        <w:rPr>
          <w:rFonts w:eastAsia="Times New Roman"/>
          <w:lang w:eastAsia="ja-JP"/>
        </w:rPr>
        <w:t xml:space="preserve"> and those ineligible for Medicaid due to </w:t>
      </w:r>
      <w:r w:rsidR="00C4469B">
        <w:rPr>
          <w:rFonts w:eastAsia="Times New Roman"/>
          <w:lang w:eastAsia="ja-JP"/>
        </w:rPr>
        <w:t xml:space="preserve">Medicaid’s five year bar for immigrants. </w:t>
      </w:r>
      <w:r w:rsidR="00704D41">
        <w:rPr>
          <w:rFonts w:eastAsia="Times New Roman"/>
          <w:lang w:eastAsia="ja-JP"/>
        </w:rPr>
        <w:t xml:space="preserve">Prior to the ACA, New York covered </w:t>
      </w:r>
      <w:r w:rsidR="00005BC0">
        <w:rPr>
          <w:rFonts w:eastAsia="Times New Roman"/>
          <w:lang w:eastAsia="ja-JP"/>
        </w:rPr>
        <w:t xml:space="preserve">individuals with income up to 150% of the FPL and lawful immigrants </w:t>
      </w:r>
      <w:r w:rsidR="008045B7">
        <w:rPr>
          <w:rFonts w:eastAsia="Times New Roman"/>
          <w:lang w:eastAsia="ja-JP"/>
        </w:rPr>
        <w:t>not eligible for Medicaid in the state’s Family Health Plus program.</w:t>
      </w:r>
      <w:r w:rsidR="002F64F2">
        <w:rPr>
          <w:rFonts w:eastAsia="Times New Roman"/>
          <w:lang w:eastAsia="ja-JP"/>
        </w:rPr>
        <w:t xml:space="preserve"> The Basic Health Program allowed </w:t>
      </w:r>
      <w:r w:rsidR="00971111">
        <w:rPr>
          <w:rFonts w:eastAsia="Times New Roman"/>
          <w:lang w:eastAsia="ja-JP"/>
        </w:rPr>
        <w:t>the state to access federal funds to cover those previously served by Family Health Plus a</w:t>
      </w:r>
      <w:r w:rsidR="00C92EDC">
        <w:rPr>
          <w:rFonts w:eastAsia="Times New Roman"/>
          <w:lang w:eastAsia="ja-JP"/>
        </w:rPr>
        <w:t>s well as a wider set of eligible enrollees.</w:t>
      </w:r>
      <w:r w:rsidR="008D1860">
        <w:rPr>
          <w:rFonts w:eastAsia="Times New Roman"/>
          <w:lang w:eastAsia="ja-JP"/>
        </w:rPr>
        <w:t xml:space="preserve"> </w:t>
      </w:r>
      <w:r w:rsidR="006D2C3D">
        <w:rPr>
          <w:rFonts w:eastAsia="Times New Roman"/>
          <w:lang w:eastAsia="ja-JP"/>
        </w:rPr>
        <w:t xml:space="preserve">New York </w:t>
      </w:r>
      <w:r w:rsidR="006D2C3D">
        <w:rPr>
          <w:rFonts w:eastAsia="Times New Roman"/>
          <w:lang w:eastAsia="ja-JP"/>
        </w:rPr>
        <w:lastRenderedPageBreak/>
        <w:t xml:space="preserve">has expanded eligibility and </w:t>
      </w:r>
      <w:r w:rsidR="00035AE4">
        <w:rPr>
          <w:rFonts w:eastAsia="Times New Roman"/>
          <w:lang w:eastAsia="ja-JP"/>
        </w:rPr>
        <w:t xml:space="preserve">shifted </w:t>
      </w:r>
      <w:r w:rsidR="0053034B">
        <w:rPr>
          <w:rFonts w:eastAsia="Times New Roman"/>
          <w:lang w:eastAsia="ja-JP"/>
        </w:rPr>
        <w:t>funding mechanisms in recent years to maintain affordable coverage for New Yorkers and</w:t>
      </w:r>
      <w:r w:rsidR="002C5D79">
        <w:rPr>
          <w:rFonts w:eastAsia="Times New Roman"/>
          <w:lang w:eastAsia="ja-JP"/>
        </w:rPr>
        <w:t xml:space="preserve"> respond to federal funding limits.</w:t>
      </w:r>
    </w:p>
    <w:p w14:paraId="12517355" w14:textId="77777777" w:rsidR="003B5D2F" w:rsidRDefault="00BB004F" w:rsidP="00342FC6">
      <w:pPr>
        <w:rPr>
          <w:rFonts w:eastAsia="Times New Roman"/>
          <w:lang w:eastAsia="ja-JP"/>
        </w:rPr>
      </w:pPr>
      <w:r>
        <w:rPr>
          <w:rFonts w:eastAsia="Times New Roman"/>
          <w:lang w:eastAsia="ja-JP"/>
        </w:rPr>
        <w:t xml:space="preserve">The Essential Plan </w:t>
      </w:r>
      <w:r w:rsidR="005E1330">
        <w:rPr>
          <w:rFonts w:eastAsia="Times New Roman"/>
          <w:lang w:eastAsia="ja-JP"/>
        </w:rPr>
        <w:t>cover</w:t>
      </w:r>
      <w:r w:rsidR="004514B5">
        <w:rPr>
          <w:rFonts w:eastAsia="Times New Roman"/>
          <w:lang w:eastAsia="ja-JP"/>
        </w:rPr>
        <w:t xml:space="preserve">s New Yorkers </w:t>
      </w:r>
      <w:r w:rsidR="0024184F">
        <w:rPr>
          <w:rFonts w:eastAsia="Times New Roman"/>
          <w:lang w:eastAsia="ja-JP"/>
        </w:rPr>
        <w:t xml:space="preserve">under age 65, </w:t>
      </w:r>
      <w:r w:rsidR="004514B5">
        <w:rPr>
          <w:rFonts w:eastAsia="Times New Roman"/>
          <w:lang w:eastAsia="ja-JP"/>
        </w:rPr>
        <w:t>not eligible for Medicaid</w:t>
      </w:r>
      <w:r w:rsidR="0024184F">
        <w:rPr>
          <w:rFonts w:eastAsia="Times New Roman"/>
          <w:lang w:eastAsia="ja-JP"/>
        </w:rPr>
        <w:t xml:space="preserve"> and CHIP, without </w:t>
      </w:r>
      <w:r w:rsidR="00BD182B">
        <w:rPr>
          <w:rFonts w:eastAsia="Times New Roman"/>
          <w:lang w:eastAsia="ja-JP"/>
        </w:rPr>
        <w:t>an affordable offer</w:t>
      </w:r>
      <w:r w:rsidR="00DA3A98">
        <w:rPr>
          <w:rFonts w:eastAsia="Times New Roman"/>
          <w:lang w:eastAsia="ja-JP"/>
        </w:rPr>
        <w:t xml:space="preserve"> of coverage</w:t>
      </w:r>
      <w:r w:rsidR="00BD182B">
        <w:rPr>
          <w:rFonts w:eastAsia="Times New Roman"/>
          <w:lang w:eastAsia="ja-JP"/>
        </w:rPr>
        <w:t>, up to an income limit of 250% of FPL (</w:t>
      </w:r>
      <w:r w:rsidR="00B310E5">
        <w:rPr>
          <w:rFonts w:eastAsia="Times New Roman"/>
          <w:lang w:eastAsia="ja-JP"/>
        </w:rPr>
        <w:t xml:space="preserve">increased from </w:t>
      </w:r>
      <w:r w:rsidR="00BD182B">
        <w:rPr>
          <w:rFonts w:eastAsia="Times New Roman"/>
          <w:lang w:eastAsia="ja-JP"/>
        </w:rPr>
        <w:t xml:space="preserve">200% </w:t>
      </w:r>
      <w:r w:rsidR="00B310E5">
        <w:rPr>
          <w:rFonts w:eastAsia="Times New Roman"/>
          <w:lang w:eastAsia="ja-JP"/>
        </w:rPr>
        <w:t>in 2024).</w:t>
      </w:r>
      <w:r w:rsidR="00DA3A98">
        <w:rPr>
          <w:rFonts w:eastAsia="Times New Roman"/>
          <w:lang w:eastAsia="ja-JP"/>
        </w:rPr>
        <w:t xml:space="preserve"> </w:t>
      </w:r>
      <w:r w:rsidR="009030EE">
        <w:rPr>
          <w:rFonts w:eastAsia="Times New Roman"/>
          <w:lang w:eastAsia="ja-JP"/>
        </w:rPr>
        <w:t>The pla</w:t>
      </w:r>
      <w:r w:rsidR="000D4944">
        <w:rPr>
          <w:rFonts w:eastAsia="Times New Roman"/>
          <w:lang w:eastAsia="ja-JP"/>
        </w:rPr>
        <w:t xml:space="preserve">n </w:t>
      </w:r>
      <w:r w:rsidR="007C19BE">
        <w:rPr>
          <w:rFonts w:eastAsia="Times New Roman"/>
          <w:lang w:eastAsia="ja-JP"/>
        </w:rPr>
        <w:t xml:space="preserve">charged premiums of $20 per month to enrollees above </w:t>
      </w:r>
      <w:r w:rsidR="005B6205">
        <w:rPr>
          <w:rFonts w:eastAsia="Times New Roman"/>
          <w:lang w:eastAsia="ja-JP"/>
        </w:rPr>
        <w:t xml:space="preserve">150% of FPL until 2021, when it eliminated all premiums. </w:t>
      </w:r>
      <w:r w:rsidR="00EE0F37">
        <w:rPr>
          <w:rFonts w:eastAsia="Times New Roman"/>
          <w:lang w:eastAsia="ja-JP"/>
        </w:rPr>
        <w:t xml:space="preserve">There is no deductible and </w:t>
      </w:r>
      <w:r w:rsidR="00B752A6">
        <w:rPr>
          <w:rFonts w:eastAsia="Times New Roman"/>
          <w:lang w:eastAsia="ja-JP"/>
        </w:rPr>
        <w:t xml:space="preserve">limited cost-sharing for individuals </w:t>
      </w:r>
      <w:r w:rsidR="003B5D2F">
        <w:rPr>
          <w:rFonts w:eastAsia="Times New Roman"/>
          <w:lang w:eastAsia="ja-JP"/>
        </w:rPr>
        <w:t>over 150% of FPL.</w:t>
      </w:r>
    </w:p>
    <w:p w14:paraId="4CA7AFA0" w14:textId="4B2B98C2" w:rsidR="002C6D9A" w:rsidRDefault="00C102BE" w:rsidP="00342FC6">
      <w:pPr>
        <w:rPr>
          <w:rFonts w:eastAsia="Times New Roman"/>
          <w:lang w:eastAsia="ja-JP"/>
        </w:rPr>
      </w:pPr>
      <w:r>
        <w:rPr>
          <w:rFonts w:eastAsia="Times New Roman"/>
          <w:lang w:eastAsia="ja-JP"/>
        </w:rPr>
        <w:t xml:space="preserve">New York’s Medicaid agency administers the Essential </w:t>
      </w:r>
      <w:r w:rsidR="00DB71F3">
        <w:rPr>
          <w:rFonts w:eastAsia="Times New Roman"/>
          <w:lang w:eastAsia="ja-JP"/>
        </w:rPr>
        <w:t xml:space="preserve">Plan and contracts with </w:t>
      </w:r>
      <w:r w:rsidR="004038AE">
        <w:rPr>
          <w:rFonts w:eastAsia="Times New Roman"/>
          <w:lang w:eastAsia="ja-JP"/>
        </w:rPr>
        <w:t>health plans</w:t>
      </w:r>
      <w:r w:rsidR="00DB71F3">
        <w:rPr>
          <w:rFonts w:eastAsia="Times New Roman"/>
          <w:lang w:eastAsia="ja-JP"/>
        </w:rPr>
        <w:t xml:space="preserve"> to deliver it, largely </w:t>
      </w:r>
      <w:r w:rsidR="004038AE">
        <w:rPr>
          <w:rFonts w:eastAsia="Times New Roman"/>
          <w:lang w:eastAsia="ja-JP"/>
        </w:rPr>
        <w:t>overlap</w:t>
      </w:r>
      <w:r w:rsidR="00DB71F3">
        <w:rPr>
          <w:rFonts w:eastAsia="Times New Roman"/>
          <w:lang w:eastAsia="ja-JP"/>
        </w:rPr>
        <w:t>ping</w:t>
      </w:r>
      <w:r w:rsidR="004038AE">
        <w:rPr>
          <w:rFonts w:eastAsia="Times New Roman"/>
          <w:lang w:eastAsia="ja-JP"/>
        </w:rPr>
        <w:t xml:space="preserve"> with </w:t>
      </w:r>
      <w:r w:rsidR="004860D7">
        <w:rPr>
          <w:rFonts w:eastAsia="Times New Roman"/>
          <w:lang w:eastAsia="ja-JP"/>
        </w:rPr>
        <w:t>th</w:t>
      </w:r>
      <w:r w:rsidR="00DB71F3">
        <w:rPr>
          <w:rFonts w:eastAsia="Times New Roman"/>
          <w:lang w:eastAsia="ja-JP"/>
        </w:rPr>
        <w:t>e health plans that</w:t>
      </w:r>
      <w:r w:rsidR="004860D7">
        <w:rPr>
          <w:rFonts w:eastAsia="Times New Roman"/>
          <w:lang w:eastAsia="ja-JP"/>
        </w:rPr>
        <w:t xml:space="preserve"> provide Medicaid manage care. Provider payments </w:t>
      </w:r>
      <w:r w:rsidR="00152729">
        <w:rPr>
          <w:rFonts w:eastAsia="Times New Roman"/>
          <w:lang w:eastAsia="ja-JP"/>
        </w:rPr>
        <w:t xml:space="preserve">started </w:t>
      </w:r>
      <w:r w:rsidR="0093793B">
        <w:rPr>
          <w:rFonts w:eastAsia="Times New Roman"/>
          <w:lang w:eastAsia="ja-JP"/>
        </w:rPr>
        <w:t xml:space="preserve">somewhat above Medicaid rates and have increased </w:t>
      </w:r>
      <w:r w:rsidR="001D12B9">
        <w:rPr>
          <w:rFonts w:eastAsia="Times New Roman"/>
          <w:lang w:eastAsia="ja-JP"/>
        </w:rPr>
        <w:t>since 2021.</w:t>
      </w:r>
    </w:p>
    <w:p w14:paraId="636F76C8" w14:textId="14DA0FC3" w:rsidR="00115B92" w:rsidRDefault="008B704E" w:rsidP="00342FC6">
      <w:pPr>
        <w:rPr>
          <w:rFonts w:eastAsia="Times New Roman"/>
          <w:lang w:eastAsia="ja-JP"/>
        </w:rPr>
      </w:pPr>
      <w:r>
        <w:rPr>
          <w:rFonts w:eastAsia="Times New Roman"/>
          <w:lang w:eastAsia="ja-JP"/>
        </w:rPr>
        <w:t xml:space="preserve">Federal funding has covered the cost of New York’s BHP and </w:t>
      </w:r>
      <w:r w:rsidR="00D83290">
        <w:rPr>
          <w:rFonts w:eastAsia="Times New Roman"/>
          <w:lang w:eastAsia="ja-JP"/>
        </w:rPr>
        <w:t xml:space="preserve">generated a surplus in the state’s BHP trust fund. </w:t>
      </w:r>
      <w:r w:rsidR="00F01494">
        <w:rPr>
          <w:rFonts w:eastAsia="Times New Roman"/>
          <w:lang w:eastAsia="ja-JP"/>
        </w:rPr>
        <w:t xml:space="preserve">In 2024, New York transitioned its </w:t>
      </w:r>
      <w:r w:rsidR="00BF0B85">
        <w:rPr>
          <w:rFonts w:eastAsia="Times New Roman"/>
          <w:lang w:eastAsia="ja-JP"/>
        </w:rPr>
        <w:t>BHP to a Section 1332 waiver. This change allowed the state to raise the Essential Plan’s eligibility threshold to 250% of the FPL</w:t>
      </w:r>
      <w:r w:rsidR="009D7277">
        <w:rPr>
          <w:rFonts w:eastAsia="Times New Roman"/>
          <w:lang w:eastAsia="ja-JP"/>
        </w:rPr>
        <w:t>, offer state</w:t>
      </w:r>
      <w:r w:rsidR="00FC4A59">
        <w:rPr>
          <w:rFonts w:eastAsia="Times New Roman"/>
          <w:lang w:eastAsia="ja-JP"/>
        </w:rPr>
        <w:t xml:space="preserve"> subsidies for certain Marketplace enrollees, and </w:t>
      </w:r>
      <w:r w:rsidR="00581229">
        <w:rPr>
          <w:rFonts w:eastAsia="Times New Roman"/>
          <w:lang w:eastAsia="ja-JP"/>
        </w:rPr>
        <w:t xml:space="preserve">provide </w:t>
      </w:r>
      <w:r w:rsidR="00955E64">
        <w:rPr>
          <w:rFonts w:eastAsia="Times New Roman"/>
          <w:lang w:eastAsia="ja-JP"/>
        </w:rPr>
        <w:t xml:space="preserve">reimbursement to insurers to adjust for the transition </w:t>
      </w:r>
      <w:r w:rsidR="002170D0">
        <w:rPr>
          <w:rFonts w:eastAsia="Times New Roman"/>
          <w:lang w:eastAsia="ja-JP"/>
        </w:rPr>
        <w:t>of enrollees between 200% and 250% of FPL out of the Marketplace and into the Essential Plan.</w:t>
      </w:r>
    </w:p>
    <w:p w14:paraId="1CF70A40" w14:textId="07F5C02C" w:rsidR="00BB004F" w:rsidRDefault="00E047CD" w:rsidP="00342FC6">
      <w:pPr>
        <w:rPr>
          <w:rFonts w:eastAsia="Times New Roman"/>
          <w:lang w:eastAsia="ja-JP"/>
        </w:rPr>
      </w:pPr>
      <w:r>
        <w:rPr>
          <w:rFonts w:eastAsia="Times New Roman"/>
          <w:lang w:eastAsia="ja-JP"/>
        </w:rPr>
        <w:t xml:space="preserve">In </w:t>
      </w:r>
      <w:r w:rsidR="00AC385F">
        <w:rPr>
          <w:rFonts w:eastAsia="Times New Roman"/>
          <w:lang w:eastAsia="ja-JP"/>
        </w:rPr>
        <w:t xml:space="preserve">October 2025, New York </w:t>
      </w:r>
      <w:r w:rsidR="00E47CC2">
        <w:rPr>
          <w:rFonts w:eastAsia="Times New Roman"/>
          <w:lang w:eastAsia="ja-JP"/>
        </w:rPr>
        <w:t xml:space="preserve">submitted a </w:t>
      </w:r>
      <w:r w:rsidR="00AC385F">
        <w:rPr>
          <w:rFonts w:eastAsia="Times New Roman"/>
          <w:lang w:eastAsia="ja-JP"/>
        </w:rPr>
        <w:t>request</w:t>
      </w:r>
      <w:r w:rsidR="00E47CC2">
        <w:rPr>
          <w:rFonts w:eastAsia="Times New Roman"/>
          <w:lang w:eastAsia="ja-JP"/>
        </w:rPr>
        <w:t xml:space="preserve"> to CMS</w:t>
      </w:r>
      <w:r w:rsidR="00AC385F">
        <w:rPr>
          <w:rFonts w:eastAsia="Times New Roman"/>
          <w:lang w:eastAsia="ja-JP"/>
        </w:rPr>
        <w:t xml:space="preserve"> to terminate the Section 1332 waiver and return the Essential Plan to </w:t>
      </w:r>
      <w:r w:rsidR="00E47CC2">
        <w:rPr>
          <w:rFonts w:eastAsia="Times New Roman"/>
          <w:lang w:eastAsia="ja-JP"/>
        </w:rPr>
        <w:t xml:space="preserve">a BHP. </w:t>
      </w:r>
      <w:r w:rsidR="00006AF5">
        <w:rPr>
          <w:rFonts w:eastAsia="Times New Roman"/>
          <w:lang w:eastAsia="ja-JP"/>
        </w:rPr>
        <w:t xml:space="preserve">The state identified </w:t>
      </w:r>
      <w:r w:rsidR="001952EE">
        <w:rPr>
          <w:rFonts w:eastAsia="Times New Roman"/>
          <w:lang w:eastAsia="ja-JP"/>
        </w:rPr>
        <w:t xml:space="preserve">federal </w:t>
      </w:r>
      <w:r w:rsidR="00006AF5">
        <w:rPr>
          <w:rFonts w:eastAsia="Times New Roman"/>
          <w:lang w:eastAsia="ja-JP"/>
        </w:rPr>
        <w:t>changes to premium tax credit eligibility for lawful immigrants</w:t>
      </w:r>
      <w:r w:rsidR="001952EE">
        <w:rPr>
          <w:rFonts w:eastAsia="Times New Roman"/>
          <w:lang w:eastAsia="ja-JP"/>
        </w:rPr>
        <w:t xml:space="preserve"> as the reason for the change</w:t>
      </w:r>
      <w:r w:rsidR="00824D7E">
        <w:rPr>
          <w:rFonts w:eastAsia="Times New Roman"/>
          <w:lang w:eastAsia="ja-JP"/>
        </w:rPr>
        <w:t xml:space="preserve">, saying </w:t>
      </w:r>
      <w:r w:rsidR="002A2826">
        <w:rPr>
          <w:rFonts w:eastAsia="Times New Roman"/>
          <w:lang w:eastAsia="ja-JP"/>
        </w:rPr>
        <w:t>associated</w:t>
      </w:r>
      <w:r w:rsidR="00824D7E">
        <w:rPr>
          <w:rFonts w:eastAsia="Times New Roman"/>
          <w:lang w:eastAsia="ja-JP"/>
        </w:rPr>
        <w:t xml:space="preserve"> reductions in waiver pass-through funding </w:t>
      </w:r>
      <w:r w:rsidR="002A2826">
        <w:rPr>
          <w:rFonts w:eastAsia="Times New Roman"/>
          <w:lang w:eastAsia="ja-JP"/>
        </w:rPr>
        <w:t xml:space="preserve">would </w:t>
      </w:r>
      <w:r w:rsidR="0001764E">
        <w:rPr>
          <w:rFonts w:eastAsia="Times New Roman"/>
          <w:lang w:eastAsia="ja-JP"/>
        </w:rPr>
        <w:t>leave the state with unsustainable funding obligations</w:t>
      </w:r>
      <w:r w:rsidR="001952EE">
        <w:rPr>
          <w:rFonts w:eastAsia="Times New Roman"/>
          <w:lang w:eastAsia="ja-JP"/>
        </w:rPr>
        <w:t>.</w:t>
      </w:r>
      <w:r w:rsidR="00B310E5">
        <w:rPr>
          <w:rFonts w:eastAsia="Times New Roman"/>
          <w:lang w:eastAsia="ja-JP"/>
        </w:rPr>
        <w:t xml:space="preserve"> </w:t>
      </w:r>
      <w:r w:rsidR="004514B5">
        <w:rPr>
          <w:rFonts w:eastAsia="Times New Roman"/>
          <w:lang w:eastAsia="ja-JP"/>
        </w:rPr>
        <w:t xml:space="preserve"> </w:t>
      </w:r>
    </w:p>
    <w:p w14:paraId="02EB7D01" w14:textId="1D6DCAD6" w:rsidR="00657C5D" w:rsidRDefault="00657C5D" w:rsidP="00342FC6">
      <w:pPr>
        <w:pStyle w:val="Heading3"/>
        <w:rPr>
          <w:rFonts w:eastAsia="Times New Roman"/>
          <w:lang w:eastAsia="ja-JP"/>
        </w:rPr>
      </w:pPr>
      <w:bookmarkStart w:id="7" w:name="_Toc216861698"/>
      <w:r w:rsidRPr="00D81DD4">
        <w:rPr>
          <w:rFonts w:eastAsia="Times New Roman"/>
          <w:lang w:eastAsia="ja-JP"/>
        </w:rPr>
        <w:t>Oregon</w:t>
      </w:r>
      <w:bookmarkEnd w:id="7"/>
    </w:p>
    <w:p w14:paraId="7BEB110B" w14:textId="63DE2244" w:rsidR="00D81DD4" w:rsidRDefault="00D81DD4" w:rsidP="00342FC6">
      <w:pPr>
        <w:rPr>
          <w:rFonts w:eastAsia="Times New Roman"/>
          <w:lang w:eastAsia="ja-JP"/>
        </w:rPr>
      </w:pPr>
      <w:r>
        <w:rPr>
          <w:rFonts w:eastAsia="Times New Roman"/>
          <w:lang w:eastAsia="ja-JP"/>
        </w:rPr>
        <w:t xml:space="preserve">Oregon launched the Oregon Bridge Plan in 2024. </w:t>
      </w:r>
      <w:r w:rsidR="001773DA">
        <w:rPr>
          <w:rFonts w:eastAsia="Times New Roman"/>
          <w:lang w:eastAsia="ja-JP"/>
        </w:rPr>
        <w:t xml:space="preserve">The state sought to maintain coverage gains </w:t>
      </w:r>
      <w:r w:rsidR="00784463">
        <w:rPr>
          <w:rFonts w:eastAsia="Times New Roman"/>
          <w:lang w:eastAsia="ja-JP"/>
        </w:rPr>
        <w:t xml:space="preserve">from the pause in Medicaid eligibility redeterminations during the COVID-19 public health emergency and reduce churn </w:t>
      </w:r>
      <w:r w:rsidR="00F464AD">
        <w:rPr>
          <w:rFonts w:eastAsia="Times New Roman"/>
          <w:lang w:eastAsia="ja-JP"/>
        </w:rPr>
        <w:t xml:space="preserve">of consumers on and off </w:t>
      </w:r>
      <w:r w:rsidR="007F2A17">
        <w:rPr>
          <w:rFonts w:eastAsia="Times New Roman"/>
          <w:lang w:eastAsia="ja-JP"/>
        </w:rPr>
        <w:t>of Medicaid eligibility.</w:t>
      </w:r>
    </w:p>
    <w:p w14:paraId="2A081A69" w14:textId="0E2CE561" w:rsidR="007F2A17" w:rsidRDefault="005D5C87" w:rsidP="00342FC6">
      <w:pPr>
        <w:rPr>
          <w:rFonts w:eastAsia="Times New Roman"/>
          <w:lang w:eastAsia="ja-JP"/>
        </w:rPr>
      </w:pPr>
      <w:r>
        <w:rPr>
          <w:rFonts w:eastAsia="Times New Roman"/>
          <w:lang w:eastAsia="ja-JP"/>
        </w:rPr>
        <w:t>Oregon</w:t>
      </w:r>
      <w:r w:rsidR="0006725A">
        <w:rPr>
          <w:rFonts w:eastAsia="Times New Roman"/>
          <w:lang w:eastAsia="ja-JP"/>
        </w:rPr>
        <w:t xml:space="preserve">’s BHP covers </w:t>
      </w:r>
      <w:r w:rsidR="00BA6EC3">
        <w:rPr>
          <w:rFonts w:eastAsia="Times New Roman"/>
          <w:lang w:eastAsia="ja-JP"/>
        </w:rPr>
        <w:t xml:space="preserve">consumers with income between 138% and 200% of the FPL. </w:t>
      </w:r>
      <w:r w:rsidR="00632438">
        <w:rPr>
          <w:rFonts w:eastAsia="Times New Roman"/>
          <w:lang w:eastAsia="ja-JP"/>
        </w:rPr>
        <w:t xml:space="preserve">The benefits are almost identical to those in Medicaid, covering dental benefits in addition to the </w:t>
      </w:r>
      <w:r w:rsidR="0086100F">
        <w:rPr>
          <w:rFonts w:eastAsia="Times New Roman"/>
          <w:lang w:eastAsia="ja-JP"/>
        </w:rPr>
        <w:t xml:space="preserve">essential health benefits. </w:t>
      </w:r>
    </w:p>
    <w:p w14:paraId="061DE526" w14:textId="77777777" w:rsidR="00493DB2" w:rsidRDefault="0086100F" w:rsidP="00342FC6">
      <w:pPr>
        <w:rPr>
          <w:rFonts w:eastAsia="Times New Roman"/>
          <w:lang w:eastAsia="ja-JP"/>
        </w:rPr>
      </w:pPr>
      <w:r>
        <w:rPr>
          <w:rFonts w:eastAsia="Times New Roman"/>
          <w:lang w:eastAsia="ja-JP"/>
        </w:rPr>
        <w:t>Oregon uses its Medicaid managed care entities to administer the plans</w:t>
      </w:r>
      <w:r w:rsidR="00E00880">
        <w:rPr>
          <w:rFonts w:eastAsia="Times New Roman"/>
          <w:lang w:eastAsia="ja-JP"/>
        </w:rPr>
        <w:t xml:space="preserve"> and initially uses Medicaid-level provider payment rates. The state </w:t>
      </w:r>
      <w:r w:rsidR="00317C2D">
        <w:rPr>
          <w:rFonts w:eastAsia="Times New Roman"/>
          <w:lang w:eastAsia="ja-JP"/>
        </w:rPr>
        <w:t>plans to reconsider payment rates as funding allows.</w:t>
      </w:r>
      <w:r w:rsidR="00C20197">
        <w:rPr>
          <w:rFonts w:eastAsia="Times New Roman"/>
          <w:lang w:eastAsia="ja-JP"/>
        </w:rPr>
        <w:t xml:space="preserve"> </w:t>
      </w:r>
    </w:p>
    <w:p w14:paraId="205FB5FE" w14:textId="00CACDDA" w:rsidR="0086100F" w:rsidRDefault="00C20197" w:rsidP="00342FC6">
      <w:pPr>
        <w:rPr>
          <w:rFonts w:eastAsia="Times New Roman"/>
          <w:lang w:eastAsia="ja-JP"/>
        </w:rPr>
      </w:pPr>
      <w:r>
        <w:rPr>
          <w:rFonts w:eastAsia="Times New Roman"/>
          <w:lang w:eastAsia="ja-JP"/>
        </w:rPr>
        <w:t>The state’s actuarial analysis showed that</w:t>
      </w:r>
      <w:r w:rsidR="00D42E2F">
        <w:rPr>
          <w:rFonts w:eastAsia="Times New Roman"/>
          <w:lang w:eastAsia="ja-JP"/>
        </w:rPr>
        <w:t xml:space="preserve"> the</w:t>
      </w:r>
      <w:r>
        <w:rPr>
          <w:rFonts w:eastAsia="Times New Roman"/>
          <w:lang w:eastAsia="ja-JP"/>
        </w:rPr>
        <w:t xml:space="preserve"> </w:t>
      </w:r>
      <w:r w:rsidRPr="00C20197">
        <w:rPr>
          <w:rFonts w:eastAsia="Times New Roman"/>
          <w:lang w:eastAsia="ja-JP"/>
        </w:rPr>
        <w:t>individual market would remain stable and healthy</w:t>
      </w:r>
      <w:r w:rsidR="00FF5445">
        <w:rPr>
          <w:rFonts w:eastAsia="Times New Roman"/>
          <w:lang w:eastAsia="ja-JP"/>
        </w:rPr>
        <w:t xml:space="preserve"> despite the transition of consumer</w:t>
      </w:r>
      <w:r w:rsidR="00E02B91">
        <w:rPr>
          <w:rFonts w:eastAsia="Times New Roman"/>
          <w:lang w:eastAsia="ja-JP"/>
        </w:rPr>
        <w:t>s</w:t>
      </w:r>
      <w:r w:rsidR="00FF5445">
        <w:rPr>
          <w:rFonts w:eastAsia="Times New Roman"/>
          <w:lang w:eastAsia="ja-JP"/>
        </w:rPr>
        <w:t xml:space="preserve"> to the BHP</w:t>
      </w:r>
      <w:r w:rsidRPr="00C20197">
        <w:rPr>
          <w:rFonts w:eastAsia="Times New Roman"/>
          <w:lang w:eastAsia="ja-JP"/>
        </w:rPr>
        <w:t xml:space="preserve">, though </w:t>
      </w:r>
      <w:r w:rsidR="00D42E2F">
        <w:rPr>
          <w:rFonts w:eastAsia="Times New Roman"/>
          <w:lang w:eastAsia="ja-JP"/>
        </w:rPr>
        <w:t xml:space="preserve">consumers with income greater than </w:t>
      </w:r>
      <w:r w:rsidRPr="00C20197">
        <w:rPr>
          <w:rFonts w:eastAsia="Times New Roman"/>
          <w:lang w:eastAsia="ja-JP"/>
        </w:rPr>
        <w:t xml:space="preserve">200% </w:t>
      </w:r>
      <w:r w:rsidR="00D42E2F">
        <w:rPr>
          <w:rFonts w:eastAsia="Times New Roman"/>
          <w:lang w:eastAsia="ja-JP"/>
        </w:rPr>
        <w:t xml:space="preserve">of </w:t>
      </w:r>
      <w:r w:rsidRPr="00C20197">
        <w:rPr>
          <w:rFonts w:eastAsia="Times New Roman"/>
          <w:lang w:eastAsia="ja-JP"/>
        </w:rPr>
        <w:t xml:space="preserve">FPL </w:t>
      </w:r>
      <w:r w:rsidR="00D42E2F">
        <w:rPr>
          <w:rFonts w:eastAsia="Times New Roman"/>
          <w:lang w:eastAsia="ja-JP"/>
        </w:rPr>
        <w:t>would</w:t>
      </w:r>
      <w:r w:rsidRPr="00C20197">
        <w:rPr>
          <w:rFonts w:eastAsia="Times New Roman"/>
          <w:lang w:eastAsia="ja-JP"/>
        </w:rPr>
        <w:t xml:space="preserve"> pay </w:t>
      </w:r>
      <w:r w:rsidR="00D42E2F">
        <w:rPr>
          <w:rFonts w:eastAsia="Times New Roman"/>
          <w:lang w:eastAsia="ja-JP"/>
        </w:rPr>
        <w:t xml:space="preserve">more in premiums </w:t>
      </w:r>
      <w:r w:rsidRPr="00C20197">
        <w:rPr>
          <w:rFonts w:eastAsia="Times New Roman"/>
          <w:lang w:eastAsia="ja-JP"/>
        </w:rPr>
        <w:t>due to decreased silver loading</w:t>
      </w:r>
      <w:r w:rsidR="00612494">
        <w:rPr>
          <w:rFonts w:eastAsia="Times New Roman"/>
          <w:lang w:eastAsia="ja-JP"/>
        </w:rPr>
        <w:t xml:space="preserve"> (see </w:t>
      </w:r>
      <w:r w:rsidR="00612494">
        <w:rPr>
          <w:rFonts w:eastAsia="Times New Roman"/>
          <w:lang w:eastAsia="ja-JP"/>
        </w:rPr>
        <w:lastRenderedPageBreak/>
        <w:t>Individual Market Effects below)</w:t>
      </w:r>
      <w:r w:rsidR="00D42E2F">
        <w:rPr>
          <w:rFonts w:eastAsia="Times New Roman"/>
          <w:lang w:eastAsia="ja-JP"/>
        </w:rPr>
        <w:t>.</w:t>
      </w:r>
      <w:r w:rsidR="00E129CE">
        <w:rPr>
          <w:rFonts w:eastAsia="Times New Roman"/>
          <w:lang w:eastAsia="ja-JP"/>
        </w:rPr>
        <w:t xml:space="preserve"> While Oregon considered several proposals to mitigate the </w:t>
      </w:r>
      <w:r w:rsidR="000952F2">
        <w:rPr>
          <w:rFonts w:eastAsia="Times New Roman"/>
          <w:lang w:eastAsia="ja-JP"/>
        </w:rPr>
        <w:t>impact of higher individual market premiums, it determined that none were feasible.</w:t>
      </w:r>
    </w:p>
    <w:p w14:paraId="2910CB10" w14:textId="77777777" w:rsidR="00895FBA" w:rsidRPr="00B371CF" w:rsidRDefault="00895FBA" w:rsidP="00895FBA">
      <w:pPr>
        <w:pStyle w:val="Heading3"/>
        <w:rPr>
          <w:rFonts w:eastAsia="Times New Roman"/>
          <w:lang w:eastAsia="ja-JP"/>
        </w:rPr>
      </w:pPr>
      <w:bookmarkStart w:id="8" w:name="_Toc216861699"/>
      <w:r w:rsidRPr="00B371CF">
        <w:rPr>
          <w:rFonts w:eastAsia="Times New Roman"/>
          <w:lang w:eastAsia="ja-JP"/>
        </w:rPr>
        <w:t>District of Columbia</w:t>
      </w:r>
      <w:bookmarkEnd w:id="8"/>
    </w:p>
    <w:p w14:paraId="044AF404" w14:textId="77777777" w:rsidR="00895FBA" w:rsidRDefault="00895FBA" w:rsidP="00895FBA">
      <w:pPr>
        <w:rPr>
          <w:rFonts w:eastAsia="Times New Roman"/>
          <w:lang w:eastAsia="ja-JP"/>
        </w:rPr>
      </w:pPr>
      <w:r>
        <w:rPr>
          <w:rFonts w:eastAsia="Times New Roman"/>
          <w:lang w:eastAsia="ja-JP"/>
        </w:rPr>
        <w:t xml:space="preserve">The District of Columbia received approval in 2025 to move Medicaid-enrolled adults and caregivers with incomes above 138% of FPL to a Basic Health Program, referred to as the Healthy DC Plan. Through 2025, DC covered childless adults in Medicaid up to 210% of the FPL and caregivers up to 216%. </w:t>
      </w:r>
    </w:p>
    <w:p w14:paraId="4A7FF0B4" w14:textId="77777777" w:rsidR="00895FBA" w:rsidRDefault="00895FBA" w:rsidP="00895FBA">
      <w:pPr>
        <w:rPr>
          <w:rFonts w:eastAsia="Times New Roman"/>
          <w:lang w:eastAsia="ja-JP"/>
        </w:rPr>
      </w:pPr>
      <w:r>
        <w:rPr>
          <w:rFonts w:eastAsia="Times New Roman"/>
          <w:lang w:eastAsia="ja-JP"/>
        </w:rPr>
        <w:t>The Basic Health Program allows DC to access greater federal funds as it makes the Healthy DC Plan available to enrollees up to 200% of FPL. These consumers will pay no premiums or cost-sharing.  Consumers with incomes above 200% of FPL will transition to Marketplace plans with premium tax credits.</w:t>
      </w:r>
    </w:p>
    <w:p w14:paraId="29420C86" w14:textId="77777777" w:rsidR="00895FBA" w:rsidRDefault="00895FBA" w:rsidP="00895FBA">
      <w:pPr>
        <w:rPr>
          <w:rFonts w:eastAsia="Times New Roman"/>
          <w:lang w:eastAsia="ja-JP"/>
        </w:rPr>
      </w:pPr>
      <w:r w:rsidRPr="684BAE8A">
        <w:rPr>
          <w:rFonts w:eastAsia="Times New Roman"/>
          <w:lang w:eastAsia="ja-JP"/>
        </w:rPr>
        <w:t xml:space="preserve">DC’s Health Benefit Exchange (Marketplace) administers the Healthy DC Plan and contracts with three managed care plans to offer coverage, each of which participate in Medicaid managed care.      </w:t>
      </w:r>
    </w:p>
    <w:p w14:paraId="46B501BF" w14:textId="77777777" w:rsidR="00895FBA" w:rsidRPr="00D81DD4" w:rsidRDefault="00895FBA" w:rsidP="00342FC6">
      <w:pPr>
        <w:rPr>
          <w:rFonts w:eastAsia="Times New Roman"/>
          <w:lang w:eastAsia="ja-JP"/>
        </w:rPr>
      </w:pPr>
    </w:p>
    <w:p w14:paraId="1F273AD3" w14:textId="77777777" w:rsidR="00657C5D" w:rsidRDefault="00657C5D" w:rsidP="00342FC6">
      <w:pPr>
        <w:pStyle w:val="Heading2"/>
        <w:rPr>
          <w:rFonts w:eastAsia="Times New Roman"/>
          <w:lang w:eastAsia="ja-JP"/>
        </w:rPr>
      </w:pPr>
      <w:bookmarkStart w:id="9" w:name="_Toc216861700"/>
      <w:r w:rsidRPr="00657C5D">
        <w:rPr>
          <w:rFonts w:eastAsia="Times New Roman"/>
          <w:lang w:eastAsia="ja-JP"/>
        </w:rPr>
        <w:t>Considerations for consumers, states, and insurance markets</w:t>
      </w:r>
      <w:bookmarkEnd w:id="9"/>
    </w:p>
    <w:p w14:paraId="59033286" w14:textId="078373AA" w:rsidR="00E91FA9" w:rsidRPr="00657C5D" w:rsidRDefault="003A0558" w:rsidP="00342FC6">
      <w:pPr>
        <w:rPr>
          <w:rFonts w:eastAsia="Times New Roman"/>
          <w:lang w:eastAsia="ja-JP"/>
        </w:rPr>
      </w:pPr>
      <w:r>
        <w:rPr>
          <w:rFonts w:eastAsia="Times New Roman"/>
          <w:lang w:eastAsia="ja-JP"/>
        </w:rPr>
        <w:t xml:space="preserve">Basic Health Programs </w:t>
      </w:r>
      <w:r w:rsidR="007F0735">
        <w:rPr>
          <w:rFonts w:eastAsia="Times New Roman"/>
          <w:lang w:eastAsia="ja-JP"/>
        </w:rPr>
        <w:t xml:space="preserve">have the potential to </w:t>
      </w:r>
      <w:r w:rsidR="005F3602">
        <w:rPr>
          <w:rFonts w:eastAsia="Times New Roman"/>
          <w:lang w:eastAsia="ja-JP"/>
        </w:rPr>
        <w:t xml:space="preserve">impact consumer costs </w:t>
      </w:r>
      <w:r w:rsidR="00CC308E">
        <w:rPr>
          <w:rFonts w:eastAsia="Times New Roman"/>
          <w:lang w:eastAsia="ja-JP"/>
        </w:rPr>
        <w:t>both f</w:t>
      </w:r>
      <w:r w:rsidR="00157979">
        <w:rPr>
          <w:rFonts w:eastAsia="Times New Roman"/>
          <w:lang w:eastAsia="ja-JP"/>
        </w:rPr>
        <w:t xml:space="preserve">or those who enroll in the BHP and </w:t>
      </w:r>
      <w:r w:rsidR="002325AD">
        <w:rPr>
          <w:rFonts w:eastAsia="Times New Roman"/>
          <w:lang w:eastAsia="ja-JP"/>
        </w:rPr>
        <w:t>for Marketplace</w:t>
      </w:r>
      <w:r w:rsidR="00A55D3E">
        <w:rPr>
          <w:rFonts w:eastAsia="Times New Roman"/>
          <w:lang w:eastAsia="ja-JP"/>
        </w:rPr>
        <w:t xml:space="preserve"> consumer</w:t>
      </w:r>
      <w:r w:rsidR="001E2B03">
        <w:rPr>
          <w:rFonts w:eastAsia="Times New Roman"/>
          <w:lang w:eastAsia="ja-JP"/>
        </w:rPr>
        <w:t>s</w:t>
      </w:r>
      <w:r w:rsidR="00A55D3E">
        <w:rPr>
          <w:rFonts w:eastAsia="Times New Roman"/>
          <w:lang w:eastAsia="ja-JP"/>
        </w:rPr>
        <w:t xml:space="preserve"> who do not</w:t>
      </w:r>
      <w:r w:rsidR="00157979">
        <w:rPr>
          <w:rFonts w:eastAsia="Times New Roman"/>
          <w:lang w:eastAsia="ja-JP"/>
        </w:rPr>
        <w:t xml:space="preserve">. </w:t>
      </w:r>
      <w:r w:rsidR="00A55D3E">
        <w:rPr>
          <w:rFonts w:eastAsia="Times New Roman"/>
          <w:lang w:eastAsia="ja-JP"/>
        </w:rPr>
        <w:t>BHPs</w:t>
      </w:r>
      <w:r w:rsidR="00157979">
        <w:rPr>
          <w:rFonts w:eastAsia="Times New Roman"/>
          <w:lang w:eastAsia="ja-JP"/>
        </w:rPr>
        <w:t xml:space="preserve"> require administration by state agencies and</w:t>
      </w:r>
      <w:r w:rsidR="00915752">
        <w:rPr>
          <w:rFonts w:eastAsia="Times New Roman"/>
          <w:lang w:eastAsia="ja-JP"/>
        </w:rPr>
        <w:t xml:space="preserve"> potential investment from the state budget. </w:t>
      </w:r>
      <w:r w:rsidR="001E2B03">
        <w:rPr>
          <w:rFonts w:eastAsia="Times New Roman"/>
          <w:lang w:eastAsia="ja-JP"/>
        </w:rPr>
        <w:t>States</w:t>
      </w:r>
      <w:r w:rsidR="004A4603">
        <w:rPr>
          <w:rFonts w:eastAsia="Times New Roman"/>
          <w:lang w:eastAsia="ja-JP"/>
        </w:rPr>
        <w:t xml:space="preserve"> </w:t>
      </w:r>
      <w:r w:rsidR="008412EC">
        <w:rPr>
          <w:rFonts w:eastAsia="Times New Roman"/>
          <w:lang w:eastAsia="ja-JP"/>
        </w:rPr>
        <w:t xml:space="preserve">evaluating the establishment of </w:t>
      </w:r>
      <w:r w:rsidR="004A4603">
        <w:rPr>
          <w:rFonts w:eastAsia="Times New Roman"/>
          <w:lang w:eastAsia="ja-JP"/>
        </w:rPr>
        <w:t xml:space="preserve">a BHP should weigh </w:t>
      </w:r>
      <w:r w:rsidR="0071770C">
        <w:rPr>
          <w:rFonts w:eastAsia="Times New Roman"/>
          <w:lang w:eastAsia="ja-JP"/>
        </w:rPr>
        <w:t xml:space="preserve">a range of </w:t>
      </w:r>
      <w:r w:rsidR="008412EC">
        <w:rPr>
          <w:rFonts w:eastAsia="Times New Roman"/>
          <w:lang w:eastAsia="ja-JP"/>
        </w:rPr>
        <w:t>considerations</w:t>
      </w:r>
      <w:r w:rsidR="008F6901">
        <w:rPr>
          <w:rFonts w:eastAsia="Times New Roman"/>
          <w:lang w:eastAsia="ja-JP"/>
        </w:rPr>
        <w:t xml:space="preserve"> </w:t>
      </w:r>
      <w:r w:rsidR="00234E52">
        <w:rPr>
          <w:rFonts w:eastAsia="Times New Roman"/>
          <w:lang w:eastAsia="ja-JP"/>
        </w:rPr>
        <w:t>to determine the most appropriate choice given state</w:t>
      </w:r>
      <w:r w:rsidR="007F7297">
        <w:rPr>
          <w:rFonts w:eastAsia="Times New Roman"/>
          <w:lang w:eastAsia="ja-JP"/>
        </w:rPr>
        <w:t>-specific</w:t>
      </w:r>
      <w:r w:rsidR="00234E52">
        <w:rPr>
          <w:rFonts w:eastAsia="Times New Roman"/>
          <w:lang w:eastAsia="ja-JP"/>
        </w:rPr>
        <w:t xml:space="preserve"> circumstances and </w:t>
      </w:r>
      <w:r w:rsidR="007F7297">
        <w:rPr>
          <w:rFonts w:eastAsia="Times New Roman"/>
          <w:lang w:eastAsia="ja-JP"/>
        </w:rPr>
        <w:t>priorities.</w:t>
      </w:r>
      <w:r w:rsidR="001E2B03">
        <w:rPr>
          <w:rFonts w:eastAsia="Times New Roman"/>
          <w:lang w:eastAsia="ja-JP"/>
        </w:rPr>
        <w:t xml:space="preserve"> </w:t>
      </w:r>
      <w:r w:rsidR="00157979">
        <w:rPr>
          <w:rFonts w:eastAsia="Times New Roman"/>
          <w:lang w:eastAsia="ja-JP"/>
        </w:rPr>
        <w:t xml:space="preserve"> </w:t>
      </w:r>
    </w:p>
    <w:p w14:paraId="4D77EFF7" w14:textId="77777777" w:rsidR="00DC4165" w:rsidRDefault="00657C5D" w:rsidP="00342FC6">
      <w:pPr>
        <w:pStyle w:val="Heading3"/>
        <w:rPr>
          <w:rFonts w:eastAsia="Times New Roman"/>
          <w:lang w:eastAsia="ja-JP"/>
        </w:rPr>
      </w:pPr>
      <w:bookmarkStart w:id="10" w:name="_Toc216861701"/>
      <w:r w:rsidRPr="007F7297">
        <w:rPr>
          <w:rFonts w:eastAsia="Times New Roman"/>
          <w:lang w:eastAsia="ja-JP"/>
        </w:rPr>
        <w:t>Consumer coverage impacts</w:t>
      </w:r>
      <w:bookmarkEnd w:id="10"/>
    </w:p>
    <w:p w14:paraId="6CF85CCB" w14:textId="018F655F" w:rsidR="007F7297" w:rsidRPr="003151CC" w:rsidRDefault="000B36F4" w:rsidP="003151CC">
      <w:pPr>
        <w:rPr>
          <w:rFonts w:eastAsia="Times New Roman"/>
          <w:lang w:eastAsia="ja-JP"/>
        </w:rPr>
      </w:pPr>
      <w:r w:rsidRPr="003151CC">
        <w:rPr>
          <w:rFonts w:eastAsia="Times New Roman"/>
          <w:lang w:eastAsia="ja-JP"/>
        </w:rPr>
        <w:t xml:space="preserve">BHPs offer an opportunity to provide moderate-income consumers with </w:t>
      </w:r>
      <w:r w:rsidR="0034367C" w:rsidRPr="003151CC">
        <w:rPr>
          <w:rFonts w:eastAsia="Times New Roman"/>
          <w:lang w:eastAsia="ja-JP"/>
        </w:rPr>
        <w:t xml:space="preserve">coverage </w:t>
      </w:r>
      <w:r w:rsidR="005A3C3F" w:rsidRPr="003151CC">
        <w:rPr>
          <w:rFonts w:eastAsia="Times New Roman"/>
          <w:lang w:eastAsia="ja-JP"/>
        </w:rPr>
        <w:t xml:space="preserve">that is more affordable than they </w:t>
      </w:r>
      <w:r w:rsidR="00BE0C44" w:rsidRPr="003151CC">
        <w:rPr>
          <w:rFonts w:eastAsia="Times New Roman"/>
          <w:lang w:eastAsia="ja-JP"/>
        </w:rPr>
        <w:t xml:space="preserve">could find through the Marketplace. They </w:t>
      </w:r>
      <w:r w:rsidR="00180CFC" w:rsidRPr="003151CC">
        <w:rPr>
          <w:rFonts w:eastAsia="Times New Roman"/>
          <w:lang w:eastAsia="ja-JP"/>
        </w:rPr>
        <w:t xml:space="preserve">also have the potential to ease </w:t>
      </w:r>
      <w:r w:rsidR="006F6446" w:rsidRPr="003151CC">
        <w:rPr>
          <w:rFonts w:eastAsia="Times New Roman"/>
          <w:lang w:eastAsia="ja-JP"/>
        </w:rPr>
        <w:t xml:space="preserve">enrollment and </w:t>
      </w:r>
      <w:r w:rsidR="00180CFC" w:rsidRPr="003151CC">
        <w:rPr>
          <w:rFonts w:eastAsia="Times New Roman"/>
          <w:lang w:eastAsia="ja-JP"/>
        </w:rPr>
        <w:t>coverage transitions for consumers</w:t>
      </w:r>
      <w:r w:rsidR="006F6446" w:rsidRPr="003151CC">
        <w:rPr>
          <w:rFonts w:eastAsia="Times New Roman"/>
          <w:lang w:eastAsia="ja-JP"/>
        </w:rPr>
        <w:t>, particularly those</w:t>
      </w:r>
      <w:r w:rsidR="00180CFC" w:rsidRPr="003151CC">
        <w:rPr>
          <w:rFonts w:eastAsia="Times New Roman"/>
          <w:lang w:eastAsia="ja-JP"/>
        </w:rPr>
        <w:t xml:space="preserve"> whose income </w:t>
      </w:r>
      <w:r w:rsidR="002709BD" w:rsidRPr="003151CC">
        <w:rPr>
          <w:rFonts w:eastAsia="Times New Roman"/>
          <w:lang w:eastAsia="ja-JP"/>
        </w:rPr>
        <w:t>fluctuates between the Medicaid and premium tax credit ranges.</w:t>
      </w:r>
    </w:p>
    <w:p w14:paraId="44352867" w14:textId="54CA3C9D" w:rsidR="0015344D" w:rsidRPr="003151CC" w:rsidRDefault="009D3467" w:rsidP="003151CC">
      <w:pPr>
        <w:rPr>
          <w:rFonts w:eastAsia="Times New Roman"/>
          <w:lang w:eastAsia="ja-JP"/>
        </w:rPr>
      </w:pPr>
      <w:r w:rsidRPr="003151CC">
        <w:rPr>
          <w:rFonts w:eastAsia="Times New Roman"/>
          <w:lang w:eastAsia="ja-JP"/>
        </w:rPr>
        <w:t xml:space="preserve">Federal law </w:t>
      </w:r>
      <w:r w:rsidR="00987539" w:rsidRPr="003151CC">
        <w:rPr>
          <w:rFonts w:eastAsia="Times New Roman"/>
          <w:lang w:eastAsia="ja-JP"/>
        </w:rPr>
        <w:t>requires that BHP premiums be no more than consumers would face for a benchmark Mar</w:t>
      </w:r>
      <w:r w:rsidR="00C8316E" w:rsidRPr="003151CC">
        <w:rPr>
          <w:rFonts w:eastAsia="Times New Roman"/>
          <w:lang w:eastAsia="ja-JP"/>
        </w:rPr>
        <w:t xml:space="preserve">ketplace plan with cost-sharing limited to </w:t>
      </w:r>
      <w:r w:rsidR="00A04C0D" w:rsidRPr="003151CC">
        <w:rPr>
          <w:rFonts w:eastAsia="Times New Roman"/>
          <w:lang w:eastAsia="ja-JP"/>
        </w:rPr>
        <w:t xml:space="preserve">the level of </w:t>
      </w:r>
      <w:r w:rsidR="00C8316E" w:rsidRPr="003151CC">
        <w:rPr>
          <w:rFonts w:eastAsia="Times New Roman"/>
          <w:lang w:eastAsia="ja-JP"/>
        </w:rPr>
        <w:t xml:space="preserve">gold and platinum plans. In practice, however, states </w:t>
      </w:r>
      <w:r w:rsidR="00B23710" w:rsidRPr="003151CC">
        <w:rPr>
          <w:rFonts w:eastAsia="Times New Roman"/>
          <w:lang w:eastAsia="ja-JP"/>
        </w:rPr>
        <w:t>with BHPs have offered coverage that is substantially more affordable</w:t>
      </w:r>
      <w:r w:rsidR="00695B49" w:rsidRPr="003151CC">
        <w:rPr>
          <w:rFonts w:eastAsia="Times New Roman"/>
          <w:lang w:eastAsia="ja-JP"/>
        </w:rPr>
        <w:t>, both in premiums and cost-sharing,</w:t>
      </w:r>
      <w:r w:rsidR="00B23710" w:rsidRPr="003151CC">
        <w:rPr>
          <w:rFonts w:eastAsia="Times New Roman"/>
          <w:lang w:eastAsia="ja-JP"/>
        </w:rPr>
        <w:t xml:space="preserve"> tha</w:t>
      </w:r>
      <w:r w:rsidR="00204382" w:rsidRPr="003151CC">
        <w:rPr>
          <w:rFonts w:eastAsia="Times New Roman"/>
          <w:lang w:eastAsia="ja-JP"/>
        </w:rPr>
        <w:t>n required by the law.</w:t>
      </w:r>
      <w:r w:rsidR="00695B49" w:rsidRPr="003151CC">
        <w:rPr>
          <w:rFonts w:eastAsia="Times New Roman"/>
          <w:lang w:eastAsia="ja-JP"/>
        </w:rPr>
        <w:t xml:space="preserve"> </w:t>
      </w:r>
      <w:r w:rsidR="00016A7D" w:rsidRPr="003151CC">
        <w:rPr>
          <w:rFonts w:eastAsia="Times New Roman"/>
          <w:lang w:eastAsia="ja-JP"/>
        </w:rPr>
        <w:t xml:space="preserve">DC, </w:t>
      </w:r>
      <w:r w:rsidR="00D70A53" w:rsidRPr="003151CC">
        <w:rPr>
          <w:rFonts w:eastAsia="Times New Roman"/>
          <w:lang w:eastAsia="ja-JP"/>
        </w:rPr>
        <w:t>New York</w:t>
      </w:r>
      <w:r w:rsidR="00016A7D" w:rsidRPr="003151CC">
        <w:rPr>
          <w:rFonts w:eastAsia="Times New Roman"/>
          <w:lang w:eastAsia="ja-JP"/>
        </w:rPr>
        <w:t>,</w:t>
      </w:r>
      <w:r w:rsidR="00D70A53" w:rsidRPr="003151CC">
        <w:rPr>
          <w:rFonts w:eastAsia="Times New Roman"/>
          <w:lang w:eastAsia="ja-JP"/>
        </w:rPr>
        <w:t xml:space="preserve"> and Oregon </w:t>
      </w:r>
      <w:r w:rsidR="005B5358" w:rsidRPr="003151CC">
        <w:rPr>
          <w:rFonts w:eastAsia="Times New Roman"/>
          <w:lang w:eastAsia="ja-JP"/>
        </w:rPr>
        <w:t>offer BHP plans with no premiums</w:t>
      </w:r>
      <w:r w:rsidR="007646A1" w:rsidRPr="003151CC">
        <w:rPr>
          <w:rFonts w:eastAsia="Times New Roman"/>
          <w:lang w:eastAsia="ja-JP"/>
        </w:rPr>
        <w:t xml:space="preserve"> and no or minimal cost-sharing. Minnesota</w:t>
      </w:r>
      <w:r w:rsidR="00936DF1" w:rsidRPr="003151CC">
        <w:rPr>
          <w:rFonts w:eastAsia="Times New Roman"/>
          <w:lang w:eastAsia="ja-JP"/>
        </w:rPr>
        <w:t xml:space="preserve"> applies</w:t>
      </w:r>
      <w:r w:rsidR="007646A1" w:rsidRPr="003151CC">
        <w:rPr>
          <w:rFonts w:eastAsia="Times New Roman"/>
          <w:lang w:eastAsia="ja-JP"/>
        </w:rPr>
        <w:t xml:space="preserve"> premiums </w:t>
      </w:r>
      <w:r w:rsidR="00A44884" w:rsidRPr="003151CC">
        <w:rPr>
          <w:rFonts w:eastAsia="Times New Roman"/>
          <w:lang w:eastAsia="ja-JP"/>
        </w:rPr>
        <w:t xml:space="preserve">only to </w:t>
      </w:r>
      <w:r w:rsidR="000B4515" w:rsidRPr="003151CC">
        <w:rPr>
          <w:rFonts w:eastAsia="Times New Roman"/>
          <w:lang w:eastAsia="ja-JP"/>
        </w:rPr>
        <w:t>consumers with incomes at the higher range of eligibility and</w:t>
      </w:r>
      <w:r w:rsidR="001D04C0" w:rsidRPr="003151CC">
        <w:rPr>
          <w:rFonts w:eastAsia="Times New Roman"/>
          <w:lang w:eastAsia="ja-JP"/>
        </w:rPr>
        <w:t xml:space="preserve"> cost-sharing lower than </w:t>
      </w:r>
      <w:r w:rsidR="0015344D" w:rsidRPr="003151CC">
        <w:rPr>
          <w:rFonts w:eastAsia="Times New Roman"/>
          <w:lang w:eastAsia="ja-JP"/>
        </w:rPr>
        <w:t>Marketplace plans, with some enrollees exempt</w:t>
      </w:r>
      <w:r w:rsidR="003F1B44">
        <w:rPr>
          <w:rFonts w:eastAsia="Times New Roman"/>
          <w:lang w:eastAsia="ja-JP"/>
        </w:rPr>
        <w:t xml:space="preserve"> from cost-sharing</w:t>
      </w:r>
      <w:r w:rsidR="0015344D" w:rsidRPr="003151CC">
        <w:rPr>
          <w:rFonts w:eastAsia="Times New Roman"/>
          <w:lang w:eastAsia="ja-JP"/>
        </w:rPr>
        <w:t>.</w:t>
      </w:r>
    </w:p>
    <w:p w14:paraId="52327DBA" w14:textId="77777777" w:rsidR="000E4C2E" w:rsidRPr="003151CC" w:rsidRDefault="00880ED8" w:rsidP="003151CC">
      <w:pPr>
        <w:rPr>
          <w:rFonts w:eastAsia="Times New Roman"/>
          <w:lang w:eastAsia="ja-JP"/>
        </w:rPr>
      </w:pPr>
      <w:r w:rsidRPr="003151CC">
        <w:rPr>
          <w:rFonts w:eastAsia="Times New Roman"/>
          <w:lang w:eastAsia="ja-JP"/>
        </w:rPr>
        <w:lastRenderedPageBreak/>
        <w:t xml:space="preserve">Enrolling and maintaining enrollment in </w:t>
      </w:r>
      <w:r w:rsidR="00701940" w:rsidRPr="003151CC">
        <w:rPr>
          <w:rFonts w:eastAsia="Times New Roman"/>
          <w:lang w:eastAsia="ja-JP"/>
        </w:rPr>
        <w:t xml:space="preserve">a BHP </w:t>
      </w:r>
      <w:r w:rsidR="00213F9D" w:rsidRPr="003151CC">
        <w:rPr>
          <w:rFonts w:eastAsia="Times New Roman"/>
          <w:lang w:eastAsia="ja-JP"/>
        </w:rPr>
        <w:t>is likely to be simpler for consumers than enrollment in a Marketplace plan with premium tax credits. Marketplace enrollment requires selection</w:t>
      </w:r>
      <w:r w:rsidR="00051525" w:rsidRPr="003151CC">
        <w:rPr>
          <w:rFonts w:eastAsia="Times New Roman"/>
          <w:lang w:eastAsia="ja-JP"/>
        </w:rPr>
        <w:t xml:space="preserve"> of a plan, often from dozens of choices at differing metal levels, </w:t>
      </w:r>
      <w:r w:rsidR="00003C86" w:rsidRPr="003151CC">
        <w:rPr>
          <w:rFonts w:eastAsia="Times New Roman"/>
          <w:lang w:eastAsia="ja-JP"/>
        </w:rPr>
        <w:t xml:space="preserve">and reconciliation of premium tax credits at tax time. </w:t>
      </w:r>
      <w:r w:rsidR="00826147" w:rsidRPr="003151CC">
        <w:rPr>
          <w:rFonts w:eastAsia="Times New Roman"/>
          <w:lang w:eastAsia="ja-JP"/>
        </w:rPr>
        <w:t xml:space="preserve">States have chosen to operate BHPs more like Medicaid </w:t>
      </w:r>
      <w:r w:rsidR="00C06146" w:rsidRPr="003151CC">
        <w:rPr>
          <w:rFonts w:eastAsia="Times New Roman"/>
          <w:lang w:eastAsia="ja-JP"/>
        </w:rPr>
        <w:t>managed care, with longer periods of continuous enrollment, limited plan choices, and no reconciliation requirement.</w:t>
      </w:r>
    </w:p>
    <w:p w14:paraId="47FDB574" w14:textId="77777777" w:rsidR="006E639B" w:rsidRPr="003151CC" w:rsidRDefault="000E4C2E" w:rsidP="003151CC">
      <w:pPr>
        <w:rPr>
          <w:rFonts w:eastAsia="Times New Roman"/>
          <w:lang w:eastAsia="ja-JP"/>
        </w:rPr>
      </w:pPr>
      <w:r w:rsidRPr="003151CC">
        <w:rPr>
          <w:rFonts w:eastAsia="Times New Roman"/>
          <w:lang w:eastAsia="ja-JP"/>
        </w:rPr>
        <w:t xml:space="preserve">BHP benefits, too, </w:t>
      </w:r>
      <w:r w:rsidR="00B232C2" w:rsidRPr="003151CC">
        <w:rPr>
          <w:rFonts w:eastAsia="Times New Roman"/>
          <w:lang w:eastAsia="ja-JP"/>
        </w:rPr>
        <w:t>are often more similar to Medicaid benefits packages than Marketplace plans, with the inclusion of dental and vision services.</w:t>
      </w:r>
    </w:p>
    <w:p w14:paraId="62018510" w14:textId="126321BC" w:rsidR="00DC4165" w:rsidRDefault="00197ECB" w:rsidP="002C473E">
      <w:pPr>
        <w:rPr>
          <w:rFonts w:ascii="Cambria" w:eastAsia="Times New Roman" w:hAnsi="Cambria" w:cs="Times New Roman"/>
          <w:sz w:val="22"/>
          <w:szCs w:val="22"/>
          <w:lang w:eastAsia="ja-JP"/>
        </w:rPr>
      </w:pPr>
      <w:r w:rsidRPr="003151CC">
        <w:rPr>
          <w:rFonts w:eastAsia="Times New Roman"/>
          <w:lang w:eastAsia="ja-JP"/>
        </w:rPr>
        <w:t xml:space="preserve">The establishment of a BHP can also affect affordability for </w:t>
      </w:r>
      <w:r w:rsidR="00C47EC0" w:rsidRPr="003151CC">
        <w:rPr>
          <w:rFonts w:eastAsia="Times New Roman"/>
          <w:lang w:eastAsia="ja-JP"/>
        </w:rPr>
        <w:t xml:space="preserve">consumers </w:t>
      </w:r>
      <w:r w:rsidR="00D44A27" w:rsidRPr="003151CC">
        <w:rPr>
          <w:rFonts w:eastAsia="Times New Roman"/>
          <w:lang w:eastAsia="ja-JP"/>
        </w:rPr>
        <w:t>who e</w:t>
      </w:r>
      <w:r w:rsidR="00E576B1" w:rsidRPr="003151CC">
        <w:rPr>
          <w:rFonts w:eastAsia="Times New Roman"/>
          <w:lang w:eastAsia="ja-JP"/>
        </w:rPr>
        <w:t>nroll in Marketplace plans—see the Individual Market Effects section below.</w:t>
      </w:r>
      <w:r w:rsidR="00213F9D" w:rsidRPr="003151CC">
        <w:rPr>
          <w:rFonts w:eastAsia="Times New Roman"/>
          <w:lang w:eastAsia="ja-JP"/>
        </w:rPr>
        <w:t xml:space="preserve"> </w:t>
      </w:r>
      <w:r w:rsidR="000B4515" w:rsidRPr="003151CC">
        <w:rPr>
          <w:rFonts w:eastAsia="Times New Roman"/>
          <w:lang w:eastAsia="ja-JP"/>
        </w:rPr>
        <w:t xml:space="preserve"> </w:t>
      </w:r>
    </w:p>
    <w:p w14:paraId="34BE43A4" w14:textId="77777777" w:rsidR="00DC4165" w:rsidRPr="00342FC6" w:rsidRDefault="00657C5D" w:rsidP="00342FC6">
      <w:pPr>
        <w:pStyle w:val="Heading3"/>
        <w:rPr>
          <w:rFonts w:eastAsia="Times New Roman"/>
          <w:lang w:eastAsia="ja-JP"/>
        </w:rPr>
      </w:pPr>
      <w:bookmarkStart w:id="11" w:name="_Toc216861702"/>
      <w:r w:rsidRPr="00342FC6">
        <w:rPr>
          <w:rFonts w:eastAsia="Times New Roman"/>
          <w:lang w:eastAsia="ja-JP"/>
        </w:rPr>
        <w:t>State considerations</w:t>
      </w:r>
      <w:bookmarkEnd w:id="11"/>
    </w:p>
    <w:p w14:paraId="7F562A69" w14:textId="77777777" w:rsidR="00DC4165" w:rsidRPr="00342FC6" w:rsidRDefault="00657C5D" w:rsidP="00342FC6">
      <w:pPr>
        <w:pStyle w:val="Heading4"/>
        <w:rPr>
          <w:rFonts w:eastAsia="Times New Roman"/>
          <w:lang w:eastAsia="ja-JP"/>
        </w:rPr>
      </w:pPr>
      <w:r w:rsidRPr="00342FC6">
        <w:rPr>
          <w:rFonts w:eastAsia="Times New Roman"/>
          <w:lang w:eastAsia="ja-JP"/>
        </w:rPr>
        <w:t>Budget</w:t>
      </w:r>
    </w:p>
    <w:p w14:paraId="78AC99CD" w14:textId="6666C193" w:rsidR="00C15EA6" w:rsidRDefault="002D3AF9" w:rsidP="00342FC6">
      <w:pPr>
        <w:rPr>
          <w:rFonts w:eastAsia="Times New Roman"/>
          <w:lang w:eastAsia="ja-JP"/>
        </w:rPr>
      </w:pPr>
      <w:r>
        <w:rPr>
          <w:rFonts w:eastAsia="Times New Roman"/>
          <w:lang w:eastAsia="ja-JP"/>
        </w:rPr>
        <w:t>Federal funding under the BHP formula is available to cover a substantial portion of a state’s BHP costs.</w:t>
      </w:r>
      <w:r w:rsidR="0085544B">
        <w:rPr>
          <w:rFonts w:eastAsia="Times New Roman"/>
          <w:lang w:eastAsia="ja-JP"/>
        </w:rPr>
        <w:t xml:space="preserve"> State funding, however, may be necessary </w:t>
      </w:r>
      <w:r w:rsidR="00C93DDF">
        <w:rPr>
          <w:rFonts w:eastAsia="Times New Roman"/>
          <w:lang w:eastAsia="ja-JP"/>
        </w:rPr>
        <w:t xml:space="preserve">to </w:t>
      </w:r>
      <w:r w:rsidR="005A1D2D">
        <w:rPr>
          <w:rFonts w:eastAsia="Times New Roman"/>
          <w:lang w:eastAsia="ja-JP"/>
        </w:rPr>
        <w:t xml:space="preserve">make up any difference between available federal funds and the costs of a BHP. </w:t>
      </w:r>
      <w:r w:rsidR="005F71B4">
        <w:rPr>
          <w:rFonts w:eastAsia="Times New Roman"/>
          <w:lang w:eastAsia="ja-JP"/>
        </w:rPr>
        <w:t xml:space="preserve">Due to the link between BHP funding and premium tax credits, </w:t>
      </w:r>
      <w:r w:rsidR="000E1A51">
        <w:rPr>
          <w:rFonts w:eastAsia="Times New Roman"/>
          <w:lang w:eastAsia="ja-JP"/>
        </w:rPr>
        <w:t>policy changes that increase PTCs offer states greater BHP funding</w:t>
      </w:r>
      <w:r w:rsidR="00805B81">
        <w:rPr>
          <w:rFonts w:eastAsia="Times New Roman"/>
          <w:lang w:eastAsia="ja-JP"/>
        </w:rPr>
        <w:t xml:space="preserve"> and reduce the need for state dollars</w:t>
      </w:r>
      <w:r w:rsidR="000E1A51">
        <w:rPr>
          <w:rFonts w:eastAsia="Times New Roman"/>
          <w:lang w:eastAsia="ja-JP"/>
        </w:rPr>
        <w:t>, while decreased PTC</w:t>
      </w:r>
      <w:r w:rsidR="004806FC">
        <w:rPr>
          <w:rFonts w:eastAsia="Times New Roman"/>
          <w:lang w:eastAsia="ja-JP"/>
        </w:rPr>
        <w:t>s</w:t>
      </w:r>
      <w:r w:rsidR="000E1A51">
        <w:rPr>
          <w:rFonts w:eastAsia="Times New Roman"/>
          <w:lang w:eastAsia="ja-JP"/>
        </w:rPr>
        <w:t xml:space="preserve"> lower </w:t>
      </w:r>
      <w:r w:rsidR="004806FC">
        <w:rPr>
          <w:rFonts w:eastAsia="Times New Roman"/>
          <w:lang w:eastAsia="ja-JP"/>
        </w:rPr>
        <w:t xml:space="preserve">federal support for </w:t>
      </w:r>
      <w:r w:rsidR="000E1A51">
        <w:rPr>
          <w:rFonts w:eastAsia="Times New Roman"/>
          <w:lang w:eastAsia="ja-JP"/>
        </w:rPr>
        <w:t>BHP</w:t>
      </w:r>
      <w:r w:rsidR="004806FC">
        <w:rPr>
          <w:rFonts w:eastAsia="Times New Roman"/>
          <w:lang w:eastAsia="ja-JP"/>
        </w:rPr>
        <w:t>s</w:t>
      </w:r>
      <w:r w:rsidR="00805B81">
        <w:rPr>
          <w:rFonts w:eastAsia="Times New Roman"/>
          <w:lang w:eastAsia="ja-JP"/>
        </w:rPr>
        <w:t xml:space="preserve"> and increase state spending</w:t>
      </w:r>
      <w:r w:rsidR="004806FC">
        <w:rPr>
          <w:rFonts w:eastAsia="Times New Roman"/>
          <w:lang w:eastAsia="ja-JP"/>
        </w:rPr>
        <w:t>.</w:t>
      </w:r>
      <w:r w:rsidR="00C8533E">
        <w:rPr>
          <w:rFonts w:eastAsia="Times New Roman"/>
          <w:lang w:eastAsia="ja-JP"/>
        </w:rPr>
        <w:t xml:space="preserve"> </w:t>
      </w:r>
    </w:p>
    <w:p w14:paraId="691BEC50" w14:textId="1A83CA43" w:rsidR="00D66923" w:rsidRDefault="00434B36" w:rsidP="00342FC6">
      <w:pPr>
        <w:rPr>
          <w:rFonts w:eastAsia="Times New Roman"/>
          <w:lang w:eastAsia="ja-JP"/>
        </w:rPr>
      </w:pPr>
      <w:r>
        <w:rPr>
          <w:rFonts w:eastAsia="Times New Roman"/>
          <w:lang w:eastAsia="ja-JP"/>
        </w:rPr>
        <w:t>States have been able to offer more affordable and more robust coverage through BHPs than</w:t>
      </w:r>
      <w:r w:rsidR="00E4259E">
        <w:rPr>
          <w:rFonts w:eastAsia="Times New Roman"/>
          <w:lang w:eastAsia="ja-JP"/>
        </w:rPr>
        <w:t xml:space="preserve"> is available in their Marketplaces by </w:t>
      </w:r>
      <w:r w:rsidR="00B14F6E">
        <w:rPr>
          <w:rFonts w:eastAsia="Times New Roman"/>
          <w:lang w:eastAsia="ja-JP"/>
        </w:rPr>
        <w:t xml:space="preserve">using provider payment rates </w:t>
      </w:r>
      <w:r w:rsidR="004F1E9E">
        <w:rPr>
          <w:rFonts w:eastAsia="Times New Roman"/>
          <w:lang w:eastAsia="ja-JP"/>
        </w:rPr>
        <w:t xml:space="preserve">closer to </w:t>
      </w:r>
      <w:r w:rsidR="00B14F6E">
        <w:rPr>
          <w:rFonts w:eastAsia="Times New Roman"/>
          <w:lang w:eastAsia="ja-JP"/>
        </w:rPr>
        <w:t xml:space="preserve">those used in </w:t>
      </w:r>
      <w:r w:rsidR="004F1E9E">
        <w:rPr>
          <w:rFonts w:eastAsia="Times New Roman"/>
          <w:lang w:eastAsia="ja-JP"/>
        </w:rPr>
        <w:t xml:space="preserve">Medicaid than </w:t>
      </w:r>
      <w:r w:rsidR="00B14F6E">
        <w:rPr>
          <w:rFonts w:eastAsia="Times New Roman"/>
          <w:lang w:eastAsia="ja-JP"/>
        </w:rPr>
        <w:t>the commercial rates paid by Marketplace plans.</w:t>
      </w:r>
      <w:r w:rsidR="007A04D0">
        <w:rPr>
          <w:rFonts w:eastAsia="Times New Roman"/>
          <w:lang w:eastAsia="ja-JP"/>
        </w:rPr>
        <w:t xml:space="preserve"> </w:t>
      </w:r>
      <w:r w:rsidR="0004695C">
        <w:rPr>
          <w:rFonts w:eastAsia="Times New Roman"/>
          <w:lang w:eastAsia="ja-JP"/>
        </w:rPr>
        <w:t xml:space="preserve">The gap between </w:t>
      </w:r>
      <w:r w:rsidR="00BD6007">
        <w:rPr>
          <w:rFonts w:eastAsia="Times New Roman"/>
          <w:lang w:eastAsia="ja-JP"/>
        </w:rPr>
        <w:t xml:space="preserve">lower Medicaid rates and </w:t>
      </w:r>
      <w:r w:rsidR="00EB25EC">
        <w:rPr>
          <w:rFonts w:eastAsia="Times New Roman"/>
          <w:lang w:eastAsia="ja-JP"/>
        </w:rPr>
        <w:t>higher Marketplace provider payment rates determines how much “room” a state has to increase the generosity of BHP plans</w:t>
      </w:r>
      <w:r w:rsidR="00605C02">
        <w:rPr>
          <w:rFonts w:eastAsia="Times New Roman"/>
          <w:lang w:eastAsia="ja-JP"/>
        </w:rPr>
        <w:t xml:space="preserve"> relative to Marketplace plans</w:t>
      </w:r>
      <w:r w:rsidR="00EB25EC">
        <w:rPr>
          <w:rFonts w:eastAsia="Times New Roman"/>
          <w:lang w:eastAsia="ja-JP"/>
        </w:rPr>
        <w:t xml:space="preserve">. </w:t>
      </w:r>
      <w:r w:rsidR="007A04D0">
        <w:rPr>
          <w:rFonts w:eastAsia="Times New Roman"/>
          <w:lang w:eastAsia="ja-JP"/>
        </w:rPr>
        <w:t xml:space="preserve">States with higher </w:t>
      </w:r>
      <w:r w:rsidR="00441F54">
        <w:rPr>
          <w:rFonts w:eastAsia="Times New Roman"/>
          <w:lang w:eastAsia="ja-JP"/>
        </w:rPr>
        <w:t>provider payments in Marketplace plans, and thus higher Marketplace premiums</w:t>
      </w:r>
      <w:r w:rsidR="00BE3B0E">
        <w:rPr>
          <w:rFonts w:eastAsia="Times New Roman"/>
          <w:lang w:eastAsia="ja-JP"/>
        </w:rPr>
        <w:t xml:space="preserve"> and PTCs</w:t>
      </w:r>
      <w:r w:rsidR="00441F54">
        <w:rPr>
          <w:rFonts w:eastAsia="Times New Roman"/>
          <w:lang w:eastAsia="ja-JP"/>
        </w:rPr>
        <w:t xml:space="preserve">, </w:t>
      </w:r>
      <w:r w:rsidR="00BC16E7">
        <w:rPr>
          <w:rFonts w:eastAsia="Times New Roman"/>
          <w:lang w:eastAsia="ja-JP"/>
        </w:rPr>
        <w:t xml:space="preserve">are more likely to be able to fully fund a BHP with 95% of </w:t>
      </w:r>
      <w:r w:rsidR="00BE3B0E">
        <w:rPr>
          <w:rFonts w:eastAsia="Times New Roman"/>
          <w:lang w:eastAsia="ja-JP"/>
        </w:rPr>
        <w:t>PTCs</w:t>
      </w:r>
      <w:r w:rsidR="000A3531">
        <w:rPr>
          <w:rFonts w:eastAsia="Times New Roman"/>
          <w:lang w:eastAsia="ja-JP"/>
        </w:rPr>
        <w:t xml:space="preserve"> that would otherwise be paid on behalf of enrollees.</w:t>
      </w:r>
      <w:r w:rsidR="00E61F82">
        <w:rPr>
          <w:rFonts w:eastAsia="Times New Roman"/>
          <w:lang w:eastAsia="ja-JP"/>
        </w:rPr>
        <w:t xml:space="preserve"> The size of the gap is also determined by a state’s </w:t>
      </w:r>
      <w:r w:rsidR="00964C63">
        <w:rPr>
          <w:rFonts w:eastAsia="Times New Roman"/>
          <w:lang w:eastAsia="ja-JP"/>
        </w:rPr>
        <w:t xml:space="preserve">choice of </w:t>
      </w:r>
      <w:r w:rsidR="00151009">
        <w:rPr>
          <w:rFonts w:eastAsia="Times New Roman"/>
          <w:lang w:eastAsia="ja-JP"/>
        </w:rPr>
        <w:t xml:space="preserve">provider payment levels in the BHP—states that pay a multiple of their Medicaid rates may </w:t>
      </w:r>
      <w:r w:rsidR="0041579D">
        <w:rPr>
          <w:rFonts w:eastAsia="Times New Roman"/>
          <w:lang w:eastAsia="ja-JP"/>
        </w:rPr>
        <w:t>need to invest greater state funds to cover BHP costs.</w:t>
      </w:r>
    </w:p>
    <w:p w14:paraId="12300D9E" w14:textId="3BF10E4E" w:rsidR="00D94ECC" w:rsidRPr="00C15EA6" w:rsidRDefault="291D39A9" w:rsidP="00342FC6">
      <w:pPr>
        <w:rPr>
          <w:rFonts w:eastAsia="Times New Roman"/>
          <w:lang w:eastAsia="ja-JP"/>
        </w:rPr>
      </w:pPr>
      <w:r w:rsidRPr="684BAE8A">
        <w:rPr>
          <w:rFonts w:eastAsia="Times New Roman"/>
          <w:lang w:eastAsia="ja-JP"/>
        </w:rPr>
        <w:t xml:space="preserve">States considering a BHP should </w:t>
      </w:r>
      <w:r w:rsidR="78EC81C7" w:rsidRPr="684BAE8A">
        <w:rPr>
          <w:rFonts w:eastAsia="Times New Roman"/>
          <w:lang w:eastAsia="ja-JP"/>
        </w:rPr>
        <w:t>plan for the possibility of changes to their BHP funding due to changes in the PTC</w:t>
      </w:r>
      <w:r w:rsidR="3809DA8E" w:rsidRPr="684BAE8A">
        <w:rPr>
          <w:rFonts w:eastAsia="Times New Roman"/>
          <w:lang w:eastAsia="ja-JP"/>
        </w:rPr>
        <w:t xml:space="preserve"> amounts</w:t>
      </w:r>
      <w:r w:rsidR="5AF3A477" w:rsidRPr="684BAE8A">
        <w:rPr>
          <w:rFonts w:eastAsia="Times New Roman"/>
          <w:lang w:eastAsia="ja-JP"/>
        </w:rPr>
        <w:t xml:space="preserve"> (and cost-sharing reduction </w:t>
      </w:r>
      <w:r w:rsidR="3809DA8E" w:rsidRPr="684BAE8A">
        <w:rPr>
          <w:rFonts w:eastAsia="Times New Roman"/>
          <w:lang w:eastAsia="ja-JP"/>
        </w:rPr>
        <w:t>payments, if any)</w:t>
      </w:r>
      <w:r w:rsidR="78EC81C7" w:rsidRPr="684BAE8A">
        <w:rPr>
          <w:rFonts w:eastAsia="Times New Roman"/>
          <w:lang w:eastAsia="ja-JP"/>
        </w:rPr>
        <w:t xml:space="preserve"> </w:t>
      </w:r>
      <w:r w:rsidR="2E61E647" w:rsidRPr="684BAE8A">
        <w:rPr>
          <w:rFonts w:eastAsia="Times New Roman"/>
          <w:lang w:eastAsia="ja-JP"/>
        </w:rPr>
        <w:t xml:space="preserve">paid in their states. </w:t>
      </w:r>
      <w:r w:rsidR="478B590A" w:rsidRPr="684BAE8A">
        <w:rPr>
          <w:rFonts w:eastAsia="Times New Roman"/>
          <w:lang w:eastAsia="ja-JP"/>
        </w:rPr>
        <w:t>The 2017 federal decision to end cost-sharing reduction payments</w:t>
      </w:r>
      <w:r w:rsidR="66B8709A" w:rsidRPr="684BAE8A">
        <w:rPr>
          <w:rFonts w:eastAsia="Times New Roman"/>
          <w:lang w:eastAsia="ja-JP"/>
        </w:rPr>
        <w:t xml:space="preserve"> removed these </w:t>
      </w:r>
      <w:r w:rsidR="049DCF54" w:rsidRPr="684BAE8A">
        <w:rPr>
          <w:rFonts w:eastAsia="Times New Roman"/>
          <w:lang w:eastAsia="ja-JP"/>
        </w:rPr>
        <w:t>funds from BHP funding</w:t>
      </w:r>
      <w:r w:rsidR="101663C6" w:rsidRPr="684BAE8A">
        <w:rPr>
          <w:rFonts w:eastAsia="Times New Roman"/>
          <w:lang w:eastAsia="ja-JP"/>
        </w:rPr>
        <w:t xml:space="preserve">, though the BHP funding formula </w:t>
      </w:r>
      <w:r w:rsidR="5E680163" w:rsidRPr="684BAE8A">
        <w:rPr>
          <w:rFonts w:eastAsia="Times New Roman"/>
          <w:lang w:eastAsia="ja-JP"/>
        </w:rPr>
        <w:t xml:space="preserve">was subsequently adjusted to </w:t>
      </w:r>
      <w:r w:rsidR="101663C6" w:rsidRPr="684BAE8A">
        <w:rPr>
          <w:rFonts w:eastAsia="Times New Roman"/>
          <w:lang w:eastAsia="ja-JP"/>
        </w:rPr>
        <w:t>account for this change</w:t>
      </w:r>
      <w:r w:rsidR="2A128230" w:rsidRPr="684BAE8A">
        <w:rPr>
          <w:rFonts w:eastAsia="Times New Roman"/>
          <w:lang w:eastAsia="ja-JP"/>
        </w:rPr>
        <w:t xml:space="preserve">. The </w:t>
      </w:r>
      <w:r w:rsidR="2DCEB5F3" w:rsidRPr="684BAE8A">
        <w:rPr>
          <w:rFonts w:eastAsia="Times New Roman"/>
          <w:lang w:eastAsia="ja-JP"/>
        </w:rPr>
        <w:t xml:space="preserve">enhanced premium tax credits enacted in 2021 have increased federal funds for BHPs, </w:t>
      </w:r>
      <w:r w:rsidR="469294CC" w:rsidRPr="684BAE8A">
        <w:rPr>
          <w:rFonts w:eastAsia="Times New Roman"/>
          <w:lang w:eastAsia="ja-JP"/>
        </w:rPr>
        <w:t>but the increase may be temporary if the enhanced credits expire.</w:t>
      </w:r>
    </w:p>
    <w:p w14:paraId="585ACF0A" w14:textId="78619C28" w:rsidR="00DC2712" w:rsidRPr="00342FC6" w:rsidRDefault="00657C5D" w:rsidP="00342FC6">
      <w:pPr>
        <w:pStyle w:val="Heading4"/>
        <w:rPr>
          <w:rFonts w:eastAsia="Times New Roman"/>
          <w:lang w:eastAsia="ja-JP"/>
        </w:rPr>
      </w:pPr>
      <w:r w:rsidRPr="00342FC6">
        <w:rPr>
          <w:rFonts w:eastAsia="Times New Roman"/>
          <w:lang w:eastAsia="ja-JP"/>
        </w:rPr>
        <w:lastRenderedPageBreak/>
        <w:t>Medicaid</w:t>
      </w:r>
      <w:r w:rsidR="00F07382" w:rsidRPr="00342FC6">
        <w:rPr>
          <w:rFonts w:eastAsia="Times New Roman"/>
          <w:lang w:eastAsia="ja-JP"/>
        </w:rPr>
        <w:t xml:space="preserve"> and Marketplace r</w:t>
      </w:r>
      <w:r w:rsidRPr="00342FC6">
        <w:rPr>
          <w:rFonts w:eastAsia="Times New Roman"/>
          <w:lang w:eastAsia="ja-JP"/>
        </w:rPr>
        <w:t>ole</w:t>
      </w:r>
      <w:r w:rsidR="00F07382" w:rsidRPr="00342FC6">
        <w:rPr>
          <w:rFonts w:eastAsia="Times New Roman"/>
          <w:lang w:eastAsia="ja-JP"/>
        </w:rPr>
        <w:t>s</w:t>
      </w:r>
      <w:r w:rsidRPr="00342FC6">
        <w:rPr>
          <w:rFonts w:eastAsia="Times New Roman"/>
          <w:lang w:eastAsia="ja-JP"/>
        </w:rPr>
        <w:t xml:space="preserve"> in implementation</w:t>
      </w:r>
    </w:p>
    <w:p w14:paraId="42B3131D" w14:textId="022CD964" w:rsidR="00074910" w:rsidRDefault="00065778" w:rsidP="00342FC6">
      <w:pPr>
        <w:rPr>
          <w:rFonts w:eastAsia="Times New Roman"/>
          <w:lang w:eastAsia="ja-JP"/>
        </w:rPr>
      </w:pPr>
      <w:r>
        <w:rPr>
          <w:rFonts w:eastAsia="Times New Roman"/>
          <w:lang w:eastAsia="ja-JP"/>
        </w:rPr>
        <w:t xml:space="preserve">While the eligibility criteria for BHP enrollment </w:t>
      </w:r>
      <w:r w:rsidR="00B24823">
        <w:rPr>
          <w:rFonts w:eastAsia="Times New Roman"/>
          <w:lang w:eastAsia="ja-JP"/>
        </w:rPr>
        <w:t xml:space="preserve">mirror those of premium tax credits for Marketplace coverage, many of the potential benefits of a BHP </w:t>
      </w:r>
      <w:r w:rsidR="00CB5697">
        <w:rPr>
          <w:rFonts w:eastAsia="Times New Roman"/>
          <w:lang w:eastAsia="ja-JP"/>
        </w:rPr>
        <w:t xml:space="preserve">for consumers and states </w:t>
      </w:r>
      <w:r w:rsidR="00B24823">
        <w:rPr>
          <w:rFonts w:eastAsia="Times New Roman"/>
          <w:lang w:eastAsia="ja-JP"/>
        </w:rPr>
        <w:t xml:space="preserve">stem from </w:t>
      </w:r>
      <w:r w:rsidR="007004C7">
        <w:rPr>
          <w:rFonts w:eastAsia="Times New Roman"/>
          <w:lang w:eastAsia="ja-JP"/>
        </w:rPr>
        <w:t xml:space="preserve">the similarity of BHP coverage with Medicaid. </w:t>
      </w:r>
      <w:r w:rsidR="00054761">
        <w:rPr>
          <w:rFonts w:eastAsia="Times New Roman"/>
          <w:lang w:eastAsia="ja-JP"/>
        </w:rPr>
        <w:t>For consumers, Medicaid-like affordability</w:t>
      </w:r>
      <w:r w:rsidR="00E30F57">
        <w:rPr>
          <w:rFonts w:eastAsia="Times New Roman"/>
          <w:lang w:eastAsia="ja-JP"/>
        </w:rPr>
        <w:t xml:space="preserve"> and benefits</w:t>
      </w:r>
      <w:r w:rsidR="00831FC5">
        <w:rPr>
          <w:rFonts w:eastAsia="Times New Roman"/>
          <w:lang w:eastAsia="ja-JP"/>
        </w:rPr>
        <w:t xml:space="preserve"> </w:t>
      </w:r>
      <w:r w:rsidR="0028659F">
        <w:rPr>
          <w:rFonts w:eastAsia="Times New Roman"/>
          <w:lang w:eastAsia="ja-JP"/>
        </w:rPr>
        <w:t xml:space="preserve">can make BHP coverage more </w:t>
      </w:r>
      <w:r w:rsidR="0028029A">
        <w:rPr>
          <w:rFonts w:eastAsia="Times New Roman"/>
          <w:lang w:eastAsia="ja-JP"/>
        </w:rPr>
        <w:t>favorable</w:t>
      </w:r>
      <w:r w:rsidR="0028659F">
        <w:rPr>
          <w:rFonts w:eastAsia="Times New Roman"/>
          <w:lang w:eastAsia="ja-JP"/>
        </w:rPr>
        <w:t xml:space="preserve"> than Marketplace coverage. For states, </w:t>
      </w:r>
      <w:r w:rsidR="00E84335">
        <w:rPr>
          <w:rFonts w:eastAsia="Times New Roman"/>
          <w:lang w:eastAsia="ja-JP"/>
        </w:rPr>
        <w:t>using Medicaid as a starting point for p</w:t>
      </w:r>
      <w:r w:rsidR="007004C7">
        <w:rPr>
          <w:rFonts w:eastAsia="Times New Roman"/>
          <w:lang w:eastAsia="ja-JP"/>
        </w:rPr>
        <w:t>rovider payment rates, health plan contracting,</w:t>
      </w:r>
      <w:r w:rsidR="00E84335">
        <w:rPr>
          <w:rFonts w:eastAsia="Times New Roman"/>
          <w:lang w:eastAsia="ja-JP"/>
        </w:rPr>
        <w:t xml:space="preserve"> eligibility </w:t>
      </w:r>
      <w:r w:rsidR="00074910">
        <w:rPr>
          <w:rFonts w:eastAsia="Times New Roman"/>
          <w:lang w:eastAsia="ja-JP"/>
        </w:rPr>
        <w:t>determinations, and other program administration can offer efficiencies and cost savings in operating a BHP.</w:t>
      </w:r>
    </w:p>
    <w:p w14:paraId="5D4346C8" w14:textId="66DBFA33" w:rsidR="00C32D46" w:rsidRDefault="006040CE" w:rsidP="7EB38FF3">
      <w:pPr>
        <w:rPr>
          <w:rFonts w:eastAsia="Times New Roman"/>
          <w:lang w:val="en-US" w:eastAsia="ja-JP"/>
        </w:rPr>
      </w:pPr>
      <w:r w:rsidRPr="7EB38FF3">
        <w:rPr>
          <w:rFonts w:eastAsia="Times New Roman"/>
          <w:lang w:val="en-US" w:eastAsia="ja-JP"/>
        </w:rPr>
        <w:t>A s</w:t>
      </w:r>
      <w:r w:rsidR="0028029A" w:rsidRPr="7EB38FF3">
        <w:rPr>
          <w:rFonts w:eastAsia="Times New Roman"/>
          <w:lang w:val="en-US" w:eastAsia="ja-JP"/>
        </w:rPr>
        <w:t>tate</w:t>
      </w:r>
      <w:r w:rsidRPr="7EB38FF3">
        <w:rPr>
          <w:rFonts w:eastAsia="Times New Roman"/>
          <w:lang w:val="en-US" w:eastAsia="ja-JP"/>
        </w:rPr>
        <w:t xml:space="preserve"> </w:t>
      </w:r>
      <w:r w:rsidR="00A659FA" w:rsidRPr="7EB38FF3">
        <w:rPr>
          <w:rFonts w:eastAsia="Times New Roman"/>
          <w:lang w:val="en-US" w:eastAsia="ja-JP"/>
        </w:rPr>
        <w:t>contemplating a BHP,</w:t>
      </w:r>
      <w:r w:rsidR="0028029A" w:rsidRPr="7EB38FF3">
        <w:rPr>
          <w:rFonts w:eastAsia="Times New Roman"/>
          <w:lang w:val="en-US" w:eastAsia="ja-JP"/>
        </w:rPr>
        <w:t xml:space="preserve"> then, should consider the </w:t>
      </w:r>
      <w:r w:rsidR="00E06AF2" w:rsidRPr="7EB38FF3">
        <w:rPr>
          <w:rFonts w:eastAsia="Times New Roman"/>
          <w:lang w:val="en-US" w:eastAsia="ja-JP"/>
        </w:rPr>
        <w:t xml:space="preserve">extent to which </w:t>
      </w:r>
      <w:r w:rsidR="003E71AB" w:rsidRPr="7EB38FF3">
        <w:rPr>
          <w:rFonts w:eastAsia="Times New Roman"/>
          <w:lang w:val="en-US" w:eastAsia="ja-JP"/>
        </w:rPr>
        <w:t xml:space="preserve">it can align rules between Medicaid and the BHP </w:t>
      </w:r>
      <w:r w:rsidR="003D60F9">
        <w:rPr>
          <w:rFonts w:eastAsia="Times New Roman"/>
          <w:lang w:val="en-US" w:eastAsia="ja-JP"/>
        </w:rPr>
        <w:t>as well as the</w:t>
      </w:r>
      <w:r w:rsidR="00EE0C41">
        <w:rPr>
          <w:rFonts w:eastAsia="Times New Roman"/>
          <w:lang w:val="en-US" w:eastAsia="ja-JP"/>
        </w:rPr>
        <w:t xml:space="preserve"> resources available </w:t>
      </w:r>
      <w:r w:rsidR="007B6249">
        <w:rPr>
          <w:rFonts w:eastAsia="Times New Roman"/>
          <w:lang w:val="en-US" w:eastAsia="ja-JP"/>
        </w:rPr>
        <w:t>to the</w:t>
      </w:r>
      <w:r w:rsidR="7C11DE28" w:rsidRPr="7EB38FF3">
        <w:rPr>
          <w:rFonts w:eastAsia="Times New Roman"/>
          <w:lang w:val="en-US" w:eastAsia="ja-JP"/>
        </w:rPr>
        <w:t xml:space="preserve"> state’s Medicaid agency </w:t>
      </w:r>
      <w:r w:rsidR="00285BDF">
        <w:rPr>
          <w:rFonts w:eastAsia="Times New Roman"/>
          <w:lang w:val="en-US" w:eastAsia="ja-JP"/>
        </w:rPr>
        <w:t xml:space="preserve">(or another state agency, such as a state-based Marketplace) </w:t>
      </w:r>
      <w:r w:rsidR="7C11DE28" w:rsidRPr="7EB38FF3">
        <w:rPr>
          <w:rFonts w:eastAsia="Times New Roman"/>
          <w:lang w:val="en-US" w:eastAsia="ja-JP"/>
        </w:rPr>
        <w:t xml:space="preserve">to implement the eligibility updates required by administration of a BHP. </w:t>
      </w:r>
    </w:p>
    <w:p w14:paraId="0BCE7946" w14:textId="6474DF2B" w:rsidR="005979DD" w:rsidRPr="00C32D46" w:rsidRDefault="005979DD" w:rsidP="00342FC6">
      <w:pPr>
        <w:rPr>
          <w:rFonts w:eastAsia="Times New Roman"/>
          <w:lang w:eastAsia="ja-JP"/>
        </w:rPr>
      </w:pPr>
      <w:r>
        <w:rPr>
          <w:rFonts w:eastAsia="Times New Roman"/>
          <w:lang w:eastAsia="ja-JP"/>
        </w:rPr>
        <w:t>BHPs have the potential to</w:t>
      </w:r>
      <w:r w:rsidR="00434200">
        <w:rPr>
          <w:rFonts w:eastAsia="Times New Roman"/>
          <w:lang w:eastAsia="ja-JP"/>
        </w:rPr>
        <w:t xml:space="preserve"> ease coverage transitions for consumers whose eligibility shifts between Medicaid, BHP, and Marketplace</w:t>
      </w:r>
      <w:r w:rsidR="003D6FB2">
        <w:rPr>
          <w:rFonts w:eastAsia="Times New Roman"/>
          <w:lang w:eastAsia="ja-JP"/>
        </w:rPr>
        <w:t xml:space="preserve"> coverage</w:t>
      </w:r>
      <w:r w:rsidR="00F83132">
        <w:rPr>
          <w:rFonts w:eastAsia="Times New Roman"/>
          <w:lang w:eastAsia="ja-JP"/>
        </w:rPr>
        <w:t xml:space="preserve">. </w:t>
      </w:r>
      <w:r w:rsidR="005B1309">
        <w:rPr>
          <w:rFonts w:eastAsia="Times New Roman"/>
          <w:lang w:eastAsia="ja-JP"/>
        </w:rPr>
        <w:t xml:space="preserve">This </w:t>
      </w:r>
      <w:r w:rsidR="00EA6734">
        <w:rPr>
          <w:rFonts w:eastAsia="Times New Roman"/>
          <w:lang w:eastAsia="ja-JP"/>
        </w:rPr>
        <w:t xml:space="preserve">may be most likely to be achieved in a state with a state-based Marketplace, so </w:t>
      </w:r>
      <w:r w:rsidR="005B1309">
        <w:rPr>
          <w:rFonts w:eastAsia="Times New Roman"/>
          <w:lang w:eastAsia="ja-JP"/>
        </w:rPr>
        <w:t xml:space="preserve">Medicaid, BHP, and Marketplace systems can </w:t>
      </w:r>
      <w:r w:rsidR="006149BA">
        <w:rPr>
          <w:rFonts w:eastAsia="Times New Roman"/>
          <w:lang w:eastAsia="ja-JP"/>
        </w:rPr>
        <w:t xml:space="preserve">more easily </w:t>
      </w:r>
      <w:r w:rsidR="005B1309">
        <w:rPr>
          <w:rFonts w:eastAsia="Times New Roman"/>
          <w:lang w:eastAsia="ja-JP"/>
        </w:rPr>
        <w:t>coordinate with each other</w:t>
      </w:r>
      <w:r w:rsidR="00495996">
        <w:rPr>
          <w:rFonts w:eastAsia="Times New Roman"/>
          <w:lang w:eastAsia="ja-JP"/>
        </w:rPr>
        <w:t xml:space="preserve">. Nonetheless, </w:t>
      </w:r>
      <w:r w:rsidR="00FE6132">
        <w:rPr>
          <w:rFonts w:eastAsia="Times New Roman"/>
          <w:lang w:eastAsia="ja-JP"/>
        </w:rPr>
        <w:t>Oregon has implemented</w:t>
      </w:r>
      <w:r w:rsidR="006149BA">
        <w:rPr>
          <w:rFonts w:eastAsia="Times New Roman"/>
          <w:lang w:eastAsia="ja-JP"/>
        </w:rPr>
        <w:t xml:space="preserve"> a BHP while using the federal platform for Marketplace eligibility. </w:t>
      </w:r>
      <w:r w:rsidR="00FE6132">
        <w:rPr>
          <w:rFonts w:eastAsia="Times New Roman"/>
          <w:lang w:eastAsia="ja-JP"/>
        </w:rPr>
        <w:t xml:space="preserve"> </w:t>
      </w:r>
      <w:r w:rsidR="005B1309">
        <w:rPr>
          <w:rFonts w:eastAsia="Times New Roman"/>
          <w:lang w:eastAsia="ja-JP"/>
        </w:rPr>
        <w:t xml:space="preserve"> </w:t>
      </w:r>
    </w:p>
    <w:p w14:paraId="40B2F162" w14:textId="668A07D1" w:rsidR="00657C5D" w:rsidRPr="00342FC6" w:rsidRDefault="00657C5D" w:rsidP="00342FC6">
      <w:pPr>
        <w:pStyle w:val="Heading4"/>
        <w:rPr>
          <w:rFonts w:eastAsia="Times New Roman"/>
          <w:lang w:eastAsia="ja-JP"/>
        </w:rPr>
      </w:pPr>
      <w:r w:rsidRPr="00342FC6">
        <w:rPr>
          <w:rFonts w:eastAsia="Times New Roman"/>
          <w:lang w:eastAsia="ja-JP"/>
        </w:rPr>
        <w:t>Individual market effects</w:t>
      </w:r>
    </w:p>
    <w:p w14:paraId="266EEFDB" w14:textId="5CC02CBF" w:rsidR="00DB794C" w:rsidRDefault="00A733BD" w:rsidP="00342FC6">
      <w:pPr>
        <w:rPr>
          <w:rFonts w:eastAsia="Times New Roman"/>
          <w:lang w:eastAsia="ja-JP"/>
        </w:rPr>
      </w:pPr>
      <w:r>
        <w:rPr>
          <w:rFonts w:eastAsia="Times New Roman"/>
          <w:lang w:eastAsia="ja-JP"/>
        </w:rPr>
        <w:t>States</w:t>
      </w:r>
      <w:r w:rsidR="00447B63">
        <w:rPr>
          <w:rFonts w:eastAsia="Times New Roman"/>
          <w:lang w:eastAsia="ja-JP"/>
        </w:rPr>
        <w:t>, especially state insurance regulators, should consider the effects of a BHP on</w:t>
      </w:r>
      <w:r w:rsidR="00D64A5E">
        <w:rPr>
          <w:rFonts w:eastAsia="Times New Roman"/>
          <w:lang w:eastAsia="ja-JP"/>
        </w:rPr>
        <w:t xml:space="preserve"> </w:t>
      </w:r>
      <w:r w:rsidR="00203E3B">
        <w:rPr>
          <w:rFonts w:eastAsia="Times New Roman"/>
          <w:lang w:eastAsia="ja-JP"/>
        </w:rPr>
        <w:t>a</w:t>
      </w:r>
      <w:r w:rsidR="00D64A5E">
        <w:rPr>
          <w:rFonts w:eastAsia="Times New Roman"/>
          <w:lang w:eastAsia="ja-JP"/>
        </w:rPr>
        <w:t xml:space="preserve"> state’s market for individual coverage.</w:t>
      </w:r>
      <w:r w:rsidR="00871E2B">
        <w:rPr>
          <w:rFonts w:eastAsia="Times New Roman"/>
          <w:lang w:eastAsia="ja-JP"/>
        </w:rPr>
        <w:t xml:space="preserve"> BHPs serve individual</w:t>
      </w:r>
      <w:r w:rsidR="00027A93">
        <w:rPr>
          <w:rFonts w:eastAsia="Times New Roman"/>
          <w:lang w:eastAsia="ja-JP"/>
        </w:rPr>
        <w:t>s</w:t>
      </w:r>
      <w:r w:rsidR="00871E2B">
        <w:rPr>
          <w:rFonts w:eastAsia="Times New Roman"/>
          <w:lang w:eastAsia="ja-JP"/>
        </w:rPr>
        <w:t xml:space="preserve"> who would otherwise be eligible for </w:t>
      </w:r>
      <w:r w:rsidR="009342BD">
        <w:rPr>
          <w:rFonts w:eastAsia="Times New Roman"/>
          <w:lang w:eastAsia="ja-JP"/>
        </w:rPr>
        <w:t xml:space="preserve">Marketplace coverage and for </w:t>
      </w:r>
      <w:r w:rsidR="009A16A3">
        <w:rPr>
          <w:rFonts w:eastAsia="Times New Roman"/>
          <w:lang w:eastAsia="ja-JP"/>
        </w:rPr>
        <w:t>cost-sharing reduction plan variations since their incomes are between 138% and 200% of the federal poverty level.</w:t>
      </w:r>
      <w:r w:rsidR="00CE5AFB">
        <w:rPr>
          <w:rFonts w:eastAsia="Times New Roman"/>
          <w:lang w:eastAsia="ja-JP"/>
        </w:rPr>
        <w:t xml:space="preserve"> Covering this population in a BHP removes them from the individual market risk pool</w:t>
      </w:r>
      <w:r w:rsidR="00DB794C">
        <w:rPr>
          <w:rFonts w:eastAsia="Times New Roman"/>
          <w:lang w:eastAsia="ja-JP"/>
        </w:rPr>
        <w:t xml:space="preserve"> and can affect costs and market stability for the remaining risk pool.</w:t>
      </w:r>
    </w:p>
    <w:p w14:paraId="528DC4FC" w14:textId="2AC83C92" w:rsidR="00C3161B" w:rsidRDefault="0094059F" w:rsidP="00342FC6">
      <w:pPr>
        <w:rPr>
          <w:rFonts w:eastAsia="Times New Roman"/>
          <w:lang w:eastAsia="ja-JP"/>
        </w:rPr>
      </w:pPr>
      <w:r>
        <w:rPr>
          <w:rFonts w:eastAsia="Times New Roman"/>
          <w:lang w:eastAsia="ja-JP"/>
        </w:rPr>
        <w:t xml:space="preserve">One way </w:t>
      </w:r>
      <w:r w:rsidR="00B1673B">
        <w:rPr>
          <w:rFonts w:eastAsia="Times New Roman"/>
          <w:lang w:eastAsia="ja-JP"/>
        </w:rPr>
        <w:t xml:space="preserve">a BHP alters a state individual market </w:t>
      </w:r>
      <w:r w:rsidR="00991E20">
        <w:rPr>
          <w:rFonts w:eastAsia="Times New Roman"/>
          <w:lang w:eastAsia="ja-JP"/>
        </w:rPr>
        <w:t xml:space="preserve">is through muting the effects of silver loading. </w:t>
      </w:r>
      <w:r w:rsidR="00D37663">
        <w:rPr>
          <w:rFonts w:eastAsia="Times New Roman"/>
          <w:lang w:eastAsia="ja-JP"/>
        </w:rPr>
        <w:t xml:space="preserve">Through silver loading, insurers add </w:t>
      </w:r>
      <w:r w:rsidR="00813EA9">
        <w:rPr>
          <w:rFonts w:eastAsia="Times New Roman"/>
          <w:lang w:eastAsia="ja-JP"/>
        </w:rPr>
        <w:t xml:space="preserve">to silver plan premiums </w:t>
      </w:r>
      <w:r w:rsidR="00D37663">
        <w:rPr>
          <w:rFonts w:eastAsia="Times New Roman"/>
          <w:lang w:eastAsia="ja-JP"/>
        </w:rPr>
        <w:t xml:space="preserve">the cost of providing enhanced actuarial value plans </w:t>
      </w:r>
      <w:r w:rsidR="00813EA9">
        <w:rPr>
          <w:rFonts w:eastAsia="Times New Roman"/>
          <w:lang w:eastAsia="ja-JP"/>
        </w:rPr>
        <w:t xml:space="preserve">to lower-income consumers. The higher silver plan premiums raise premium tax credits, </w:t>
      </w:r>
      <w:r w:rsidR="000D074F">
        <w:rPr>
          <w:rFonts w:eastAsia="Times New Roman"/>
          <w:lang w:eastAsia="ja-JP"/>
        </w:rPr>
        <w:t>making bronze and gold plans more affordable for subsidized consumers</w:t>
      </w:r>
      <w:r w:rsidR="000F4DED">
        <w:rPr>
          <w:rFonts w:eastAsia="Times New Roman"/>
          <w:lang w:eastAsia="ja-JP"/>
        </w:rPr>
        <w:t xml:space="preserve"> (</w:t>
      </w:r>
      <w:r w:rsidR="0045000D">
        <w:rPr>
          <w:rFonts w:eastAsia="Times New Roman"/>
          <w:lang w:eastAsia="ja-JP"/>
        </w:rPr>
        <w:t xml:space="preserve">subsidized </w:t>
      </w:r>
      <w:r w:rsidR="00BD136A">
        <w:rPr>
          <w:rFonts w:eastAsia="Times New Roman"/>
          <w:lang w:eastAsia="ja-JP"/>
        </w:rPr>
        <w:t>consumer</w:t>
      </w:r>
      <w:r w:rsidR="0045000D">
        <w:rPr>
          <w:rFonts w:eastAsia="Times New Roman"/>
          <w:lang w:eastAsia="ja-JP"/>
        </w:rPr>
        <w:t xml:space="preserve">s’ costs for </w:t>
      </w:r>
      <w:r w:rsidR="000F4DED">
        <w:rPr>
          <w:rFonts w:eastAsia="Times New Roman"/>
          <w:lang w:eastAsia="ja-JP"/>
        </w:rPr>
        <w:t>silver plans</w:t>
      </w:r>
      <w:r w:rsidR="00A82BBC">
        <w:rPr>
          <w:rFonts w:eastAsia="Times New Roman"/>
          <w:lang w:eastAsia="ja-JP"/>
        </w:rPr>
        <w:t xml:space="preserve"> are unchanged since PTCs rise with their premiums)</w:t>
      </w:r>
      <w:r w:rsidR="000D074F">
        <w:rPr>
          <w:rFonts w:eastAsia="Times New Roman"/>
          <w:lang w:eastAsia="ja-JP"/>
        </w:rPr>
        <w:t>.</w:t>
      </w:r>
      <w:r w:rsidR="00D56EF0">
        <w:rPr>
          <w:rFonts w:eastAsia="Times New Roman"/>
          <w:lang w:eastAsia="ja-JP"/>
        </w:rPr>
        <w:t xml:space="preserve"> With a BHP, </w:t>
      </w:r>
      <w:r w:rsidR="004B0FC5">
        <w:rPr>
          <w:rFonts w:eastAsia="Times New Roman"/>
          <w:lang w:eastAsia="ja-JP"/>
        </w:rPr>
        <w:t xml:space="preserve">Marketplace plans don’t cover individuals with income below 200% of the FPL, </w:t>
      </w:r>
      <w:r w:rsidR="00AF5868">
        <w:rPr>
          <w:rFonts w:eastAsia="Times New Roman"/>
          <w:lang w:eastAsia="ja-JP"/>
        </w:rPr>
        <w:t xml:space="preserve">the enrollees </w:t>
      </w:r>
      <w:r w:rsidR="00FA7A08">
        <w:rPr>
          <w:rFonts w:eastAsia="Times New Roman"/>
          <w:lang w:eastAsia="ja-JP"/>
        </w:rPr>
        <w:t>e</w:t>
      </w:r>
      <w:r w:rsidR="004648DE">
        <w:rPr>
          <w:rFonts w:eastAsia="Times New Roman"/>
          <w:lang w:eastAsia="ja-JP"/>
        </w:rPr>
        <w:t xml:space="preserve">ligible </w:t>
      </w:r>
      <w:r w:rsidR="00AF5868">
        <w:rPr>
          <w:rFonts w:eastAsia="Times New Roman"/>
          <w:lang w:eastAsia="ja-JP"/>
        </w:rPr>
        <w:t xml:space="preserve">for </w:t>
      </w:r>
      <w:r w:rsidR="004648DE">
        <w:rPr>
          <w:rFonts w:eastAsia="Times New Roman"/>
          <w:lang w:eastAsia="ja-JP"/>
        </w:rPr>
        <w:t xml:space="preserve">silver plan variations with </w:t>
      </w:r>
      <w:r>
        <w:rPr>
          <w:rFonts w:eastAsia="Times New Roman"/>
          <w:lang w:eastAsia="ja-JP"/>
        </w:rPr>
        <w:t>87% or 94% actuarial value.</w:t>
      </w:r>
      <w:r w:rsidR="00FA7A08">
        <w:rPr>
          <w:rFonts w:eastAsia="Times New Roman"/>
          <w:lang w:eastAsia="ja-JP"/>
        </w:rPr>
        <w:t xml:space="preserve"> </w:t>
      </w:r>
      <w:r w:rsidR="00FE0AD0">
        <w:rPr>
          <w:rFonts w:eastAsia="Times New Roman"/>
          <w:lang w:eastAsia="ja-JP"/>
        </w:rPr>
        <w:t xml:space="preserve">The silver load in </w:t>
      </w:r>
      <w:r w:rsidR="00AF5868">
        <w:rPr>
          <w:rFonts w:eastAsia="Times New Roman"/>
          <w:lang w:eastAsia="ja-JP"/>
        </w:rPr>
        <w:t>BHP</w:t>
      </w:r>
      <w:r w:rsidR="00FE0AD0">
        <w:rPr>
          <w:rFonts w:eastAsia="Times New Roman"/>
          <w:lang w:eastAsia="ja-JP"/>
        </w:rPr>
        <w:t xml:space="preserve"> states only needs to account for the 73% actuarial value plans available for consumers with income between 201% and 250% of the FPL.</w:t>
      </w:r>
      <w:r w:rsidR="00AF5868">
        <w:rPr>
          <w:rFonts w:eastAsia="Times New Roman"/>
          <w:lang w:eastAsia="ja-JP"/>
        </w:rPr>
        <w:t xml:space="preserve"> </w:t>
      </w:r>
      <w:r w:rsidR="00896174">
        <w:rPr>
          <w:rFonts w:eastAsia="Times New Roman"/>
          <w:lang w:eastAsia="ja-JP"/>
        </w:rPr>
        <w:t xml:space="preserve">This minimal silver load </w:t>
      </w:r>
      <w:r w:rsidR="007630EC">
        <w:rPr>
          <w:rFonts w:eastAsia="Times New Roman"/>
          <w:lang w:eastAsia="ja-JP"/>
        </w:rPr>
        <w:t xml:space="preserve">reduces the affordability boost for bronze and gold plans that would be available in the absence of a BHP. </w:t>
      </w:r>
      <w:r w:rsidR="005375BA">
        <w:rPr>
          <w:rFonts w:eastAsia="Times New Roman"/>
          <w:lang w:eastAsia="ja-JP"/>
        </w:rPr>
        <w:t xml:space="preserve">So the BHP reduces affordability for some higher-income Marketplace enrollees </w:t>
      </w:r>
      <w:r w:rsidR="00BF2FBC">
        <w:rPr>
          <w:rFonts w:eastAsia="Times New Roman"/>
          <w:lang w:eastAsia="ja-JP"/>
        </w:rPr>
        <w:t>at the same time it provides more generous coverage for those enrolled in the BHP.</w:t>
      </w:r>
      <w:r w:rsidR="00FE0AD0">
        <w:rPr>
          <w:rFonts w:eastAsia="Times New Roman"/>
          <w:lang w:eastAsia="ja-JP"/>
        </w:rPr>
        <w:t xml:space="preserve"> </w:t>
      </w:r>
      <w:r w:rsidR="00414116">
        <w:rPr>
          <w:rFonts w:eastAsia="Times New Roman"/>
          <w:lang w:eastAsia="ja-JP"/>
        </w:rPr>
        <w:t xml:space="preserve">The size of this effect </w:t>
      </w:r>
      <w:r w:rsidR="00E016A4">
        <w:rPr>
          <w:rFonts w:eastAsia="Times New Roman"/>
          <w:lang w:eastAsia="ja-JP"/>
        </w:rPr>
        <w:t xml:space="preserve">varies with state circumstances, so states should </w:t>
      </w:r>
      <w:r w:rsidR="00E016A4">
        <w:rPr>
          <w:rFonts w:eastAsia="Times New Roman"/>
          <w:lang w:eastAsia="ja-JP"/>
        </w:rPr>
        <w:lastRenderedPageBreak/>
        <w:t xml:space="preserve">evaluate the </w:t>
      </w:r>
      <w:r w:rsidR="00DF6728">
        <w:rPr>
          <w:rFonts w:eastAsia="Times New Roman"/>
          <w:lang w:eastAsia="ja-JP"/>
        </w:rPr>
        <w:t xml:space="preserve">impacts and weigh </w:t>
      </w:r>
      <w:r w:rsidR="008356D7">
        <w:rPr>
          <w:rFonts w:eastAsia="Times New Roman"/>
          <w:lang w:eastAsia="ja-JP"/>
        </w:rPr>
        <w:t xml:space="preserve">how </w:t>
      </w:r>
      <w:r w:rsidR="00DF6728">
        <w:rPr>
          <w:rFonts w:eastAsia="Times New Roman"/>
          <w:lang w:eastAsia="ja-JP"/>
        </w:rPr>
        <w:t xml:space="preserve">the </w:t>
      </w:r>
      <w:r w:rsidR="008356D7">
        <w:rPr>
          <w:rFonts w:eastAsia="Times New Roman"/>
          <w:lang w:eastAsia="ja-JP"/>
        </w:rPr>
        <w:t xml:space="preserve">coverage and affordability </w:t>
      </w:r>
      <w:r w:rsidR="00DF6728">
        <w:rPr>
          <w:rFonts w:eastAsia="Times New Roman"/>
          <w:lang w:eastAsia="ja-JP"/>
        </w:rPr>
        <w:t xml:space="preserve">benefits for lower-income </w:t>
      </w:r>
      <w:r w:rsidR="008356D7">
        <w:rPr>
          <w:rFonts w:eastAsia="Times New Roman"/>
          <w:lang w:eastAsia="ja-JP"/>
        </w:rPr>
        <w:t xml:space="preserve">consumers compare to </w:t>
      </w:r>
      <w:r w:rsidR="00C3161B">
        <w:rPr>
          <w:rFonts w:eastAsia="Times New Roman"/>
          <w:lang w:eastAsia="ja-JP"/>
        </w:rPr>
        <w:t>added costs for those with greater incomes.</w:t>
      </w:r>
    </w:p>
    <w:p w14:paraId="638B802A" w14:textId="0E097241" w:rsidR="004720FC" w:rsidRPr="004720FC" w:rsidRDefault="00147605" w:rsidP="00342FC6">
      <w:pPr>
        <w:rPr>
          <w:rFonts w:eastAsia="Times New Roman"/>
          <w:lang w:eastAsia="ja-JP"/>
        </w:rPr>
      </w:pPr>
      <w:r w:rsidRPr="6853FBC6">
        <w:rPr>
          <w:rFonts w:eastAsia="Times New Roman"/>
          <w:lang w:eastAsia="ja-JP"/>
        </w:rPr>
        <w:t xml:space="preserve">Covering consumers with income </w:t>
      </w:r>
      <w:r w:rsidR="0071198A" w:rsidRPr="6853FBC6">
        <w:rPr>
          <w:rFonts w:eastAsia="Times New Roman"/>
          <w:lang w:eastAsia="ja-JP"/>
        </w:rPr>
        <w:t xml:space="preserve">below 200% of FPL in a BHP also reduces the </w:t>
      </w:r>
      <w:r w:rsidR="00F81CE8" w:rsidRPr="6853FBC6">
        <w:rPr>
          <w:rFonts w:eastAsia="Times New Roman"/>
          <w:lang w:eastAsia="ja-JP"/>
        </w:rPr>
        <w:t xml:space="preserve">size of the individual market. </w:t>
      </w:r>
      <w:r w:rsidR="0056487D" w:rsidRPr="6853FBC6">
        <w:rPr>
          <w:rFonts w:eastAsia="Times New Roman"/>
          <w:lang w:eastAsia="ja-JP"/>
        </w:rPr>
        <w:t xml:space="preserve">And if those </w:t>
      </w:r>
      <w:r w:rsidR="00F51830" w:rsidRPr="6853FBC6">
        <w:rPr>
          <w:rFonts w:eastAsia="Times New Roman"/>
          <w:lang w:eastAsia="ja-JP"/>
        </w:rPr>
        <w:t xml:space="preserve">who become eligible for a BHP are significantly more or less in need of health care services than </w:t>
      </w:r>
      <w:r w:rsidR="006E4A91" w:rsidRPr="6853FBC6">
        <w:rPr>
          <w:rFonts w:eastAsia="Times New Roman"/>
          <w:lang w:eastAsia="ja-JP"/>
        </w:rPr>
        <w:t xml:space="preserve">others in the individual market, </w:t>
      </w:r>
      <w:r w:rsidR="00370AEB" w:rsidRPr="6853FBC6">
        <w:rPr>
          <w:rFonts w:eastAsia="Times New Roman"/>
          <w:lang w:eastAsia="ja-JP"/>
        </w:rPr>
        <w:t xml:space="preserve">the individual risk pool could see </w:t>
      </w:r>
      <w:r w:rsidR="00713335" w:rsidRPr="6853FBC6">
        <w:rPr>
          <w:rFonts w:eastAsia="Times New Roman"/>
          <w:lang w:eastAsia="ja-JP"/>
        </w:rPr>
        <w:t>improvement or deterioration.</w:t>
      </w:r>
      <w:r w:rsidR="007B02C1" w:rsidRPr="6853FBC6">
        <w:rPr>
          <w:rFonts w:eastAsia="Times New Roman"/>
          <w:lang w:eastAsia="ja-JP"/>
        </w:rPr>
        <w:t xml:space="preserve"> </w:t>
      </w:r>
      <w:r w:rsidR="007B1A39" w:rsidRPr="6853FBC6">
        <w:rPr>
          <w:rFonts w:eastAsia="Times New Roman"/>
          <w:lang w:eastAsia="ja-JP"/>
        </w:rPr>
        <w:t>A less healthy risk pool could raise premiums</w:t>
      </w:r>
      <w:r w:rsidR="004930C5" w:rsidRPr="6853FBC6">
        <w:rPr>
          <w:rFonts w:eastAsia="Times New Roman"/>
          <w:lang w:eastAsia="ja-JP"/>
        </w:rPr>
        <w:t xml:space="preserve"> for unsubsidized consumers, particularly for those over 400% of FPL who may lose </w:t>
      </w:r>
      <w:r w:rsidR="0096473C" w:rsidRPr="6853FBC6">
        <w:rPr>
          <w:rFonts w:eastAsia="Times New Roman"/>
          <w:lang w:eastAsia="ja-JP"/>
        </w:rPr>
        <w:t xml:space="preserve">subsidies with the expiration of enhanced PTCs. </w:t>
      </w:r>
      <w:r w:rsidR="007B02C1" w:rsidRPr="6853FBC6">
        <w:rPr>
          <w:rFonts w:eastAsia="Times New Roman"/>
          <w:lang w:eastAsia="ja-JP"/>
        </w:rPr>
        <w:t>Changes in the size and health status of the risk pool could</w:t>
      </w:r>
      <w:r w:rsidR="0096473C" w:rsidRPr="6853FBC6">
        <w:rPr>
          <w:rFonts w:eastAsia="Times New Roman"/>
          <w:lang w:eastAsia="ja-JP"/>
        </w:rPr>
        <w:t xml:space="preserve"> also</w:t>
      </w:r>
      <w:r w:rsidR="007B02C1" w:rsidRPr="6853FBC6">
        <w:rPr>
          <w:rFonts w:eastAsia="Times New Roman"/>
          <w:lang w:eastAsia="ja-JP"/>
        </w:rPr>
        <w:t xml:space="preserve"> lead insurers to </w:t>
      </w:r>
      <w:r w:rsidR="007065C3" w:rsidRPr="6853FBC6">
        <w:rPr>
          <w:rFonts w:eastAsia="Times New Roman"/>
          <w:lang w:eastAsia="ja-JP"/>
        </w:rPr>
        <w:t>reconsider their participation if the market is too small or too risky for their business goals.</w:t>
      </w:r>
      <w:r w:rsidR="008356D7" w:rsidRPr="6853FBC6">
        <w:rPr>
          <w:rFonts w:eastAsia="Times New Roman"/>
          <w:lang w:eastAsia="ja-JP"/>
        </w:rPr>
        <w:t xml:space="preserve"> </w:t>
      </w:r>
      <w:r w:rsidR="00E016A4" w:rsidRPr="6853FBC6">
        <w:rPr>
          <w:rFonts w:eastAsia="Times New Roman"/>
          <w:lang w:eastAsia="ja-JP"/>
        </w:rPr>
        <w:t xml:space="preserve"> </w:t>
      </w:r>
      <w:r w:rsidR="009A16A3" w:rsidRPr="6853FBC6">
        <w:rPr>
          <w:rFonts w:eastAsia="Times New Roman"/>
          <w:lang w:eastAsia="ja-JP"/>
        </w:rPr>
        <w:t xml:space="preserve"> </w:t>
      </w:r>
      <w:r w:rsidR="00447B63" w:rsidRPr="6853FBC6">
        <w:rPr>
          <w:rFonts w:eastAsia="Times New Roman"/>
          <w:lang w:eastAsia="ja-JP"/>
        </w:rPr>
        <w:t xml:space="preserve"> </w:t>
      </w:r>
    </w:p>
    <w:p w14:paraId="0FAE66CC" w14:textId="22946211" w:rsidR="635B140C" w:rsidRDefault="635B140C" w:rsidP="635B140C">
      <w:pPr>
        <w:spacing w:after="200" w:line="276" w:lineRule="auto"/>
        <w:outlineLvl w:val="2"/>
        <w:rPr>
          <w:rFonts w:ascii="Cambria" w:eastAsia="Times New Roman" w:hAnsi="Cambria" w:cs="Times New Roman"/>
          <w:sz w:val="22"/>
          <w:szCs w:val="22"/>
          <w:lang w:eastAsia="ja-JP"/>
        </w:rPr>
      </w:pPr>
    </w:p>
    <w:p w14:paraId="41A46170" w14:textId="771862E9" w:rsidR="00657C5D" w:rsidRPr="00342FC6" w:rsidRDefault="00657C5D" w:rsidP="00342FC6">
      <w:pPr>
        <w:pStyle w:val="Heading1"/>
        <w:rPr>
          <w:rFonts w:eastAsia="Times New Roman"/>
          <w:lang w:eastAsia="ja-JP"/>
        </w:rPr>
      </w:pPr>
      <w:bookmarkStart w:id="12" w:name="_Toc216861703"/>
      <w:r w:rsidRPr="00657C5D">
        <w:rPr>
          <w:rFonts w:eastAsia="Times New Roman"/>
          <w:lang w:eastAsia="ja-JP"/>
        </w:rPr>
        <w:t>Section 1332 State Innovations Waivers</w:t>
      </w:r>
      <w:bookmarkEnd w:id="12"/>
    </w:p>
    <w:p w14:paraId="03A3EDFC" w14:textId="77777777" w:rsidR="00DC2712" w:rsidRPr="00342FC6" w:rsidRDefault="00657C5D" w:rsidP="00342FC6">
      <w:pPr>
        <w:pStyle w:val="Heading2"/>
        <w:rPr>
          <w:rFonts w:eastAsia="Times New Roman"/>
          <w:lang w:eastAsia="ja-JP"/>
        </w:rPr>
      </w:pPr>
      <w:bookmarkStart w:id="13" w:name="_Toc216861704"/>
      <w:r w:rsidRPr="00342FC6">
        <w:rPr>
          <w:rFonts w:eastAsia="Times New Roman"/>
          <w:lang w:eastAsia="ja-JP"/>
        </w:rPr>
        <w:t>Summary of statute, regulations, and guidance</w:t>
      </w:r>
      <w:bookmarkEnd w:id="13"/>
    </w:p>
    <w:p w14:paraId="40ACA67F" w14:textId="43FCA03E" w:rsidR="05194360" w:rsidRDefault="05194360" w:rsidP="00342FC6">
      <w:pPr>
        <w:rPr>
          <w:rFonts w:eastAsia="Cambria"/>
          <w:color w:val="0563C1"/>
          <w:u w:val="single"/>
          <w:vertAlign w:val="superscript"/>
        </w:rPr>
      </w:pPr>
      <w:r w:rsidRPr="6853FBC6">
        <w:rPr>
          <w:rFonts w:eastAsia="Cambria"/>
        </w:rPr>
        <w:t xml:space="preserve">Section 1332 of the Affordable Care Act (ACA) </w:t>
      </w:r>
      <w:r w:rsidR="09D1D085" w:rsidRPr="6853FBC6">
        <w:rPr>
          <w:rFonts w:eastAsia="Cambria"/>
        </w:rPr>
        <w:t>allows states</w:t>
      </w:r>
      <w:r w:rsidRPr="6853FBC6">
        <w:rPr>
          <w:rFonts w:eastAsia="Cambria"/>
        </w:rPr>
        <w:t xml:space="preserve"> the flexibility to pursue innovative approaches to high-quality health care coverage by waiving certain requirements of the ACA. These waivers, referred to as State Innovation waivers, allow states to adapt coverage options to meet the needs of their states while still retaining the ACA’s basic consumer protections. Section 1332 of the ACA provides that “State legislation” must grant the authority to implement the law.</w:t>
      </w:r>
      <w:r w:rsidRPr="6853FBC6">
        <w:rPr>
          <w:rStyle w:val="FootnoteReference"/>
          <w:rFonts w:ascii="Cambria" w:eastAsia="Cambria" w:hAnsi="Cambria" w:cs="Cambria"/>
          <w:color w:val="0563C1"/>
          <w:sz w:val="22"/>
          <w:szCs w:val="22"/>
          <w:u w:val="single"/>
        </w:rPr>
        <w:footnoteReference w:id="10"/>
      </w:r>
    </w:p>
    <w:p w14:paraId="75923A07" w14:textId="619CD2E3" w:rsidR="05194360" w:rsidRDefault="6168DE8C" w:rsidP="00342FC6">
      <w:pPr>
        <w:rPr>
          <w:rFonts w:eastAsia="Cambria"/>
        </w:rPr>
      </w:pPr>
      <w:r w:rsidRPr="684BAE8A">
        <w:rPr>
          <w:rFonts w:eastAsia="Cambria"/>
        </w:rPr>
        <w:t xml:space="preserve">Only certain provisions of the ACA are deemed waivable.  They include: </w:t>
      </w:r>
    </w:p>
    <w:p w14:paraId="718C31FC" w14:textId="7E47177E" w:rsidR="00342FC6" w:rsidRPr="00342FC6" w:rsidRDefault="5DEBDC6C" w:rsidP="009C2CBA">
      <w:pPr>
        <w:pStyle w:val="ListParagraph"/>
        <w:numPr>
          <w:ilvl w:val="0"/>
          <w:numId w:val="27"/>
        </w:numPr>
        <w:rPr>
          <w:rFonts w:eastAsia="Cambria"/>
        </w:rPr>
      </w:pPr>
      <w:r w:rsidRPr="00342FC6">
        <w:rPr>
          <w:rFonts w:eastAsia="Cambria"/>
        </w:rPr>
        <w:t>R</w:t>
      </w:r>
      <w:r w:rsidR="6168DE8C" w:rsidRPr="00342FC6">
        <w:rPr>
          <w:rFonts w:eastAsia="Cambria"/>
        </w:rPr>
        <w:t>equirements for QHPs, including essential health benefits</w:t>
      </w:r>
      <w:r w:rsidR="31A29866" w:rsidRPr="00342FC6">
        <w:rPr>
          <w:rFonts w:eastAsia="Cambria"/>
        </w:rPr>
        <w:t xml:space="preserve"> (42 U.S.C. </w:t>
      </w:r>
      <w:r w:rsidR="31A29866" w:rsidRPr="00342FC6">
        <w:rPr>
          <w:rFonts w:eastAsia="Cambria"/>
          <w:color w:val="1F1F1F"/>
        </w:rPr>
        <w:t xml:space="preserve">§§ 18021 – 18024) </w:t>
      </w:r>
    </w:p>
    <w:p w14:paraId="3FA876BF" w14:textId="5F1E33DB" w:rsidR="00342FC6" w:rsidRPr="00342FC6" w:rsidRDefault="1A7BE816" w:rsidP="009C2CBA">
      <w:pPr>
        <w:pStyle w:val="ListParagraph"/>
        <w:numPr>
          <w:ilvl w:val="0"/>
          <w:numId w:val="27"/>
        </w:numPr>
        <w:rPr>
          <w:rFonts w:eastAsia="Cambria"/>
        </w:rPr>
      </w:pPr>
      <w:r w:rsidRPr="00342FC6">
        <w:rPr>
          <w:rFonts w:eastAsia="Cambria"/>
        </w:rPr>
        <w:t>P</w:t>
      </w:r>
      <w:r w:rsidR="6168DE8C" w:rsidRPr="00342FC6">
        <w:rPr>
          <w:rFonts w:eastAsia="Cambria"/>
        </w:rPr>
        <w:t xml:space="preserve">rovisions relating to Exchanges, </w:t>
      </w:r>
      <w:r w:rsidR="2D0141AB" w:rsidRPr="00342FC6">
        <w:rPr>
          <w:rFonts w:eastAsia="Cambria"/>
        </w:rPr>
        <w:t xml:space="preserve">including </w:t>
      </w:r>
      <w:r w:rsidR="6168DE8C" w:rsidRPr="00342FC6">
        <w:rPr>
          <w:rFonts w:eastAsia="Cambria"/>
        </w:rPr>
        <w:t xml:space="preserve">requirements for plans such as quality and network adequacy, enrollment periods, navigators, and </w:t>
      </w:r>
      <w:r w:rsidR="6F1AC81B" w:rsidRPr="00342FC6">
        <w:rPr>
          <w:rFonts w:eastAsia="Cambria"/>
        </w:rPr>
        <w:t>establishing a single risk pool for markets</w:t>
      </w:r>
      <w:r w:rsidR="31092B22" w:rsidRPr="00342FC6">
        <w:rPr>
          <w:rFonts w:eastAsia="Cambria"/>
        </w:rPr>
        <w:t xml:space="preserve"> (42 U.S.C. </w:t>
      </w:r>
      <w:r w:rsidR="31092B22" w:rsidRPr="00342FC6">
        <w:rPr>
          <w:rFonts w:eastAsia="Cambria"/>
          <w:color w:val="1F1F1F"/>
        </w:rPr>
        <w:t xml:space="preserve">§§ 18031-18033) </w:t>
      </w:r>
    </w:p>
    <w:p w14:paraId="71F68A4C" w14:textId="5E53A004" w:rsidR="00342FC6" w:rsidRDefault="6168DE8C" w:rsidP="009C2CBA">
      <w:pPr>
        <w:pStyle w:val="ListParagraph"/>
        <w:numPr>
          <w:ilvl w:val="0"/>
          <w:numId w:val="27"/>
        </w:numPr>
        <w:rPr>
          <w:rFonts w:eastAsia="Cambria"/>
        </w:rPr>
      </w:pPr>
      <w:r w:rsidRPr="00342FC6">
        <w:rPr>
          <w:rFonts w:eastAsia="Cambria"/>
        </w:rPr>
        <w:t xml:space="preserve">Cost sharing reductions </w:t>
      </w:r>
      <w:r w:rsidR="4681BB5B" w:rsidRPr="00342FC6">
        <w:rPr>
          <w:rFonts w:eastAsia="Cambria"/>
        </w:rPr>
        <w:t>for low-income individuals</w:t>
      </w:r>
      <w:r w:rsidR="0172A0DF" w:rsidRPr="00342FC6">
        <w:rPr>
          <w:rFonts w:eastAsia="Cambria"/>
        </w:rPr>
        <w:t xml:space="preserve"> (</w:t>
      </w:r>
      <w:r w:rsidR="632700C8" w:rsidRPr="00342FC6">
        <w:rPr>
          <w:rFonts w:eastAsia="Cambria"/>
        </w:rPr>
        <w:t xml:space="preserve">42 U.S.C. </w:t>
      </w:r>
      <w:r w:rsidR="632700C8" w:rsidRPr="00342FC6">
        <w:rPr>
          <w:rFonts w:eastAsia="Cambria"/>
          <w:color w:val="1F1F1F"/>
        </w:rPr>
        <w:t>§ 18071)</w:t>
      </w:r>
      <w:r w:rsidR="4681BB5B" w:rsidRPr="00342FC6">
        <w:rPr>
          <w:rFonts w:eastAsia="Cambria"/>
        </w:rPr>
        <w:t>;</w:t>
      </w:r>
    </w:p>
    <w:p w14:paraId="297E5810" w14:textId="58252A61" w:rsidR="00342FC6" w:rsidRDefault="44CB3B23" w:rsidP="009C2CBA">
      <w:pPr>
        <w:pStyle w:val="ListParagraph"/>
        <w:numPr>
          <w:ilvl w:val="0"/>
          <w:numId w:val="27"/>
        </w:numPr>
        <w:rPr>
          <w:rFonts w:eastAsia="Cambria"/>
        </w:rPr>
      </w:pPr>
      <w:r w:rsidRPr="00342FC6">
        <w:rPr>
          <w:rFonts w:eastAsia="Cambria"/>
        </w:rPr>
        <w:t>Provisions relating to Advanced Premium Tax Credits</w:t>
      </w:r>
      <w:r w:rsidR="09D6D9E1" w:rsidRPr="00342FC6">
        <w:rPr>
          <w:rFonts w:eastAsia="Cambria"/>
        </w:rPr>
        <w:t xml:space="preserve"> (26 U.S.C. </w:t>
      </w:r>
      <w:r w:rsidR="09D6D9E1" w:rsidRPr="00342FC6">
        <w:rPr>
          <w:rFonts w:eastAsia="Cambria"/>
          <w:color w:val="1F1F1F"/>
        </w:rPr>
        <w:t>§ 36B)</w:t>
      </w:r>
      <w:r w:rsidRPr="00342FC6">
        <w:rPr>
          <w:rFonts w:eastAsia="Cambria"/>
        </w:rPr>
        <w:t xml:space="preserve">; </w:t>
      </w:r>
      <w:r w:rsidR="54DB0A43" w:rsidRPr="00342FC6">
        <w:rPr>
          <w:rFonts w:eastAsia="Cambria"/>
        </w:rPr>
        <w:t xml:space="preserve">and </w:t>
      </w:r>
    </w:p>
    <w:p w14:paraId="202090E9" w14:textId="02B62232" w:rsidR="45D0C021" w:rsidRPr="00342FC6" w:rsidRDefault="54DB0A43" w:rsidP="009C2CBA">
      <w:pPr>
        <w:pStyle w:val="ListParagraph"/>
        <w:numPr>
          <w:ilvl w:val="0"/>
          <w:numId w:val="27"/>
        </w:numPr>
        <w:rPr>
          <w:rFonts w:eastAsia="Cambria"/>
        </w:rPr>
      </w:pPr>
      <w:r w:rsidRPr="00342FC6">
        <w:rPr>
          <w:rFonts w:eastAsia="Cambria"/>
        </w:rPr>
        <w:t>The requirement for large employers to provide coverage and accompanying tax penalty if they do not</w:t>
      </w:r>
      <w:r w:rsidR="4B746F1F" w:rsidRPr="00342FC6">
        <w:rPr>
          <w:rFonts w:eastAsia="Cambria"/>
        </w:rPr>
        <w:t xml:space="preserve"> (26 U.S.C. </w:t>
      </w:r>
      <w:r w:rsidR="4B746F1F" w:rsidRPr="00342FC6">
        <w:rPr>
          <w:rFonts w:eastAsia="Cambria"/>
          <w:color w:val="1F1F1F"/>
        </w:rPr>
        <w:t>§ 4980H)</w:t>
      </w:r>
      <w:r w:rsidRPr="00342FC6">
        <w:rPr>
          <w:rFonts w:eastAsia="Cambria"/>
        </w:rPr>
        <w:t xml:space="preserve">. </w:t>
      </w:r>
    </w:p>
    <w:p w14:paraId="29B70071" w14:textId="6D57A1D0" w:rsidR="15187B34" w:rsidRDefault="15187B34" w:rsidP="00342FC6">
      <w:pPr>
        <w:rPr>
          <w:rFonts w:eastAsia="Cambria"/>
        </w:rPr>
      </w:pPr>
      <w:r w:rsidRPr="6853FBC6">
        <w:rPr>
          <w:rFonts w:eastAsia="Cambria"/>
        </w:rPr>
        <w:t xml:space="preserve">Provisions that cannot be waived by a 1332 waiver include guaranteed issue requirements, age rating, and prohibitions on use of health status and gender rating. </w:t>
      </w:r>
    </w:p>
    <w:p w14:paraId="21055F8D" w14:textId="6CD6B328" w:rsidR="00657C5D" w:rsidRPr="00342FC6" w:rsidRDefault="00657C5D" w:rsidP="00342FC6">
      <w:pPr>
        <w:pStyle w:val="Heading2"/>
        <w:rPr>
          <w:rFonts w:eastAsia="Times New Roman"/>
          <w:lang w:eastAsia="ja-JP"/>
        </w:rPr>
      </w:pPr>
      <w:bookmarkStart w:id="14" w:name="_Toc216861705"/>
      <w:r w:rsidRPr="00342FC6">
        <w:rPr>
          <w:rFonts w:eastAsia="Times New Roman"/>
          <w:lang w:eastAsia="ja-JP"/>
        </w:rPr>
        <w:lastRenderedPageBreak/>
        <w:t>Guardrails and the limitations they introduce</w:t>
      </w:r>
      <w:bookmarkEnd w:id="14"/>
    </w:p>
    <w:p w14:paraId="30E90ECC" w14:textId="2CC3B180" w:rsidR="538356AC" w:rsidRDefault="538356AC" w:rsidP="003E0614">
      <w:pPr>
        <w:rPr>
          <w:rFonts w:eastAsia="Cambria"/>
          <w:color w:val="0563C1"/>
          <w:u w:val="single"/>
          <w:vertAlign w:val="superscript"/>
        </w:rPr>
      </w:pPr>
      <w:r w:rsidRPr="6853FBC6">
        <w:rPr>
          <w:rFonts w:eastAsia="Cambria"/>
        </w:rPr>
        <w:t xml:space="preserve">In order to receive approval from the Department of Health and Human Services (HHS) and the Treasury Department, states must meet four statutory guardrails. </w:t>
      </w:r>
    </w:p>
    <w:p w14:paraId="1E7E396A" w14:textId="0288DFA2" w:rsidR="003E0614" w:rsidRPr="003E0614" w:rsidRDefault="6FA7F793" w:rsidP="009C2CBA">
      <w:pPr>
        <w:pStyle w:val="ListParagraph"/>
        <w:numPr>
          <w:ilvl w:val="0"/>
          <w:numId w:val="28"/>
        </w:numPr>
        <w:rPr>
          <w:rFonts w:eastAsia="Cambria"/>
          <w:color w:val="0563C1"/>
          <w:u w:val="single"/>
          <w:vertAlign w:val="superscript"/>
        </w:rPr>
      </w:pPr>
      <w:r w:rsidRPr="003E0614">
        <w:rPr>
          <w:rFonts w:eastAsia="Cambria"/>
          <w:b/>
          <w:bCs/>
        </w:rPr>
        <w:t xml:space="preserve">Comprehensiveness: </w:t>
      </w:r>
      <w:r w:rsidR="71981166" w:rsidRPr="003E0614">
        <w:rPr>
          <w:rFonts w:eastAsia="Cambria"/>
        </w:rPr>
        <w:t xml:space="preserve">The first guardrail </w:t>
      </w:r>
      <w:r w:rsidR="7C120EB3" w:rsidRPr="003E0614">
        <w:rPr>
          <w:rFonts w:eastAsia="Cambria"/>
        </w:rPr>
        <w:t>requires</w:t>
      </w:r>
      <w:r w:rsidR="71981166" w:rsidRPr="003E0614">
        <w:rPr>
          <w:rFonts w:eastAsia="Cambria"/>
        </w:rPr>
        <w:t xml:space="preserve"> that coverage must be at least as </w:t>
      </w:r>
      <w:r w:rsidR="71981166" w:rsidRPr="003E0614">
        <w:rPr>
          <w:rFonts w:eastAsia="Cambria"/>
          <w:b/>
          <w:bCs/>
          <w:i/>
          <w:iCs/>
        </w:rPr>
        <w:t>comprehensive</w:t>
      </w:r>
      <w:r w:rsidR="71981166" w:rsidRPr="003E0614">
        <w:rPr>
          <w:rFonts w:eastAsia="Cambria"/>
          <w:b/>
          <w:bCs/>
        </w:rPr>
        <w:t xml:space="preserve"> </w:t>
      </w:r>
      <w:r w:rsidR="71981166" w:rsidRPr="003E0614">
        <w:rPr>
          <w:rFonts w:eastAsia="Cambria"/>
        </w:rPr>
        <w:t>as coverage</w:t>
      </w:r>
      <w:r w:rsidR="00683153">
        <w:rPr>
          <w:rFonts w:eastAsia="Cambria"/>
        </w:rPr>
        <w:t xml:space="preserve"> without the waiver</w:t>
      </w:r>
      <w:r w:rsidR="7CBEE726" w:rsidRPr="003E0614">
        <w:rPr>
          <w:rFonts w:eastAsia="Cambria"/>
        </w:rPr>
        <w:t xml:space="preserve">. </w:t>
      </w:r>
    </w:p>
    <w:p w14:paraId="3388CCE5" w14:textId="0B52D81B" w:rsidR="003E0614" w:rsidRPr="003E0614" w:rsidRDefault="00706CF8" w:rsidP="009C2CBA">
      <w:pPr>
        <w:pStyle w:val="ListParagraph"/>
        <w:numPr>
          <w:ilvl w:val="0"/>
          <w:numId w:val="28"/>
        </w:numPr>
        <w:rPr>
          <w:rFonts w:eastAsia="Cambria"/>
          <w:color w:val="0563C1"/>
          <w:u w:val="single"/>
          <w:vertAlign w:val="superscript"/>
        </w:rPr>
      </w:pPr>
      <w:r w:rsidRPr="003E0614">
        <w:rPr>
          <w:rFonts w:eastAsia="Cambria"/>
          <w:b/>
          <w:bCs/>
        </w:rPr>
        <w:t xml:space="preserve">Affordability: </w:t>
      </w:r>
      <w:r w:rsidR="7CBEE726" w:rsidRPr="003E0614">
        <w:rPr>
          <w:rFonts w:eastAsia="Cambria"/>
        </w:rPr>
        <w:t xml:space="preserve">The second guardrail </w:t>
      </w:r>
      <w:r w:rsidR="7D90769D" w:rsidRPr="003E0614">
        <w:rPr>
          <w:rFonts w:eastAsia="Cambria"/>
        </w:rPr>
        <w:t xml:space="preserve">requires that </w:t>
      </w:r>
      <w:r w:rsidR="31A0001F" w:rsidRPr="003E0614">
        <w:rPr>
          <w:rFonts w:eastAsia="Cambria"/>
        </w:rPr>
        <w:t xml:space="preserve">the state plan must provide coverage and cost-sharing protections </w:t>
      </w:r>
      <w:r w:rsidR="00A90015">
        <w:rPr>
          <w:rFonts w:eastAsia="Cambria"/>
        </w:rPr>
        <w:t xml:space="preserve">as </w:t>
      </w:r>
      <w:r w:rsidR="538356AC" w:rsidRPr="003E0614">
        <w:rPr>
          <w:rFonts w:eastAsia="Cambria"/>
          <w:b/>
          <w:bCs/>
          <w:i/>
          <w:iCs/>
        </w:rPr>
        <w:t>affordable</w:t>
      </w:r>
      <w:r w:rsidR="538356AC" w:rsidRPr="003E0614">
        <w:rPr>
          <w:rFonts w:eastAsia="Cambria"/>
        </w:rPr>
        <w:t xml:space="preserve"> as coverage available to people absent the waiver. </w:t>
      </w:r>
    </w:p>
    <w:p w14:paraId="0BA0D4B3" w14:textId="0064A83F" w:rsidR="003E0614" w:rsidRPr="003E0614" w:rsidRDefault="5A945188" w:rsidP="009C2CBA">
      <w:pPr>
        <w:pStyle w:val="ListParagraph"/>
        <w:numPr>
          <w:ilvl w:val="0"/>
          <w:numId w:val="28"/>
        </w:numPr>
        <w:rPr>
          <w:rFonts w:eastAsia="Cambria"/>
          <w:color w:val="0563C1"/>
          <w:u w:val="single"/>
          <w:vertAlign w:val="superscript"/>
        </w:rPr>
      </w:pPr>
      <w:r w:rsidRPr="003E0614">
        <w:rPr>
          <w:rFonts w:eastAsia="Cambria"/>
          <w:b/>
          <w:bCs/>
        </w:rPr>
        <w:t>Comparable Number of Insured:</w:t>
      </w:r>
      <w:r w:rsidRPr="003E0614">
        <w:rPr>
          <w:rFonts w:eastAsia="Cambria"/>
        </w:rPr>
        <w:t xml:space="preserve"> </w:t>
      </w:r>
      <w:r w:rsidR="538356AC" w:rsidRPr="003E0614">
        <w:rPr>
          <w:rFonts w:eastAsia="Cambria"/>
        </w:rPr>
        <w:t xml:space="preserve">The third guardrail requires that </w:t>
      </w:r>
      <w:r w:rsidR="538356AC" w:rsidRPr="003E0614">
        <w:rPr>
          <w:rFonts w:eastAsia="Cambria"/>
          <w:b/>
          <w:bCs/>
          <w:i/>
          <w:iCs/>
        </w:rPr>
        <w:t xml:space="preserve">the number of people with health coverage </w:t>
      </w:r>
      <w:r w:rsidR="569FB4C7" w:rsidRPr="003E0614">
        <w:rPr>
          <w:rFonts w:eastAsia="Cambria"/>
          <w:b/>
          <w:bCs/>
          <w:i/>
          <w:iCs/>
        </w:rPr>
        <w:t>be comparable</w:t>
      </w:r>
      <w:r w:rsidR="538356AC" w:rsidRPr="003E0614">
        <w:rPr>
          <w:rFonts w:eastAsia="Cambria"/>
        </w:rPr>
        <w:t xml:space="preserve"> </w:t>
      </w:r>
      <w:r w:rsidR="2F6C012D" w:rsidRPr="003E0614">
        <w:rPr>
          <w:rFonts w:eastAsia="Cambria"/>
        </w:rPr>
        <w:t xml:space="preserve">with the waiver </w:t>
      </w:r>
      <w:r w:rsidR="00527C44">
        <w:rPr>
          <w:rFonts w:eastAsia="Cambria"/>
        </w:rPr>
        <w:t xml:space="preserve">in place </w:t>
      </w:r>
      <w:r w:rsidR="2F6C012D" w:rsidRPr="003E0614">
        <w:rPr>
          <w:rFonts w:eastAsia="Cambria"/>
        </w:rPr>
        <w:t xml:space="preserve">to without the waiver. </w:t>
      </w:r>
    </w:p>
    <w:p w14:paraId="5042D6B5" w14:textId="1DAF4D65" w:rsidR="2F6C012D" w:rsidRPr="003E0614" w:rsidRDefault="1018B08D" w:rsidP="009C2CBA">
      <w:pPr>
        <w:pStyle w:val="ListParagraph"/>
        <w:numPr>
          <w:ilvl w:val="0"/>
          <w:numId w:val="28"/>
        </w:numPr>
        <w:rPr>
          <w:rFonts w:eastAsia="Cambria"/>
          <w:color w:val="0563C1"/>
          <w:u w:val="single"/>
          <w:vertAlign w:val="superscript"/>
        </w:rPr>
      </w:pPr>
      <w:r w:rsidRPr="003E0614">
        <w:rPr>
          <w:rFonts w:eastAsia="Cambria"/>
          <w:b/>
          <w:bCs/>
        </w:rPr>
        <w:t xml:space="preserve">Deficit-Neutrality: </w:t>
      </w:r>
      <w:r w:rsidR="5940537D" w:rsidRPr="003E0614">
        <w:rPr>
          <w:rFonts w:eastAsia="Cambria"/>
        </w:rPr>
        <w:t xml:space="preserve"> The last guardrail requires that the waiver be </w:t>
      </w:r>
      <w:r w:rsidR="5940537D" w:rsidRPr="003E0614">
        <w:rPr>
          <w:rFonts w:eastAsia="Cambria"/>
          <w:b/>
          <w:bCs/>
          <w:i/>
          <w:iCs/>
        </w:rPr>
        <w:t>deficit-neutral</w:t>
      </w:r>
      <w:r w:rsidR="5940537D" w:rsidRPr="003E0614">
        <w:rPr>
          <w:rFonts w:eastAsia="Cambria"/>
        </w:rPr>
        <w:t xml:space="preserve"> to the federal government over ten years.</w:t>
      </w:r>
      <w:r w:rsidR="2F6C012D" w:rsidRPr="6853FBC6">
        <w:rPr>
          <w:rStyle w:val="FootnoteReference"/>
          <w:rFonts w:ascii="Cambria" w:eastAsia="Cambria" w:hAnsi="Cambria" w:cs="Cambria"/>
          <w:color w:val="0563C1"/>
          <w:sz w:val="22"/>
          <w:szCs w:val="22"/>
          <w:u w:val="single"/>
        </w:rPr>
        <w:footnoteReference w:id="11"/>
      </w:r>
    </w:p>
    <w:p w14:paraId="1A5131CC" w14:textId="41E60641" w:rsidR="6853FBC6" w:rsidRDefault="544F1264" w:rsidP="7EB38FF3">
      <w:pPr>
        <w:rPr>
          <w:rFonts w:eastAsia="Cambria"/>
          <w:lang w:val="en-US"/>
        </w:rPr>
      </w:pPr>
      <w:r w:rsidRPr="7EB38FF3">
        <w:rPr>
          <w:rFonts w:eastAsia="Cambria"/>
          <w:lang w:val="en-US"/>
        </w:rPr>
        <w:t xml:space="preserve">The guardrails provide strong, clear guidance to ensure that state reforms meet </w:t>
      </w:r>
      <w:r w:rsidR="0674996E" w:rsidRPr="7EB38FF3">
        <w:rPr>
          <w:rFonts w:eastAsia="Cambria"/>
          <w:lang w:val="en-US"/>
        </w:rPr>
        <w:t>federal</w:t>
      </w:r>
      <w:r w:rsidRPr="7EB38FF3">
        <w:rPr>
          <w:rFonts w:eastAsia="Cambria"/>
          <w:lang w:val="en-US"/>
        </w:rPr>
        <w:t xml:space="preserve"> standards and do not result in a race to the bottom. However, conversely, when combined, they may also </w:t>
      </w:r>
      <w:r w:rsidR="51E4062A" w:rsidRPr="7EB38FF3">
        <w:rPr>
          <w:rFonts w:eastAsia="Cambria"/>
          <w:lang w:val="en-US"/>
        </w:rPr>
        <w:t>provide limits on the types of innovation that states can pursue under the 1332 waiver optio</w:t>
      </w:r>
      <w:r w:rsidR="00011B6B" w:rsidRPr="7EB38FF3">
        <w:rPr>
          <w:rFonts w:eastAsia="Cambria"/>
          <w:lang w:val="en-US"/>
        </w:rPr>
        <w:t xml:space="preserve">n. </w:t>
      </w:r>
      <w:r w:rsidR="5B8349A7" w:rsidRPr="7EB38FF3">
        <w:rPr>
          <w:rFonts w:eastAsia="Cambria"/>
          <w:lang w:val="en-US"/>
        </w:rPr>
        <w:t>For example, e</w:t>
      </w:r>
      <w:r w:rsidR="0052239B" w:rsidRPr="7EB38FF3">
        <w:rPr>
          <w:rFonts w:eastAsia="Cambria"/>
          <w:lang w:val="en-US"/>
        </w:rPr>
        <w:t>xpanding the number of people covered while maintaining or improving affordability and comprehensive</w:t>
      </w:r>
      <w:r w:rsidR="2A288C2A" w:rsidRPr="7EB38FF3">
        <w:rPr>
          <w:rFonts w:eastAsia="Cambria"/>
          <w:lang w:val="en-US"/>
        </w:rPr>
        <w:t>ne</w:t>
      </w:r>
      <w:r w:rsidR="0052239B" w:rsidRPr="7EB38FF3">
        <w:rPr>
          <w:rFonts w:eastAsia="Cambria"/>
          <w:lang w:val="en-US"/>
        </w:rPr>
        <w:t>ss is likely</w:t>
      </w:r>
      <w:r w:rsidR="00597E7B" w:rsidRPr="7EB38FF3">
        <w:rPr>
          <w:rFonts w:eastAsia="Cambria"/>
          <w:lang w:val="en-US"/>
        </w:rPr>
        <w:t xml:space="preserve"> to increase expenditures, and thus violate the deficit neutrality guardrail</w:t>
      </w:r>
      <w:r w:rsidR="00327EF3" w:rsidRPr="7EB38FF3">
        <w:rPr>
          <w:rFonts w:eastAsia="Cambria"/>
          <w:lang w:val="en-US"/>
        </w:rPr>
        <w:t xml:space="preserve"> without </w:t>
      </w:r>
      <w:r w:rsidR="00FD4E9B" w:rsidRPr="7EB38FF3">
        <w:rPr>
          <w:rFonts w:eastAsia="Cambria"/>
          <w:lang w:val="en-US"/>
        </w:rPr>
        <w:t>the addition of state funds</w:t>
      </w:r>
      <w:r w:rsidR="00597E7B" w:rsidRPr="7EB38FF3">
        <w:rPr>
          <w:rFonts w:eastAsia="Cambria"/>
          <w:lang w:val="en-US"/>
        </w:rPr>
        <w:t>.</w:t>
      </w:r>
      <w:r w:rsidR="0052239B" w:rsidRPr="7EB38FF3">
        <w:rPr>
          <w:rFonts w:eastAsia="Cambria"/>
          <w:lang w:val="en-US"/>
        </w:rPr>
        <w:t xml:space="preserve">  </w:t>
      </w:r>
    </w:p>
    <w:p w14:paraId="578C1170" w14:textId="2228172B" w:rsidR="684BAE8A" w:rsidRDefault="684BAE8A"/>
    <w:p w14:paraId="168B597C" w14:textId="17FD74AE" w:rsidR="00DC2712" w:rsidRDefault="00657C5D" w:rsidP="00006541">
      <w:pPr>
        <w:pStyle w:val="Heading2"/>
        <w:rPr>
          <w:rFonts w:eastAsia="Times New Roman"/>
          <w:lang w:eastAsia="ja-JP"/>
        </w:rPr>
      </w:pPr>
      <w:bookmarkStart w:id="15" w:name="_Toc216861706"/>
      <w:r w:rsidRPr="6853FBC6">
        <w:rPr>
          <w:rFonts w:eastAsia="Times New Roman"/>
          <w:lang w:eastAsia="ja-JP"/>
        </w:rPr>
        <w:t>State experiences</w:t>
      </w:r>
      <w:bookmarkEnd w:id="15"/>
    </w:p>
    <w:p w14:paraId="6ADE28D9" w14:textId="6BCC3101" w:rsidR="2AE23DA5" w:rsidRDefault="3421F0CB" w:rsidP="00006541">
      <w:pPr>
        <w:rPr>
          <w:rFonts w:eastAsia="Times New Roman"/>
          <w:lang w:eastAsia="ja-JP"/>
        </w:rPr>
      </w:pPr>
      <w:r w:rsidRPr="684BAE8A">
        <w:rPr>
          <w:rFonts w:eastAsia="Times New Roman"/>
          <w:lang w:eastAsia="ja-JP"/>
        </w:rPr>
        <w:t>Twenty</w:t>
      </w:r>
      <w:r w:rsidR="007F3B02">
        <w:rPr>
          <w:rFonts w:eastAsia="Times New Roman"/>
          <w:lang w:eastAsia="ja-JP"/>
        </w:rPr>
        <w:t>-one</w:t>
      </w:r>
      <w:r w:rsidR="25233CC0" w:rsidRPr="684BAE8A">
        <w:rPr>
          <w:rFonts w:eastAsia="Times New Roman"/>
          <w:lang w:eastAsia="ja-JP"/>
        </w:rPr>
        <w:t xml:space="preserve"> states have applied for and successfully received section 1332 waivers – in fact</w:t>
      </w:r>
      <w:r w:rsidR="5F4ED6F6" w:rsidRPr="684BAE8A">
        <w:rPr>
          <w:rFonts w:eastAsia="Times New Roman"/>
          <w:lang w:eastAsia="ja-JP"/>
        </w:rPr>
        <w:t xml:space="preserve">, </w:t>
      </w:r>
      <w:r w:rsidR="25233CC0" w:rsidRPr="684BAE8A">
        <w:rPr>
          <w:rFonts w:eastAsia="Times New Roman"/>
          <w:lang w:eastAsia="ja-JP"/>
        </w:rPr>
        <w:t>some states have multiple waivers. Most states have waivers leveraging federal pass</w:t>
      </w:r>
      <w:r w:rsidR="00EB27AE">
        <w:rPr>
          <w:rFonts w:eastAsia="Times New Roman"/>
          <w:lang w:eastAsia="ja-JP"/>
        </w:rPr>
        <w:t>-</w:t>
      </w:r>
      <w:r w:rsidR="25233CC0" w:rsidRPr="684BAE8A">
        <w:rPr>
          <w:rFonts w:eastAsia="Times New Roman"/>
          <w:lang w:eastAsia="ja-JP"/>
        </w:rPr>
        <w:t xml:space="preserve">through </w:t>
      </w:r>
      <w:r w:rsidR="009D6E77">
        <w:rPr>
          <w:rFonts w:eastAsia="Times New Roman"/>
          <w:lang w:eastAsia="ja-JP"/>
        </w:rPr>
        <w:t xml:space="preserve">funds </w:t>
      </w:r>
      <w:r w:rsidR="25233CC0" w:rsidRPr="684BAE8A">
        <w:rPr>
          <w:rFonts w:eastAsia="Times New Roman"/>
          <w:lang w:eastAsia="ja-JP"/>
        </w:rPr>
        <w:t>to support reinsurance progra</w:t>
      </w:r>
      <w:r w:rsidR="0074CCCF" w:rsidRPr="684BAE8A">
        <w:rPr>
          <w:rFonts w:eastAsia="Times New Roman"/>
          <w:lang w:eastAsia="ja-JP"/>
        </w:rPr>
        <w:t xml:space="preserve">ms for individual market stability. A handful of states have </w:t>
      </w:r>
      <w:r w:rsidR="209D63B7" w:rsidRPr="684BAE8A">
        <w:rPr>
          <w:rFonts w:eastAsia="Times New Roman"/>
          <w:lang w:eastAsia="ja-JP"/>
        </w:rPr>
        <w:t>s</w:t>
      </w:r>
      <w:r w:rsidR="0074CCCF" w:rsidRPr="684BAE8A">
        <w:rPr>
          <w:rFonts w:eastAsia="Times New Roman"/>
          <w:lang w:eastAsia="ja-JP"/>
        </w:rPr>
        <w:t xml:space="preserve">ought </w:t>
      </w:r>
      <w:r w:rsidR="0A61B16E" w:rsidRPr="684BAE8A">
        <w:rPr>
          <w:rFonts w:eastAsia="Times New Roman"/>
          <w:lang w:eastAsia="ja-JP"/>
        </w:rPr>
        <w:t xml:space="preserve">further </w:t>
      </w:r>
      <w:r w:rsidR="0074CCCF" w:rsidRPr="684BAE8A">
        <w:rPr>
          <w:rFonts w:eastAsia="Times New Roman"/>
          <w:lang w:eastAsia="ja-JP"/>
        </w:rPr>
        <w:t>market reforms through section 1332 waivers</w:t>
      </w:r>
      <w:r w:rsidR="6D85576E" w:rsidRPr="684BAE8A">
        <w:rPr>
          <w:rFonts w:eastAsia="Times New Roman"/>
          <w:lang w:eastAsia="ja-JP"/>
        </w:rPr>
        <w:t xml:space="preserve"> – including Colorado, Washington, Nevada, and New York</w:t>
      </w:r>
      <w:r w:rsidR="4B451E28" w:rsidRPr="684BAE8A">
        <w:rPr>
          <w:rFonts w:eastAsia="Times New Roman"/>
          <w:lang w:eastAsia="ja-JP"/>
        </w:rPr>
        <w:t xml:space="preserve"> (New York’s waiver</w:t>
      </w:r>
      <w:r w:rsidR="4DC14D48" w:rsidRPr="684BAE8A">
        <w:rPr>
          <w:rFonts w:eastAsia="Times New Roman"/>
          <w:lang w:eastAsia="ja-JP"/>
        </w:rPr>
        <w:t xml:space="preserve"> and its current status</w:t>
      </w:r>
      <w:r w:rsidR="4B451E28" w:rsidRPr="684BAE8A">
        <w:rPr>
          <w:rFonts w:eastAsia="Times New Roman"/>
          <w:lang w:eastAsia="ja-JP"/>
        </w:rPr>
        <w:t xml:space="preserve"> </w:t>
      </w:r>
      <w:r w:rsidR="5617294F" w:rsidRPr="684BAE8A">
        <w:rPr>
          <w:rFonts w:eastAsia="Times New Roman"/>
          <w:lang w:eastAsia="ja-JP"/>
        </w:rPr>
        <w:t>are</w:t>
      </w:r>
      <w:r w:rsidR="4B451E28" w:rsidRPr="684BAE8A">
        <w:rPr>
          <w:rFonts w:eastAsia="Times New Roman"/>
          <w:lang w:eastAsia="ja-JP"/>
        </w:rPr>
        <w:t xml:space="preserve"> discussed in more detail above as part of the 1331 Section)</w:t>
      </w:r>
      <w:r w:rsidR="0074CCCF" w:rsidRPr="684BAE8A">
        <w:rPr>
          <w:rFonts w:eastAsia="Times New Roman"/>
          <w:lang w:eastAsia="ja-JP"/>
        </w:rPr>
        <w:t xml:space="preserve">. However, </w:t>
      </w:r>
      <w:r w:rsidR="3169AE22" w:rsidRPr="684BAE8A">
        <w:rPr>
          <w:rFonts w:eastAsia="Times New Roman"/>
          <w:lang w:eastAsia="ja-JP"/>
        </w:rPr>
        <w:t>several</w:t>
      </w:r>
      <w:r w:rsidR="0074CCCF" w:rsidRPr="684BAE8A">
        <w:rPr>
          <w:rFonts w:eastAsia="Times New Roman"/>
          <w:lang w:eastAsia="ja-JP"/>
        </w:rPr>
        <w:t xml:space="preserve"> states have been denied section 1332 waivers for proposed reforms</w:t>
      </w:r>
      <w:r w:rsidR="66B0CA63" w:rsidRPr="684BAE8A">
        <w:rPr>
          <w:rFonts w:eastAsia="Times New Roman"/>
          <w:lang w:eastAsia="ja-JP"/>
        </w:rPr>
        <w:t xml:space="preserve">, or have received </w:t>
      </w:r>
      <w:r w:rsidR="03940C47" w:rsidRPr="684BAE8A">
        <w:rPr>
          <w:rFonts w:eastAsia="Times New Roman"/>
          <w:lang w:eastAsia="ja-JP"/>
        </w:rPr>
        <w:t>determinations that their applications were incomplete</w:t>
      </w:r>
      <w:r w:rsidR="0074CCCF" w:rsidRPr="684BAE8A">
        <w:rPr>
          <w:rFonts w:eastAsia="Times New Roman"/>
          <w:lang w:eastAsia="ja-JP"/>
        </w:rPr>
        <w:t xml:space="preserve">. </w:t>
      </w:r>
    </w:p>
    <w:p w14:paraId="08745065" w14:textId="77777777" w:rsidR="00DC2712" w:rsidRPr="00006541" w:rsidRDefault="3DEA17F5" w:rsidP="00006541">
      <w:pPr>
        <w:pStyle w:val="Heading3"/>
        <w:rPr>
          <w:rFonts w:eastAsia="Times New Roman"/>
          <w:lang w:eastAsia="ja-JP"/>
        </w:rPr>
      </w:pPr>
      <w:bookmarkStart w:id="16" w:name="_Toc216861707"/>
      <w:r w:rsidRPr="00006541">
        <w:rPr>
          <w:rFonts w:eastAsia="Times New Roman"/>
          <w:lang w:eastAsia="ja-JP"/>
        </w:rPr>
        <w:lastRenderedPageBreak/>
        <w:t>Reinsurance waivers and related state choices</w:t>
      </w:r>
      <w:bookmarkEnd w:id="16"/>
    </w:p>
    <w:p w14:paraId="19CFB51C" w14:textId="77777777" w:rsidR="00E97719" w:rsidRDefault="004134DE" w:rsidP="00006541">
      <w:pPr>
        <w:rPr>
          <w:rFonts w:eastAsia="Times New Roman"/>
          <w:lang w:eastAsia="ja-JP"/>
        </w:rPr>
      </w:pPr>
      <w:r w:rsidRPr="7EB38FF3">
        <w:rPr>
          <w:rFonts w:eastAsia="Times New Roman"/>
          <w:lang w:eastAsia="ja-JP"/>
        </w:rPr>
        <w:t xml:space="preserve">The most common use of 1332 waivers to date has been </w:t>
      </w:r>
      <w:r w:rsidR="00E254A9" w:rsidRPr="7EB38FF3">
        <w:rPr>
          <w:rFonts w:eastAsia="Times New Roman"/>
          <w:lang w:eastAsia="ja-JP"/>
        </w:rPr>
        <w:t xml:space="preserve">to allow operation of state-based reinsurance. </w:t>
      </w:r>
      <w:r w:rsidR="00B85533" w:rsidRPr="7EB38FF3">
        <w:rPr>
          <w:rFonts w:eastAsia="Times New Roman"/>
          <w:lang w:eastAsia="ja-JP"/>
        </w:rPr>
        <w:t xml:space="preserve">Through reinsurance, insurers with high-cost enrollees receive payments from the reinsurance program to offset some of </w:t>
      </w:r>
      <w:r w:rsidR="00F31629" w:rsidRPr="7EB38FF3">
        <w:rPr>
          <w:rFonts w:eastAsia="Times New Roman"/>
          <w:lang w:eastAsia="ja-JP"/>
        </w:rPr>
        <w:t xml:space="preserve">their spending for these enrollees. </w:t>
      </w:r>
      <w:r w:rsidR="00832BC9" w:rsidRPr="7EB38FF3">
        <w:rPr>
          <w:rFonts w:eastAsia="Times New Roman"/>
          <w:lang w:eastAsia="ja-JP"/>
        </w:rPr>
        <w:t xml:space="preserve">These payments allow for lower base premiums. </w:t>
      </w:r>
    </w:p>
    <w:p w14:paraId="6C3A3405" w14:textId="7A1580E7" w:rsidR="2A85B6F4" w:rsidRDefault="2A85B6F4" w:rsidP="00006541">
      <w:pPr>
        <w:rPr>
          <w:rFonts w:eastAsia="Times New Roman"/>
          <w:lang w:eastAsia="ja-JP"/>
        </w:rPr>
      </w:pPr>
      <w:r w:rsidRPr="684BAE8A">
        <w:rPr>
          <w:rFonts w:eastAsia="Times New Roman"/>
          <w:lang w:eastAsia="ja-JP"/>
        </w:rPr>
        <w:t xml:space="preserve">As of </w:t>
      </w:r>
      <w:r w:rsidR="00EE44A0">
        <w:rPr>
          <w:rFonts w:eastAsia="Times New Roman"/>
          <w:lang w:eastAsia="ja-JP"/>
        </w:rPr>
        <w:t>2025</w:t>
      </w:r>
      <w:r w:rsidRPr="684BAE8A">
        <w:rPr>
          <w:rFonts w:eastAsia="Times New Roman"/>
          <w:lang w:eastAsia="ja-JP"/>
        </w:rPr>
        <w:t xml:space="preserve">, </w:t>
      </w:r>
      <w:r w:rsidR="00EE44A0">
        <w:rPr>
          <w:rFonts w:eastAsia="Times New Roman"/>
          <w:lang w:eastAsia="ja-JP"/>
        </w:rPr>
        <w:t>19</w:t>
      </w:r>
      <w:r w:rsidRPr="684BAE8A">
        <w:rPr>
          <w:rFonts w:eastAsia="Times New Roman"/>
          <w:lang w:eastAsia="ja-JP"/>
        </w:rPr>
        <w:t xml:space="preserve"> states operate state-based reinsurance</w:t>
      </w:r>
      <w:r w:rsidR="3BFE66EA" w:rsidRPr="684BAE8A">
        <w:rPr>
          <w:rFonts w:eastAsia="Times New Roman"/>
          <w:lang w:eastAsia="ja-JP"/>
        </w:rPr>
        <w:t xml:space="preserve"> </w:t>
      </w:r>
      <w:r w:rsidRPr="684BAE8A">
        <w:rPr>
          <w:rFonts w:eastAsia="Times New Roman"/>
          <w:lang w:eastAsia="ja-JP"/>
        </w:rPr>
        <w:t xml:space="preserve">programs by waiving the single risk pool requirement </w:t>
      </w:r>
      <w:r w:rsidR="29C99061" w:rsidRPr="684BAE8A">
        <w:rPr>
          <w:rFonts w:eastAsia="Times New Roman"/>
          <w:lang w:eastAsia="ja-JP"/>
        </w:rPr>
        <w:t>under section 1312(c)(1) of the ACA to the extent that it would otherwise require excluding total expected state reinsurance payments when establishing the market-wide index rate.</w:t>
      </w:r>
      <w:r w:rsidRPr="684BAE8A">
        <w:rPr>
          <w:rStyle w:val="FootnoteReference"/>
          <w:rFonts w:ascii="Cambria" w:eastAsia="Times New Roman" w:hAnsi="Cambria" w:cs="Times New Roman"/>
          <w:sz w:val="22"/>
          <w:szCs w:val="22"/>
          <w:lang w:eastAsia="ja-JP"/>
        </w:rPr>
        <w:footnoteReference w:id="12"/>
      </w:r>
      <w:r w:rsidR="29C99061" w:rsidRPr="684BAE8A">
        <w:rPr>
          <w:rFonts w:eastAsia="Times New Roman"/>
          <w:lang w:eastAsia="ja-JP"/>
        </w:rPr>
        <w:t xml:space="preserve"> </w:t>
      </w:r>
      <w:r w:rsidR="7EF83EFB" w:rsidRPr="684BAE8A">
        <w:rPr>
          <w:rFonts w:eastAsia="Times New Roman"/>
          <w:lang w:eastAsia="ja-JP"/>
        </w:rPr>
        <w:t>Most states use a claims-based model</w:t>
      </w:r>
      <w:r w:rsidR="5FBF0BE5" w:rsidRPr="684BAE8A">
        <w:rPr>
          <w:rFonts w:eastAsia="Times New Roman"/>
          <w:lang w:eastAsia="ja-JP"/>
        </w:rPr>
        <w:t>, where qualifying insurers are reimbursed for a percentage (“coinsurance rate”) of an enrollee’s claims costs exceeding a specified threshold (“attachment point”) and up to a specified ceiling (“reinsurance cap”). Alaska uses a conditions-based model, where insurers are reimbursed for all medical and prescription drug costs of enrollees with one or more of pre-determined high-cost conditions. Idaho uses a hybrid conditions and claims cost-based model for its section 1332 state-based reinsurance program.</w:t>
      </w:r>
      <w:r w:rsidRPr="684BAE8A">
        <w:rPr>
          <w:rStyle w:val="FootnoteReference"/>
          <w:rFonts w:ascii="Cambria" w:eastAsia="Times New Roman" w:hAnsi="Cambria" w:cs="Times New Roman"/>
          <w:sz w:val="22"/>
          <w:szCs w:val="22"/>
          <w:lang w:eastAsia="ja-JP"/>
        </w:rPr>
        <w:footnoteReference w:id="13"/>
      </w:r>
      <w:r w:rsidR="001364E5" w:rsidRPr="001364E5">
        <w:rPr>
          <w:rFonts w:eastAsia="Times New Roman"/>
          <w:vertAlign w:val="superscript"/>
          <w:lang w:eastAsia="ja-JP"/>
        </w:rPr>
        <w:t>,</w:t>
      </w:r>
      <w:r w:rsidRPr="684BAE8A">
        <w:rPr>
          <w:rStyle w:val="FootnoteReference"/>
          <w:rFonts w:ascii="Cambria" w:eastAsia="Times New Roman" w:hAnsi="Cambria" w:cs="Times New Roman"/>
          <w:sz w:val="22"/>
          <w:szCs w:val="22"/>
          <w:lang w:eastAsia="ja-JP"/>
        </w:rPr>
        <w:footnoteReference w:id="14"/>
      </w:r>
    </w:p>
    <w:p w14:paraId="23625B05" w14:textId="77AAC1CB" w:rsidR="73C9E31C" w:rsidRDefault="73C9E31C" w:rsidP="00006541">
      <w:pPr>
        <w:rPr>
          <w:rFonts w:eastAsia="Times New Roman"/>
          <w:lang w:eastAsia="ja-JP"/>
        </w:rPr>
      </w:pPr>
      <w:r w:rsidRPr="684BAE8A">
        <w:rPr>
          <w:rFonts w:eastAsia="Times New Roman"/>
          <w:lang w:eastAsia="ja-JP"/>
        </w:rPr>
        <w:t xml:space="preserve">The scope </w:t>
      </w:r>
      <w:r w:rsidR="17CC7F2C" w:rsidRPr="684BAE8A">
        <w:rPr>
          <w:rFonts w:eastAsia="Times New Roman"/>
          <w:lang w:eastAsia="ja-JP"/>
        </w:rPr>
        <w:t xml:space="preserve">and impact </w:t>
      </w:r>
      <w:r w:rsidRPr="684BAE8A">
        <w:rPr>
          <w:rFonts w:eastAsia="Times New Roman"/>
          <w:lang w:eastAsia="ja-JP"/>
        </w:rPr>
        <w:t xml:space="preserve">of </w:t>
      </w:r>
      <w:r w:rsidR="2A4CB3AC" w:rsidRPr="684BAE8A">
        <w:rPr>
          <w:rFonts w:eastAsia="Times New Roman"/>
          <w:lang w:eastAsia="ja-JP"/>
        </w:rPr>
        <w:t xml:space="preserve">a </w:t>
      </w:r>
      <w:r w:rsidRPr="684BAE8A">
        <w:rPr>
          <w:rFonts w:eastAsia="Times New Roman"/>
          <w:lang w:eastAsia="ja-JP"/>
        </w:rPr>
        <w:t xml:space="preserve">reinsurance program is dependent on the amount of state funding that states use to leverage further federal passthrough of dollars. CMS’ analysis of the impact of section 1332 state-based reinsurance programs demonstrate high success in the ability of such programs to </w:t>
      </w:r>
      <w:r w:rsidR="5A895558" w:rsidRPr="684BAE8A">
        <w:rPr>
          <w:rFonts w:eastAsia="Times New Roman"/>
          <w:lang w:eastAsia="ja-JP"/>
        </w:rPr>
        <w:t>retain insurers and reduce rates in the individual market.</w:t>
      </w:r>
      <w:r w:rsidRPr="684BAE8A">
        <w:rPr>
          <w:rStyle w:val="FootnoteReference"/>
          <w:rFonts w:ascii="Cambria" w:eastAsia="Times New Roman" w:hAnsi="Cambria" w:cs="Times New Roman"/>
          <w:sz w:val="22"/>
          <w:szCs w:val="22"/>
          <w:lang w:eastAsia="ja-JP"/>
        </w:rPr>
        <w:footnoteReference w:id="15"/>
      </w:r>
      <w:r w:rsidR="5A895558" w:rsidRPr="684BAE8A">
        <w:rPr>
          <w:rFonts w:eastAsia="Times New Roman"/>
          <w:lang w:eastAsia="ja-JP"/>
        </w:rPr>
        <w:t xml:space="preserve"> </w:t>
      </w:r>
    </w:p>
    <w:p w14:paraId="69CEE278" w14:textId="06427E47" w:rsidR="00161A63" w:rsidRDefault="494D1CB5" w:rsidP="00006541">
      <w:pPr>
        <w:pStyle w:val="Heading4"/>
        <w:rPr>
          <w:rFonts w:eastAsia="Cambria"/>
        </w:rPr>
      </w:pPr>
      <w:bookmarkStart w:id="17" w:name="_tkus27xzanrg"/>
      <w:bookmarkEnd w:id="17"/>
      <w:r w:rsidRPr="684BAE8A">
        <w:rPr>
          <w:rFonts w:eastAsia="Cambria"/>
        </w:rPr>
        <w:t xml:space="preserve">Reinsurance Example: </w:t>
      </w:r>
      <w:r w:rsidR="044DED49" w:rsidRPr="684BAE8A">
        <w:rPr>
          <w:rFonts w:eastAsia="Cambria"/>
        </w:rPr>
        <w:t>Colorado</w:t>
      </w:r>
    </w:p>
    <w:p w14:paraId="343F59D1" w14:textId="232C8648" w:rsidR="684BAE8A" w:rsidRDefault="044DED49" w:rsidP="00006541">
      <w:pPr>
        <w:rPr>
          <w:rFonts w:eastAsia="Cambria"/>
        </w:rPr>
      </w:pPr>
      <w:r w:rsidRPr="7EB38FF3">
        <w:rPr>
          <w:rFonts w:eastAsia="Cambria"/>
          <w:lang w:val="en-US"/>
        </w:rPr>
        <w:t xml:space="preserve">Colorado’s approved 1332 waiver consists of two programs that reduce individual market premiums. Program one, the reinsurance program, has operated under a Section 1332 waiver since 2020. Program two, the Colorado Option program, began implementation in Plan Year 2023 and includes a standardized health insurance plan and required premium reduction targets. Colorado is generating $339,125,752 in 1332 waiver passthrough funding in 2025. </w:t>
      </w:r>
    </w:p>
    <w:p w14:paraId="1874BA1F" w14:textId="1DB84C43" w:rsidR="00161A63" w:rsidRDefault="044DED49" w:rsidP="00006541">
      <w:pPr>
        <w:rPr>
          <w:rFonts w:eastAsia="Cambria"/>
        </w:rPr>
      </w:pPr>
      <w:r w:rsidRPr="684BAE8A">
        <w:rPr>
          <w:rFonts w:eastAsia="Cambria"/>
        </w:rPr>
        <w:lastRenderedPageBreak/>
        <w:t xml:space="preserve">Colorado House Bill 19-1168 established the state-based individual market reinsurance program </w:t>
      </w:r>
      <w:r w:rsidR="00E24428">
        <w:rPr>
          <w:rFonts w:eastAsia="Cambria"/>
        </w:rPr>
        <w:t xml:space="preserve">starting </w:t>
      </w:r>
      <w:r w:rsidRPr="684BAE8A">
        <w:rPr>
          <w:rFonts w:eastAsia="Cambria"/>
        </w:rPr>
        <w:t xml:space="preserve">in </w:t>
      </w:r>
      <w:r w:rsidR="00E24428">
        <w:rPr>
          <w:rFonts w:eastAsia="Cambria"/>
        </w:rPr>
        <w:t xml:space="preserve">plan year </w:t>
      </w:r>
      <w:r w:rsidRPr="684BAE8A">
        <w:rPr>
          <w:rFonts w:eastAsia="Cambria"/>
        </w:rPr>
        <w:t xml:space="preserve">2020. The reinsurance program uses a tiered payment parameter structure to emphasize savings for certain areas of the state that have historically had the highest rates by paying more toward consumer claims in higher cost areas. For example, Tier 2 (the Eastern Plains) and Tier 3 (the Western Slope) receive higher coinsurance rates to achieve higher premium reductions relative to Tier 1 (the Denver Metro). A claims-based attachment point reimbursement model is used to reimburse issuers annually following the applicable plan benefit year. Colorado’s 1332 waiver reinsurance program will have saved Coloradans over $2.1 billion between 2020 and 2025. </w:t>
      </w:r>
    </w:p>
    <w:p w14:paraId="58D7E081" w14:textId="77777777" w:rsidR="00613B6E" w:rsidRDefault="00613B6E" w:rsidP="00613B6E">
      <w:pPr>
        <w:pStyle w:val="Heading4"/>
      </w:pPr>
      <w:r>
        <w:t>Reinsurance Example: Wisconsin</w:t>
      </w:r>
    </w:p>
    <w:p w14:paraId="6CCCA135" w14:textId="77777777" w:rsidR="00613B6E" w:rsidRDefault="00613B6E" w:rsidP="00613B6E">
      <w:r w:rsidRPr="0048533C">
        <w:t xml:space="preserve">Wisconsin’s initial </w:t>
      </w:r>
      <w:r>
        <w:t xml:space="preserve">Section </w:t>
      </w:r>
      <w:r w:rsidRPr="0048533C">
        <w:t>1332 waiver was approved in July</w:t>
      </w:r>
      <w:r>
        <w:t>,</w:t>
      </w:r>
      <w:r w:rsidRPr="0048533C">
        <w:t xml:space="preserve"> 2018</w:t>
      </w:r>
      <w:r>
        <w:t>,</w:t>
      </w:r>
      <w:r w:rsidRPr="0048533C">
        <w:t xml:space="preserve"> for January 1, 2019-December 31, 2023. Then, Wisconsin received a 5-year waiver extension that runs January 1, 2024-December 31, 2028. Through its 1332 waiver, Wisconsin operates a reinsurance program called the Wisconsin Healthcare Stability Plan (WIHSP). The goal of WIHSP is to create a stable individual insurance market where </w:t>
      </w:r>
      <w:r>
        <w:t>consumers</w:t>
      </w:r>
      <w:r w:rsidRPr="0048533C">
        <w:t xml:space="preserve"> have a choice of health plans</w:t>
      </w:r>
      <w:r>
        <w:t xml:space="preserve">. It aims to maintain </w:t>
      </w:r>
      <w:r w:rsidRPr="0048533C">
        <w:t>affordab</w:t>
      </w:r>
      <w:r>
        <w:t xml:space="preserve">ility of </w:t>
      </w:r>
      <w:r w:rsidRPr="0048533C">
        <w:t>premiums by reimbursing insurers for a portion of the high</w:t>
      </w:r>
      <w:r>
        <w:t>-</w:t>
      </w:r>
      <w:r w:rsidRPr="0048533C">
        <w:t xml:space="preserve">cost claims they paid for individuals in a given plan year. State </w:t>
      </w:r>
      <w:r>
        <w:t>law</w:t>
      </w:r>
      <w:r w:rsidRPr="0048533C">
        <w:t xml:space="preserve"> requires the </w:t>
      </w:r>
      <w:r>
        <w:t>c</w:t>
      </w:r>
      <w:r w:rsidRPr="0048533C">
        <w:t>ommissioner</w:t>
      </w:r>
      <w:r>
        <w:t xml:space="preserve"> of insurance</w:t>
      </w:r>
      <w:r w:rsidRPr="0048533C">
        <w:t xml:space="preserve"> to set payment parameters to define the portion of </w:t>
      </w:r>
      <w:r>
        <w:t xml:space="preserve">insurer </w:t>
      </w:r>
      <w:r w:rsidRPr="0048533C">
        <w:t xml:space="preserve">costs that </w:t>
      </w:r>
      <w:r>
        <w:t>WIHSP reimburses</w:t>
      </w:r>
      <w:r w:rsidRPr="0048533C">
        <w:t xml:space="preserve"> each year by May 15th before the applicable plan year. For plan year 2024, 15 individual market insurers received reinsurance payments. The total budget for WIHSP payments is $265</w:t>
      </w:r>
      <w:r>
        <w:t xml:space="preserve"> million</w:t>
      </w:r>
      <w:r w:rsidRPr="0048533C">
        <w:t xml:space="preserve"> per year which is comprised of the federal pass</w:t>
      </w:r>
      <w:r>
        <w:t>-</w:t>
      </w:r>
      <w:r w:rsidRPr="0048533C">
        <w:t xml:space="preserve">through and state funds. The amount of state funding that goes into the WIHSP budget each year varies based upon </w:t>
      </w:r>
      <w:r>
        <w:t xml:space="preserve">the level of </w:t>
      </w:r>
      <w:r w:rsidRPr="0048533C">
        <w:t>federal pass</w:t>
      </w:r>
      <w:r>
        <w:t>-</w:t>
      </w:r>
      <w:r w:rsidRPr="0048533C">
        <w:t xml:space="preserve">through received. The </w:t>
      </w:r>
      <w:r>
        <w:t xml:space="preserve">annual </w:t>
      </w:r>
      <w:r w:rsidRPr="0048533C">
        <w:t>federal pass</w:t>
      </w:r>
      <w:r>
        <w:t>-</w:t>
      </w:r>
      <w:r w:rsidRPr="0048533C">
        <w:t>through has ranged from $127</w:t>
      </w:r>
      <w:r>
        <w:t xml:space="preserve"> million </w:t>
      </w:r>
      <w:r w:rsidRPr="0048533C">
        <w:t xml:space="preserve"> to $229</w:t>
      </w:r>
      <w:r>
        <w:t xml:space="preserve"> million.</w:t>
      </w:r>
    </w:p>
    <w:p w14:paraId="7A0983DA" w14:textId="423FDB17" w:rsidR="00DC2712" w:rsidRDefault="00DC2712" w:rsidP="684BAE8A">
      <w:pPr>
        <w:spacing w:after="200" w:line="276" w:lineRule="auto"/>
        <w:rPr>
          <w:lang w:eastAsia="ja-JP"/>
        </w:rPr>
      </w:pPr>
    </w:p>
    <w:p w14:paraId="4FEE3F42" w14:textId="38915DD5" w:rsidR="00DC2712" w:rsidRPr="00006541" w:rsidRDefault="3DEA17F5" w:rsidP="00006541">
      <w:pPr>
        <w:pStyle w:val="Heading3"/>
        <w:rPr>
          <w:rFonts w:eastAsia="Times New Roman"/>
          <w:lang w:eastAsia="ja-JP"/>
        </w:rPr>
      </w:pPr>
      <w:bookmarkStart w:id="18" w:name="_Toc216861708"/>
      <w:r w:rsidRPr="00006541">
        <w:rPr>
          <w:rFonts w:eastAsia="Times New Roman"/>
          <w:lang w:eastAsia="ja-JP"/>
        </w:rPr>
        <w:t xml:space="preserve">Other </w:t>
      </w:r>
      <w:r w:rsidR="187D7840" w:rsidRPr="00006541">
        <w:rPr>
          <w:rFonts w:eastAsia="Times New Roman"/>
          <w:lang w:eastAsia="ja-JP"/>
        </w:rPr>
        <w:t>A</w:t>
      </w:r>
      <w:r w:rsidRPr="00006541">
        <w:rPr>
          <w:rFonts w:eastAsia="Times New Roman"/>
          <w:lang w:eastAsia="ja-JP"/>
        </w:rPr>
        <w:t xml:space="preserve">pproved </w:t>
      </w:r>
      <w:r w:rsidR="37144643" w:rsidRPr="00006541">
        <w:rPr>
          <w:rFonts w:eastAsia="Times New Roman"/>
          <w:lang w:eastAsia="ja-JP"/>
        </w:rPr>
        <w:t xml:space="preserve">1332 </w:t>
      </w:r>
      <w:r w:rsidR="3AFF220C" w:rsidRPr="00006541">
        <w:rPr>
          <w:rFonts w:eastAsia="Times New Roman"/>
          <w:lang w:eastAsia="ja-JP"/>
        </w:rPr>
        <w:t>W</w:t>
      </w:r>
      <w:r w:rsidRPr="00006541">
        <w:rPr>
          <w:rFonts w:eastAsia="Times New Roman"/>
          <w:lang w:eastAsia="ja-JP"/>
        </w:rPr>
        <w:t>aivers</w:t>
      </w:r>
      <w:bookmarkEnd w:id="18"/>
    </w:p>
    <w:p w14:paraId="755CF78B" w14:textId="196F4BD9" w:rsidR="79DAC5D8" w:rsidRDefault="79DAC5D8" w:rsidP="00006541">
      <w:pPr>
        <w:rPr>
          <w:rFonts w:eastAsia="Times New Roman"/>
          <w:lang w:eastAsia="ja-JP"/>
        </w:rPr>
      </w:pPr>
      <w:r w:rsidRPr="684BAE8A">
        <w:rPr>
          <w:rFonts w:eastAsia="Times New Roman"/>
          <w:lang w:eastAsia="ja-JP"/>
        </w:rPr>
        <w:t xml:space="preserve">In recent years, several states have used 1332 waivers in ways to impact the individual market beyond reinsurance.  Colorado’s experience is described in more detail below.  Other states that have recently sought and received approval for innovations beyond reinsurance include </w:t>
      </w:r>
      <w:r w:rsidR="34A39CC9" w:rsidRPr="684BAE8A">
        <w:rPr>
          <w:rFonts w:eastAsia="Times New Roman"/>
          <w:lang w:eastAsia="ja-JP"/>
        </w:rPr>
        <w:t xml:space="preserve">Nevada and Washington. </w:t>
      </w:r>
    </w:p>
    <w:p w14:paraId="778611A4" w14:textId="77777777" w:rsidR="6150E519" w:rsidRPr="00006541" w:rsidRDefault="6150E519" w:rsidP="00006541">
      <w:pPr>
        <w:pStyle w:val="Heading4"/>
      </w:pPr>
      <w:r w:rsidRPr="00006541">
        <w:t>Colorado Option Program</w:t>
      </w:r>
    </w:p>
    <w:p w14:paraId="237A2FFC" w14:textId="6819AD26" w:rsidR="684BAE8A" w:rsidRDefault="6150E519" w:rsidP="00006541">
      <w:pPr>
        <w:rPr>
          <w:rFonts w:eastAsia="Cambria"/>
        </w:rPr>
      </w:pPr>
      <w:r w:rsidRPr="684BAE8A">
        <w:rPr>
          <w:rFonts w:eastAsia="Cambria"/>
        </w:rPr>
        <w:t>The Colorado General Assembly passed House Bill 21-1232 in June 2021 to create the Colorado Option program and to allow the state to apply for a 1332 waiver amendment to capture passthrough savings generated from the Colorado Option. The driving principles of the Colorado Option program are to make health insurance in the individual and small group markets more accessible and affordable.</w:t>
      </w:r>
    </w:p>
    <w:p w14:paraId="5129D065" w14:textId="3CAE1A19" w:rsidR="684BAE8A" w:rsidRDefault="6150E519" w:rsidP="00006541">
      <w:pPr>
        <w:rPr>
          <w:rFonts w:eastAsia="Cambria"/>
        </w:rPr>
      </w:pPr>
      <w:r w:rsidRPr="684BAE8A">
        <w:rPr>
          <w:rFonts w:eastAsia="Cambria"/>
        </w:rPr>
        <w:lastRenderedPageBreak/>
        <w:t>To support these goals, the Colorado Option program creates a standardized health benefit plan offered in the individual and small group markets. Issuers must offer Colorado Option Plans at the bronze, silver, and gold metal levels in all counties where they offer non-Colorado Option plans. Colorado Option plans captured 47% of all enrollments on Colorado’s state-based exchange during Plan Year 2025 open enrollment.</w:t>
      </w:r>
    </w:p>
    <w:p w14:paraId="30C2E942" w14:textId="11FDFC3B" w:rsidR="6150E519" w:rsidRDefault="6150E519" w:rsidP="00006541">
      <w:pPr>
        <w:rPr>
          <w:rFonts w:eastAsia="Cambria"/>
        </w:rPr>
      </w:pPr>
      <w:r w:rsidRPr="7EB38FF3">
        <w:rPr>
          <w:rFonts w:eastAsia="Cambria"/>
        </w:rPr>
        <w:t>Health insurance companies are also required to reduce premiums on Colorado Option plans. These premium rate reduction requirements, which rely on the 1332 waiver authority, are incorporated into “target premiums” each year for issuers. These targets establish the measure, or “trigger”, by which a Colorado Option public hearing may be initiated</w:t>
      </w:r>
      <w:r w:rsidR="00142BCD" w:rsidRPr="7EB38FF3">
        <w:rPr>
          <w:rFonts w:eastAsia="Cambria"/>
        </w:rPr>
        <w:t>. I</w:t>
      </w:r>
      <w:r w:rsidRPr="7EB38FF3">
        <w:rPr>
          <w:rFonts w:eastAsia="Cambria"/>
        </w:rPr>
        <w:t>n cases where issuers fail to meet their targets</w:t>
      </w:r>
      <w:r w:rsidR="00142BCD" w:rsidRPr="7EB38FF3">
        <w:rPr>
          <w:rFonts w:eastAsia="Cambria"/>
        </w:rPr>
        <w:t xml:space="preserve">, the </w:t>
      </w:r>
      <w:r w:rsidR="0011738E">
        <w:rPr>
          <w:rFonts w:eastAsia="Cambria"/>
        </w:rPr>
        <w:t>C</w:t>
      </w:r>
      <w:r w:rsidR="00E1092F">
        <w:rPr>
          <w:rFonts w:eastAsia="Cambria"/>
        </w:rPr>
        <w:t xml:space="preserve">ommissioner of </w:t>
      </w:r>
      <w:r w:rsidR="0011738E">
        <w:rPr>
          <w:rFonts w:eastAsia="Cambria"/>
        </w:rPr>
        <w:t>I</w:t>
      </w:r>
      <w:r w:rsidR="00142BCD" w:rsidRPr="7EB38FF3">
        <w:rPr>
          <w:rFonts w:eastAsia="Cambria"/>
        </w:rPr>
        <w:t xml:space="preserve">nsurance is authorized to hold a public hearing to investigate the </w:t>
      </w:r>
      <w:r w:rsidR="00297E32" w:rsidRPr="7EB38FF3">
        <w:rPr>
          <w:rFonts w:eastAsia="Cambria"/>
        </w:rPr>
        <w:t xml:space="preserve">reasons why premiums remain </w:t>
      </w:r>
      <w:r w:rsidR="0011738E">
        <w:rPr>
          <w:rFonts w:eastAsia="Cambria"/>
        </w:rPr>
        <w:t>above the targets</w:t>
      </w:r>
      <w:r w:rsidRPr="7EB38FF3">
        <w:rPr>
          <w:rFonts w:eastAsia="Cambria"/>
        </w:rPr>
        <w:t>. These premium rate reduction requirements and the associated public hearing process give the Commissioner of Insurance the ability to set a reimbursement rate between an issuer and hospital/health-care provider</w:t>
      </w:r>
      <w:r w:rsidR="00503D90">
        <w:rPr>
          <w:rFonts w:eastAsia="Cambria"/>
        </w:rPr>
        <w:t xml:space="preserve"> for Colorado Option plans</w:t>
      </w:r>
      <w:r w:rsidRPr="7EB38FF3">
        <w:rPr>
          <w:rFonts w:eastAsia="Cambria"/>
        </w:rPr>
        <w:t>, which then passes on savings to consumers in the form of lower premiums.</w:t>
      </w:r>
      <w:r w:rsidR="00254BE9">
        <w:rPr>
          <w:rFonts w:eastAsia="Cambria"/>
        </w:rPr>
        <w:t xml:space="preserve"> </w:t>
      </w:r>
      <w:r w:rsidR="00254BE9" w:rsidRPr="00254BE9">
        <w:rPr>
          <w:rFonts w:eastAsia="Cambria"/>
        </w:rPr>
        <w:t>In 202</w:t>
      </w:r>
      <w:r w:rsidR="00254BE9">
        <w:rPr>
          <w:rFonts w:eastAsia="Cambria"/>
        </w:rPr>
        <w:t>4</w:t>
      </w:r>
      <w:r w:rsidR="00254BE9" w:rsidRPr="00254BE9">
        <w:rPr>
          <w:rFonts w:eastAsia="Cambria"/>
        </w:rPr>
        <w:t xml:space="preserve">, Colorado’s insurance commissioner vacated all adjudicatory hearings because carriers and hospitals negotiated reimbursement rate reductions to lower premiums </w:t>
      </w:r>
      <w:r w:rsidR="00503D90">
        <w:rPr>
          <w:rFonts w:eastAsia="Cambria"/>
        </w:rPr>
        <w:t>for</w:t>
      </w:r>
      <w:r w:rsidR="00254BE9" w:rsidRPr="00254BE9">
        <w:rPr>
          <w:rFonts w:eastAsia="Cambria"/>
        </w:rPr>
        <w:t xml:space="preserve"> Colorado Option plans.</w:t>
      </w:r>
      <w:r w:rsidR="00984F63">
        <w:rPr>
          <w:rStyle w:val="FootnoteReference"/>
          <w:rFonts w:eastAsia="Cambria"/>
        </w:rPr>
        <w:footnoteReference w:id="16"/>
      </w:r>
    </w:p>
    <w:p w14:paraId="7601DB2D" w14:textId="13CD05A1" w:rsidR="684BAE8A" w:rsidRDefault="684BAE8A" w:rsidP="684BAE8A">
      <w:pPr>
        <w:rPr>
          <w:rFonts w:ascii="Cambria" w:eastAsia="Cambria" w:hAnsi="Cambria" w:cs="Cambria"/>
          <w:sz w:val="22"/>
          <w:szCs w:val="22"/>
        </w:rPr>
      </w:pPr>
    </w:p>
    <w:p w14:paraId="30B4B44B" w14:textId="476466E7" w:rsidR="00657C5D" w:rsidRPr="00006541" w:rsidRDefault="3DEA17F5" w:rsidP="00006541">
      <w:pPr>
        <w:pStyle w:val="Heading3"/>
        <w:rPr>
          <w:rFonts w:eastAsia="Times New Roman"/>
          <w:lang w:eastAsia="ja-JP"/>
        </w:rPr>
      </w:pPr>
      <w:bookmarkStart w:id="19" w:name="_Toc216861709"/>
      <w:r w:rsidRPr="00006541">
        <w:rPr>
          <w:rFonts w:eastAsia="Times New Roman"/>
          <w:lang w:eastAsia="ja-JP"/>
        </w:rPr>
        <w:t xml:space="preserve">Waivers </w:t>
      </w:r>
      <w:r w:rsidR="232FA8FA" w:rsidRPr="00006541">
        <w:rPr>
          <w:rFonts w:eastAsia="Times New Roman"/>
          <w:lang w:eastAsia="ja-JP"/>
        </w:rPr>
        <w:t>Applied for But Not Approved</w:t>
      </w:r>
      <w:bookmarkEnd w:id="19"/>
    </w:p>
    <w:p w14:paraId="3012600D" w14:textId="1DE21991" w:rsidR="00AF51BA" w:rsidRPr="00AF51BA" w:rsidRDefault="232FA8FA" w:rsidP="00006541">
      <w:pPr>
        <w:rPr>
          <w:rFonts w:eastAsia="Times New Roman"/>
          <w:lang w:eastAsia="ja-JP"/>
        </w:rPr>
      </w:pPr>
      <w:r w:rsidRPr="684BAE8A">
        <w:rPr>
          <w:rFonts w:eastAsia="Times New Roman"/>
          <w:lang w:eastAsia="ja-JP"/>
        </w:rPr>
        <w:t xml:space="preserve">A handful of states have applied for section 1332 waivers and have not received approval – either due to the state withdrawing the application, the federal government determining that an application was incomplete, or </w:t>
      </w:r>
      <w:r w:rsidR="2C4D261F" w:rsidRPr="684BAE8A">
        <w:rPr>
          <w:rFonts w:eastAsia="Times New Roman"/>
          <w:lang w:eastAsia="ja-JP"/>
        </w:rPr>
        <w:t xml:space="preserve">receiving a denial </w:t>
      </w:r>
      <w:r w:rsidR="2F1460A4" w:rsidRPr="684BAE8A">
        <w:rPr>
          <w:rFonts w:eastAsia="Times New Roman"/>
          <w:lang w:eastAsia="ja-JP"/>
        </w:rPr>
        <w:t xml:space="preserve">or a revocation of </w:t>
      </w:r>
      <w:r w:rsidR="2C4D261F" w:rsidRPr="684BAE8A">
        <w:rPr>
          <w:rFonts w:eastAsia="Times New Roman"/>
          <w:lang w:eastAsia="ja-JP"/>
        </w:rPr>
        <w:t xml:space="preserve">the application.  </w:t>
      </w:r>
      <w:r w:rsidR="57478F99" w:rsidRPr="684BAE8A">
        <w:rPr>
          <w:rFonts w:eastAsia="Times New Roman"/>
          <w:lang w:eastAsia="ja-JP"/>
        </w:rPr>
        <w:t xml:space="preserve">Examples of </w:t>
      </w:r>
      <w:r w:rsidR="0AD658FB" w:rsidRPr="684BAE8A">
        <w:rPr>
          <w:rFonts w:eastAsia="Times New Roman"/>
          <w:lang w:eastAsia="ja-JP"/>
        </w:rPr>
        <w:t>these applications are below</w:t>
      </w:r>
      <w:r w:rsidR="57478F99" w:rsidRPr="684BAE8A">
        <w:rPr>
          <w:rFonts w:eastAsia="Times New Roman"/>
          <w:lang w:eastAsia="ja-JP"/>
        </w:rPr>
        <w:t xml:space="preserve">. </w:t>
      </w:r>
    </w:p>
    <w:p w14:paraId="3BC1710A" w14:textId="793495AF" w:rsidR="00AF51BA" w:rsidRPr="00AF51BA" w:rsidRDefault="149FABDC" w:rsidP="00006541">
      <w:pPr>
        <w:pStyle w:val="Heading4"/>
        <w:rPr>
          <w:rFonts w:eastAsia="Times New Roman"/>
          <w:lang w:eastAsia="ja-JP"/>
        </w:rPr>
      </w:pPr>
      <w:r w:rsidRPr="684BAE8A">
        <w:rPr>
          <w:rFonts w:eastAsia="Times New Roman"/>
          <w:lang w:eastAsia="ja-JP"/>
        </w:rPr>
        <w:t>Georgia</w:t>
      </w:r>
    </w:p>
    <w:p w14:paraId="48118EC1" w14:textId="19BC2420" w:rsidR="00AF51BA" w:rsidRPr="00AF51BA" w:rsidRDefault="149FABDC" w:rsidP="00006541">
      <w:pPr>
        <w:rPr>
          <w:rFonts w:eastAsia="Cambria" w:cs="Cambria"/>
          <w:color w:val="0563C1"/>
          <w:u w:val="single"/>
          <w:vertAlign w:val="superscript"/>
        </w:rPr>
      </w:pPr>
      <w:r w:rsidRPr="684BAE8A">
        <w:rPr>
          <w:rFonts w:eastAsia="Times New Roman"/>
          <w:lang w:eastAsia="ja-JP"/>
        </w:rPr>
        <w:t xml:space="preserve">Georgia originally received approval for its 1332 waiver in November 2020 effective for Plan Year 2022.  This </w:t>
      </w:r>
      <w:r w:rsidR="478855FF" w:rsidRPr="684BAE8A">
        <w:rPr>
          <w:rFonts w:eastAsia="Times New Roman"/>
          <w:lang w:eastAsia="ja-JP"/>
        </w:rPr>
        <w:t>waiver included a reinsurance program (“Part I”) and the Georgia Access Model (“Part II”), where private entities such as carriers, web-brokers, and agents would provide marketing, outreach, and the fro</w:t>
      </w:r>
      <w:r w:rsidR="6C03B9E6" w:rsidRPr="684BAE8A">
        <w:rPr>
          <w:rFonts w:eastAsia="Times New Roman"/>
          <w:lang w:eastAsia="ja-JP"/>
        </w:rPr>
        <w:t>nt-end shopping experience for consumers.</w:t>
      </w:r>
      <w:r w:rsidR="00AF51BA" w:rsidRPr="684BAE8A">
        <w:rPr>
          <w:rStyle w:val="FootnoteReference"/>
          <w:rFonts w:ascii="Cambria" w:eastAsia="Times New Roman" w:hAnsi="Cambria" w:cs="Times New Roman"/>
          <w:sz w:val="22"/>
          <w:szCs w:val="22"/>
          <w:lang w:eastAsia="ja-JP"/>
        </w:rPr>
        <w:footnoteReference w:id="17"/>
      </w:r>
      <w:r w:rsidR="6C03B9E6" w:rsidRPr="684BAE8A">
        <w:rPr>
          <w:rFonts w:eastAsia="Times New Roman"/>
          <w:lang w:eastAsia="ja-JP"/>
        </w:rPr>
        <w:t xml:space="preserve">  </w:t>
      </w:r>
      <w:r w:rsidR="2E1F048F" w:rsidRPr="684BAE8A">
        <w:rPr>
          <w:rFonts w:eastAsia="Times New Roman"/>
          <w:lang w:eastAsia="ja-JP"/>
        </w:rPr>
        <w:t>However</w:t>
      </w:r>
      <w:r w:rsidR="6C03B9E6" w:rsidRPr="684BAE8A">
        <w:rPr>
          <w:rFonts w:eastAsia="Times New Roman"/>
          <w:lang w:eastAsia="ja-JP"/>
        </w:rPr>
        <w:t xml:space="preserve">, </w:t>
      </w:r>
      <w:r w:rsidR="2E1F048F" w:rsidRPr="684BAE8A">
        <w:rPr>
          <w:rFonts w:eastAsia="Times New Roman"/>
          <w:lang w:eastAsia="ja-JP"/>
        </w:rPr>
        <w:t xml:space="preserve">federal administrations changed from the Trump Administration to the Biden Administration in January of 2021, and in June 2021, CMS sent correspondence to Georgia </w:t>
      </w:r>
      <w:r w:rsidR="2E1F048F" w:rsidRPr="684BAE8A">
        <w:rPr>
          <w:rFonts w:eastAsia="Times New Roman"/>
          <w:lang w:eastAsia="ja-JP"/>
        </w:rPr>
        <w:lastRenderedPageBreak/>
        <w:t>asking for updated analyses on Part II of its waiver</w:t>
      </w:r>
      <w:r w:rsidR="6D42D08F" w:rsidRPr="684BAE8A">
        <w:rPr>
          <w:rFonts w:eastAsia="Times New Roman"/>
          <w:lang w:eastAsia="ja-JP"/>
        </w:rPr>
        <w:t xml:space="preserve"> in the context of new federal priorities and guidance</w:t>
      </w:r>
      <w:r w:rsidR="2E1F048F" w:rsidRPr="684BAE8A">
        <w:rPr>
          <w:rFonts w:eastAsia="Times New Roman"/>
          <w:lang w:eastAsia="ja-JP"/>
        </w:rPr>
        <w:t xml:space="preserve">.  </w:t>
      </w:r>
      <w:r w:rsidR="38F2AC8A" w:rsidRPr="684BAE8A">
        <w:rPr>
          <w:rFonts w:eastAsia="Times New Roman"/>
          <w:lang w:eastAsia="ja-JP"/>
        </w:rPr>
        <w:t xml:space="preserve">On August 9, 2022, CMS suspended implementation of the Georgia Access Model, citing lack of compliance with the </w:t>
      </w:r>
      <w:r w:rsidR="09024F3A" w:rsidRPr="684BAE8A">
        <w:rPr>
          <w:rFonts w:eastAsia="Times New Roman"/>
          <w:lang w:eastAsia="ja-JP"/>
        </w:rPr>
        <w:t>coverage guardrail that requires t</w:t>
      </w:r>
      <w:r w:rsidR="09024F3A" w:rsidRPr="684BAE8A">
        <w:rPr>
          <w:rFonts w:eastAsia="Cambria" w:cs="Cambria"/>
        </w:rPr>
        <w:t>hat the number of people with health coverage be comparable with the waiver as to without the waiver.</w:t>
      </w:r>
    </w:p>
    <w:p w14:paraId="4DD41D36" w14:textId="72EC366F" w:rsidR="00AF51BA" w:rsidRPr="00AF51BA" w:rsidRDefault="149FABDC" w:rsidP="00006541">
      <w:pPr>
        <w:pStyle w:val="Heading4"/>
        <w:rPr>
          <w:rFonts w:eastAsia="Times New Roman"/>
          <w:lang w:eastAsia="ja-JP"/>
        </w:rPr>
      </w:pPr>
      <w:r w:rsidRPr="684BAE8A">
        <w:rPr>
          <w:rFonts w:eastAsia="Times New Roman"/>
          <w:lang w:eastAsia="ja-JP"/>
        </w:rPr>
        <w:t>Iowa</w:t>
      </w:r>
    </w:p>
    <w:p w14:paraId="77C2300E" w14:textId="39F890DA" w:rsidR="00AF51BA" w:rsidRPr="00AF51BA" w:rsidRDefault="1558A966" w:rsidP="00006541">
      <w:pPr>
        <w:rPr>
          <w:rFonts w:eastAsia="Cambria"/>
        </w:rPr>
      </w:pPr>
      <w:r w:rsidRPr="684BAE8A">
        <w:rPr>
          <w:rFonts w:eastAsia="Cambria"/>
          <w:lang w:val="en-US"/>
        </w:rPr>
        <w:t>On August 21, 2017, Iowa submitted a 1332 State Innovation Waiver application, known as the Iowa Stopgap Measure, to the U.S Treasury Department and the U.S. Department of Health and Human Services. The I</w:t>
      </w:r>
      <w:r w:rsidR="212E69E4" w:rsidRPr="684BAE8A">
        <w:rPr>
          <w:rFonts w:eastAsia="Cambria"/>
          <w:lang w:val="en-US"/>
        </w:rPr>
        <w:t>owa Stopgap Measure</w:t>
      </w:r>
      <w:r w:rsidRPr="684BAE8A">
        <w:rPr>
          <w:rFonts w:eastAsia="Cambria"/>
          <w:lang w:val="en-US"/>
        </w:rPr>
        <w:t xml:space="preserve"> was designed to stabilize Iowa's Affordable Care Act (ACA)–compliant individual market through a series of modifications: (1) a requirement that all insurers in the individual market offer a single standard plan, similar to the ACA's silver plan; (2) elimination of CSR subsidies for those with incomes between 200 and 250 percent of the federal poverty level (FPL); (3) a new premium tax credit structure (tax credits would vary by age and income and would be extended to individual market enrollees with incomes above 400 percent of the FPL); and (4) federally funded reinsurance on all annual individual market claims above $100,000.</w:t>
      </w:r>
      <w:r w:rsidR="00AF51BA" w:rsidRPr="684BAE8A">
        <w:rPr>
          <w:rStyle w:val="FootnoteReference"/>
          <w:rFonts w:ascii="Cambria" w:eastAsia="Cambria" w:hAnsi="Cambria" w:cs="Cambria"/>
          <w:sz w:val="22"/>
          <w:szCs w:val="22"/>
          <w:lang w:val="en-US"/>
        </w:rPr>
        <w:footnoteReference w:id="18"/>
      </w:r>
    </w:p>
    <w:p w14:paraId="52C65C4C" w14:textId="7056FB80" w:rsidR="00AF51BA" w:rsidRPr="00AF51BA" w:rsidRDefault="7F438288" w:rsidP="00006541">
      <w:pPr>
        <w:rPr>
          <w:rFonts w:eastAsia="Times New Roman" w:cs="Times New Roman"/>
          <w:lang w:eastAsia="ja-JP"/>
        </w:rPr>
      </w:pPr>
      <w:r w:rsidRPr="684BAE8A">
        <w:rPr>
          <w:rFonts w:eastAsia="Cambria"/>
          <w:lang w:val="en-US"/>
        </w:rPr>
        <w:t xml:space="preserve">Iowa submitted additional </w:t>
      </w:r>
      <w:r w:rsidR="3D69D3CE" w:rsidRPr="684BAE8A">
        <w:rPr>
          <w:rFonts w:eastAsia="Cambria"/>
          <w:lang w:val="en-US"/>
        </w:rPr>
        <w:t>information to address CMS questions about compliance of the Measure with the 1332 guardrails. However, after additional questions and information from CMS, i</w:t>
      </w:r>
      <w:r w:rsidR="0B63F429" w:rsidRPr="684BAE8A">
        <w:rPr>
          <w:rFonts w:eastAsia="Times New Roman" w:cs="Times New Roman"/>
          <w:lang w:eastAsia="ja-JP"/>
        </w:rPr>
        <w:t xml:space="preserve">n October of 2017, Iowa’s Insurance Department submitted a letter of withdrawal for its 1332 waiver application, indicating that 1332 waivers are not designed to fix the collapsing individual market </w:t>
      </w:r>
      <w:r w:rsidR="66BEDD12" w:rsidRPr="684BAE8A">
        <w:rPr>
          <w:rFonts w:eastAsia="Times New Roman" w:cs="Times New Roman"/>
          <w:lang w:eastAsia="ja-JP"/>
        </w:rPr>
        <w:t>and that Congress needed to pass legislation to address the circumstances.</w:t>
      </w:r>
      <w:r w:rsidR="00AF51BA" w:rsidRPr="005863D3">
        <w:rPr>
          <w:rStyle w:val="FootnoteReference"/>
          <w:rFonts w:eastAsia="Times New Roman" w:cs="Times New Roman"/>
          <w:sz w:val="22"/>
          <w:szCs w:val="22"/>
          <w:lang w:eastAsia="ja-JP"/>
        </w:rPr>
        <w:footnoteReference w:id="19"/>
      </w:r>
      <w:r w:rsidR="66BEDD12" w:rsidRPr="005863D3">
        <w:rPr>
          <w:rFonts w:eastAsia="Times New Roman" w:cs="Times New Roman"/>
          <w:lang w:eastAsia="ja-JP"/>
        </w:rPr>
        <w:t xml:space="preserve"> </w:t>
      </w:r>
    </w:p>
    <w:p w14:paraId="64E22585" w14:textId="77777777" w:rsidR="00AF51BA" w:rsidRPr="00DC2712" w:rsidRDefault="00AF51BA" w:rsidP="00AF51BA">
      <w:pPr>
        <w:pStyle w:val="ListParagraph"/>
        <w:spacing w:after="200" w:line="276" w:lineRule="auto"/>
        <w:ind w:left="1080"/>
        <w:outlineLvl w:val="1"/>
        <w:rPr>
          <w:rFonts w:ascii="Cambria" w:eastAsia="Times New Roman" w:hAnsi="Cambria" w:cs="Times New Roman"/>
          <w:sz w:val="22"/>
          <w:szCs w:val="22"/>
          <w:lang w:eastAsia="ja-JP"/>
        </w:rPr>
      </w:pPr>
    </w:p>
    <w:p w14:paraId="149F8B0D" w14:textId="513922DE" w:rsidR="00EB15A7" w:rsidRPr="00006541" w:rsidRDefault="00657C5D" w:rsidP="00006541">
      <w:pPr>
        <w:pStyle w:val="Heading2"/>
        <w:rPr>
          <w:rFonts w:eastAsia="Times New Roman"/>
          <w:lang w:eastAsia="ja-JP"/>
        </w:rPr>
      </w:pPr>
      <w:bookmarkStart w:id="20" w:name="_Toc216861710"/>
      <w:r w:rsidRPr="00006541">
        <w:rPr>
          <w:rFonts w:eastAsia="Times New Roman"/>
          <w:lang w:eastAsia="ja-JP"/>
        </w:rPr>
        <w:t>Considerations for consumers, states, and insurance markets</w:t>
      </w:r>
      <w:bookmarkEnd w:id="20"/>
    </w:p>
    <w:p w14:paraId="18E75B91" w14:textId="77777777" w:rsidR="00EB15A7" w:rsidRPr="00006541" w:rsidRDefault="00657C5D" w:rsidP="00006541">
      <w:pPr>
        <w:pStyle w:val="Heading3"/>
        <w:rPr>
          <w:rFonts w:eastAsia="Times New Roman"/>
          <w:lang w:eastAsia="ja-JP"/>
        </w:rPr>
      </w:pPr>
      <w:bookmarkStart w:id="21" w:name="_Toc216861711"/>
      <w:r w:rsidRPr="00006541">
        <w:rPr>
          <w:rFonts w:eastAsia="Times New Roman"/>
          <w:lang w:eastAsia="ja-JP"/>
        </w:rPr>
        <w:t>Reinsurance</w:t>
      </w:r>
      <w:bookmarkEnd w:id="21"/>
    </w:p>
    <w:p w14:paraId="36328BB9" w14:textId="77777777" w:rsidR="00073F2E" w:rsidRPr="00BB5993" w:rsidRDefault="00657C5D" w:rsidP="00BB5993">
      <w:pPr>
        <w:pStyle w:val="Heading4"/>
        <w:rPr>
          <w:rFonts w:eastAsia="Times New Roman"/>
          <w:lang w:eastAsia="ja-JP"/>
        </w:rPr>
      </w:pPr>
      <w:r w:rsidRPr="00BB5993">
        <w:rPr>
          <w:rFonts w:eastAsia="Times New Roman"/>
          <w:lang w:eastAsia="ja-JP"/>
        </w:rPr>
        <w:t>Consumer coverage impacts</w:t>
      </w:r>
    </w:p>
    <w:p w14:paraId="6AD3C3A2" w14:textId="1D69E10A" w:rsidR="00BB5993" w:rsidRPr="00BB5993" w:rsidRDefault="00BB5993" w:rsidP="7EB38FF3">
      <w:pPr>
        <w:spacing w:after="200" w:line="276" w:lineRule="auto"/>
        <w:rPr>
          <w:lang w:eastAsia="ja-JP"/>
        </w:rPr>
      </w:pPr>
      <w:r w:rsidRPr="7EB38FF3">
        <w:rPr>
          <w:rFonts w:eastAsia="Times New Roman"/>
          <w:lang w:val="en-US" w:eastAsia="ja-JP"/>
        </w:rPr>
        <w:t>State-based reinsurance programs have successfully lowered base premiums, aiding in the affordability of coverage for some consumers</w:t>
      </w:r>
      <w:r w:rsidR="00722F8B">
        <w:rPr>
          <w:rFonts w:eastAsia="Times New Roman"/>
          <w:lang w:val="en-US" w:eastAsia="ja-JP"/>
        </w:rPr>
        <w:t xml:space="preserve">, generally those </w:t>
      </w:r>
      <w:r w:rsidR="00FA2CBA">
        <w:rPr>
          <w:rFonts w:eastAsia="Times New Roman"/>
          <w:lang w:val="en-US" w:eastAsia="ja-JP"/>
        </w:rPr>
        <w:t>who do not qualify for premium tax credits</w:t>
      </w:r>
      <w:r w:rsidRPr="7EB38FF3">
        <w:rPr>
          <w:rFonts w:eastAsia="Times New Roman"/>
          <w:lang w:val="en-US" w:eastAsia="ja-JP"/>
        </w:rPr>
        <w:t xml:space="preserve">. </w:t>
      </w:r>
      <w:r w:rsidR="3E99952B" w:rsidRPr="7EB38FF3">
        <w:rPr>
          <w:rFonts w:eastAsia="Times New Roman"/>
          <w:lang w:val="en-US" w:eastAsia="ja-JP"/>
        </w:rPr>
        <w:t xml:space="preserve">At this point, the waivers are relatively straightforward in design, meet </w:t>
      </w:r>
      <w:r w:rsidR="3E99952B" w:rsidRPr="7EB38FF3">
        <w:rPr>
          <w:rFonts w:eastAsia="Times New Roman"/>
          <w:lang w:val="en-US" w:eastAsia="ja-JP"/>
        </w:rPr>
        <w:lastRenderedPageBreak/>
        <w:t>the ACA’s statutory guardrails, and may improve is</w:t>
      </w:r>
      <w:r w:rsidR="4D7D7007" w:rsidRPr="7EB38FF3">
        <w:rPr>
          <w:rFonts w:eastAsia="Times New Roman"/>
          <w:lang w:val="en-US" w:eastAsia="ja-JP"/>
        </w:rPr>
        <w:t xml:space="preserve">suer participation and reduce year to year volatility. </w:t>
      </w:r>
      <w:r w:rsidR="3E99952B" w:rsidRPr="7EB38FF3">
        <w:rPr>
          <w:rFonts w:ascii="Cambria" w:eastAsia="Times New Roman" w:hAnsi="Cambria" w:cs="Times New Roman"/>
          <w:i/>
          <w:iCs/>
          <w:sz w:val="22"/>
          <w:szCs w:val="22"/>
          <w:lang w:eastAsia="ja-JP"/>
        </w:rPr>
        <w:t xml:space="preserve"> </w:t>
      </w:r>
    </w:p>
    <w:p w14:paraId="46942D42" w14:textId="0BF782C7" w:rsidR="00BB5993" w:rsidRPr="00BB5993" w:rsidRDefault="00BB5993" w:rsidP="7EB38FF3">
      <w:pPr>
        <w:rPr>
          <w:rFonts w:eastAsia="Times New Roman"/>
          <w:lang w:val="en-US" w:eastAsia="ja-JP"/>
        </w:rPr>
      </w:pPr>
      <w:r w:rsidRPr="7EB38FF3">
        <w:rPr>
          <w:rFonts w:eastAsia="Times New Roman"/>
          <w:lang w:val="en-US" w:eastAsia="ja-JP"/>
        </w:rPr>
        <w:t>However, premium tax credits insulate m</w:t>
      </w:r>
      <w:r w:rsidR="14A0FB51" w:rsidRPr="7EB38FF3">
        <w:rPr>
          <w:rFonts w:eastAsia="Times New Roman"/>
          <w:lang w:val="en-US" w:eastAsia="ja-JP"/>
        </w:rPr>
        <w:t>any</w:t>
      </w:r>
      <w:r w:rsidRPr="7EB38FF3">
        <w:rPr>
          <w:rFonts w:eastAsia="Times New Roman"/>
          <w:lang w:val="en-US" w:eastAsia="ja-JP"/>
        </w:rPr>
        <w:t xml:space="preserve"> </w:t>
      </w:r>
      <w:r w:rsidR="5F24CF6F" w:rsidRPr="7EB38FF3">
        <w:rPr>
          <w:rFonts w:eastAsia="Times New Roman"/>
          <w:lang w:val="en-US" w:eastAsia="ja-JP"/>
        </w:rPr>
        <w:t xml:space="preserve">lower income </w:t>
      </w:r>
      <w:r w:rsidRPr="7EB38FF3">
        <w:rPr>
          <w:rFonts w:eastAsia="Times New Roman"/>
          <w:lang w:val="en-US" w:eastAsia="ja-JP"/>
        </w:rPr>
        <w:t xml:space="preserve">individual market </w:t>
      </w:r>
      <w:proofErr w:type="gramStart"/>
      <w:r w:rsidRPr="7EB38FF3">
        <w:rPr>
          <w:rFonts w:eastAsia="Times New Roman"/>
          <w:lang w:val="en-US" w:eastAsia="ja-JP"/>
        </w:rPr>
        <w:t>enrollees</w:t>
      </w:r>
      <w:proofErr w:type="gramEnd"/>
      <w:r w:rsidRPr="7EB38FF3">
        <w:rPr>
          <w:rFonts w:eastAsia="Times New Roman"/>
          <w:lang w:val="en-US" w:eastAsia="ja-JP"/>
        </w:rPr>
        <w:t xml:space="preserve"> from base premium costs.  Consumers eligible for premium tax credits pay a set percent of their household income for benchmark plans, </w:t>
      </w:r>
      <w:proofErr w:type="gramStart"/>
      <w:r w:rsidRPr="7EB38FF3">
        <w:rPr>
          <w:rFonts w:eastAsia="Times New Roman"/>
          <w:lang w:val="en-US" w:eastAsia="ja-JP"/>
        </w:rPr>
        <w:t>whether or not</w:t>
      </w:r>
      <w:proofErr w:type="gramEnd"/>
      <w:r w:rsidRPr="7EB38FF3">
        <w:rPr>
          <w:rFonts w:eastAsia="Times New Roman"/>
          <w:lang w:val="en-US" w:eastAsia="ja-JP"/>
        </w:rPr>
        <w:t xml:space="preserve"> a reinsurance program is in effect.</w:t>
      </w:r>
      <w:r w:rsidR="1A957A34" w:rsidRPr="7EB38FF3">
        <w:rPr>
          <w:rFonts w:eastAsia="Times New Roman"/>
          <w:lang w:val="en-US" w:eastAsia="ja-JP"/>
        </w:rPr>
        <w:t xml:space="preserve"> </w:t>
      </w:r>
      <w:r w:rsidRPr="7EB38FF3">
        <w:rPr>
          <w:rFonts w:eastAsia="Times New Roman"/>
          <w:lang w:val="en-US" w:eastAsia="ja-JP"/>
        </w:rPr>
        <w:t xml:space="preserve"> </w:t>
      </w:r>
    </w:p>
    <w:p w14:paraId="2EA2B69A" w14:textId="1336FFEC" w:rsidR="00073F2E" w:rsidRDefault="00073F2E" w:rsidP="7EB38FF3">
      <w:pPr>
        <w:rPr>
          <w:rFonts w:ascii="Cambria" w:eastAsia="Times New Roman" w:hAnsi="Cambria" w:cs="Times New Roman"/>
          <w:i/>
          <w:iCs/>
          <w:sz w:val="22"/>
          <w:szCs w:val="22"/>
          <w:lang w:eastAsia="ja-JP"/>
        </w:rPr>
      </w:pPr>
    </w:p>
    <w:p w14:paraId="1D775291" w14:textId="6D1CA02E" w:rsidR="00073F2E" w:rsidRDefault="00657C5D" w:rsidP="7EB38FF3">
      <w:pPr>
        <w:rPr>
          <w:rFonts w:eastAsia="Times New Roman"/>
          <w:i/>
          <w:iCs/>
          <w:color w:val="005CB9" w:themeColor="accent1"/>
          <w:lang w:eastAsia="ja-JP"/>
        </w:rPr>
      </w:pPr>
      <w:r w:rsidRPr="7EB38FF3">
        <w:rPr>
          <w:rFonts w:eastAsia="Times New Roman"/>
          <w:i/>
          <w:iCs/>
          <w:color w:val="005CB9" w:themeColor="accent1"/>
          <w:lang w:eastAsia="ja-JP"/>
        </w:rPr>
        <w:t>Budget</w:t>
      </w:r>
    </w:p>
    <w:p w14:paraId="4537E9FD" w14:textId="77777777" w:rsidR="00C85EF8" w:rsidRDefault="00C85EF8" w:rsidP="00C85EF8">
      <w:pPr>
        <w:rPr>
          <w:rFonts w:eastAsia="Times New Roman"/>
          <w:lang w:eastAsia="ja-JP"/>
        </w:rPr>
      </w:pPr>
      <w:r w:rsidRPr="7EB38FF3">
        <w:rPr>
          <w:rFonts w:eastAsia="Times New Roman"/>
          <w:lang w:eastAsia="ja-JP"/>
        </w:rPr>
        <w:t>A key consideration for states is how to fund the state share of reinsurance costs. Reinsurance program costs are determined by the program structure and the claims experience of participating insurers, while federal pass through funds are set by the amount of premium reduction a reinsurance program is expected to achieve. The state is responsible for covering any difference between the program costs and available federal pass through funds.</w:t>
      </w:r>
    </w:p>
    <w:p w14:paraId="1F5E840B" w14:textId="714FA56B" w:rsidR="00810718" w:rsidRDefault="00C85EF8" w:rsidP="00C85EF8">
      <w:pPr>
        <w:rPr>
          <w:rFonts w:eastAsia="Times New Roman"/>
          <w:lang w:eastAsia="ja-JP"/>
        </w:rPr>
      </w:pPr>
      <w:r w:rsidRPr="7EB38FF3">
        <w:rPr>
          <w:rFonts w:eastAsia="Times New Roman"/>
          <w:lang w:eastAsia="ja-JP"/>
        </w:rPr>
        <w:t xml:space="preserve">The share of costs </w:t>
      </w:r>
      <w:r w:rsidR="00391E3E" w:rsidRPr="7EB38FF3">
        <w:rPr>
          <w:rFonts w:eastAsia="Times New Roman"/>
          <w:lang w:eastAsia="ja-JP"/>
        </w:rPr>
        <w:t>covered by federal funds varies by state and by year</w:t>
      </w:r>
      <w:r w:rsidR="005B6B75" w:rsidRPr="7EB38FF3">
        <w:rPr>
          <w:rFonts w:eastAsia="Times New Roman"/>
          <w:lang w:eastAsia="ja-JP"/>
        </w:rPr>
        <w:t xml:space="preserve"> depending on state-specific factors and changes in policy. Federal funds can cover virtually all of a stat</w:t>
      </w:r>
      <w:r w:rsidR="0074161F" w:rsidRPr="7EB38FF3">
        <w:rPr>
          <w:rFonts w:eastAsia="Times New Roman"/>
          <w:lang w:eastAsia="ja-JP"/>
        </w:rPr>
        <w:t xml:space="preserve">e reinsurance program’s costs or less than half. </w:t>
      </w:r>
      <w:r w:rsidR="00900284" w:rsidRPr="7EB38FF3">
        <w:rPr>
          <w:rFonts w:eastAsia="Times New Roman"/>
          <w:lang w:eastAsia="ja-JP"/>
        </w:rPr>
        <w:t xml:space="preserve">Policies that increase premium tax credits </w:t>
      </w:r>
      <w:r w:rsidR="004A356A" w:rsidRPr="7EB38FF3">
        <w:rPr>
          <w:rFonts w:eastAsia="Times New Roman"/>
          <w:lang w:eastAsia="ja-JP"/>
        </w:rPr>
        <w:t>due to state residents, such as the enhanced premium tax credits, boost the pass through funds available to a state</w:t>
      </w:r>
      <w:r w:rsidR="00810718" w:rsidRPr="7EB38FF3">
        <w:rPr>
          <w:rFonts w:eastAsia="Times New Roman"/>
          <w:lang w:eastAsia="ja-JP"/>
        </w:rPr>
        <w:t xml:space="preserve">. </w:t>
      </w:r>
      <w:r w:rsidR="00432CC2" w:rsidRPr="7EB38FF3">
        <w:rPr>
          <w:rFonts w:eastAsia="Times New Roman"/>
          <w:lang w:eastAsia="ja-JP"/>
        </w:rPr>
        <w:t>Conversely, a reduction in premium tax credits</w:t>
      </w:r>
      <w:r w:rsidR="00E83A39" w:rsidRPr="7EB38FF3">
        <w:rPr>
          <w:rFonts w:eastAsia="Times New Roman"/>
          <w:lang w:eastAsia="ja-JP"/>
        </w:rPr>
        <w:t xml:space="preserve"> (except for those resulting from the waiver itself) limits the pass through funds</w:t>
      </w:r>
      <w:r w:rsidR="00C06686" w:rsidRPr="7EB38FF3">
        <w:rPr>
          <w:rFonts w:eastAsia="Times New Roman"/>
          <w:lang w:eastAsia="ja-JP"/>
        </w:rPr>
        <w:t>.</w:t>
      </w:r>
      <w:r w:rsidR="00E83A39" w:rsidRPr="7EB38FF3">
        <w:rPr>
          <w:rFonts w:eastAsia="Times New Roman"/>
          <w:lang w:eastAsia="ja-JP"/>
        </w:rPr>
        <w:t xml:space="preserve"> </w:t>
      </w:r>
    </w:p>
    <w:p w14:paraId="3FC29C1B" w14:textId="2E6E303C" w:rsidR="00C85EF8" w:rsidRPr="00425A9B" w:rsidRDefault="00810718" w:rsidP="00C85EF8">
      <w:pPr>
        <w:rPr>
          <w:rFonts w:eastAsia="Times New Roman"/>
          <w:lang w:eastAsia="ja-JP"/>
        </w:rPr>
      </w:pPr>
      <w:r w:rsidRPr="7EB38FF3">
        <w:rPr>
          <w:rFonts w:eastAsia="Times New Roman"/>
          <w:lang w:eastAsia="ja-JP"/>
        </w:rPr>
        <w:t>States have chosen different methods for funding their state share of costs</w:t>
      </w:r>
      <w:r w:rsidR="00F66E1B" w:rsidRPr="7EB38FF3">
        <w:rPr>
          <w:rFonts w:eastAsia="Times New Roman"/>
          <w:lang w:eastAsia="ja-JP"/>
        </w:rPr>
        <w:t xml:space="preserve">. </w:t>
      </w:r>
      <w:r w:rsidR="00B260A4" w:rsidRPr="7EB38FF3">
        <w:rPr>
          <w:rFonts w:eastAsia="Times New Roman"/>
          <w:lang w:eastAsia="ja-JP"/>
        </w:rPr>
        <w:t>About half of reinsurance programs use assessments on health insurance premiums</w:t>
      </w:r>
      <w:r w:rsidR="00E11C4D" w:rsidRPr="7EB38FF3">
        <w:rPr>
          <w:rFonts w:eastAsia="Times New Roman"/>
          <w:lang w:eastAsia="ja-JP"/>
        </w:rPr>
        <w:t>. Other state</w:t>
      </w:r>
      <w:r w:rsidR="008D1B5B" w:rsidRPr="7EB38FF3">
        <w:rPr>
          <w:rFonts w:eastAsia="Times New Roman"/>
          <w:lang w:eastAsia="ja-JP"/>
        </w:rPr>
        <w:t>s</w:t>
      </w:r>
      <w:r w:rsidR="00E11C4D" w:rsidRPr="7EB38FF3">
        <w:rPr>
          <w:rFonts w:eastAsia="Times New Roman"/>
          <w:lang w:eastAsia="ja-JP"/>
        </w:rPr>
        <w:t xml:space="preserve"> use broader premium taxes, </w:t>
      </w:r>
      <w:r w:rsidR="00142D89" w:rsidRPr="7EB38FF3">
        <w:rPr>
          <w:rFonts w:eastAsia="Times New Roman"/>
          <w:lang w:eastAsia="ja-JP"/>
        </w:rPr>
        <w:t xml:space="preserve">general funds, shared responsbility payments (individual mandate penalties), </w:t>
      </w:r>
      <w:r w:rsidR="00AB41C6" w:rsidRPr="7EB38FF3">
        <w:rPr>
          <w:rFonts w:eastAsia="Times New Roman"/>
          <w:lang w:eastAsia="ja-JP"/>
        </w:rPr>
        <w:t>or a mix of these sources.</w:t>
      </w:r>
      <w:r w:rsidR="00C85EF8" w:rsidRPr="7EB38FF3">
        <w:rPr>
          <w:rFonts w:eastAsia="Times New Roman"/>
          <w:lang w:eastAsia="ja-JP"/>
        </w:rPr>
        <w:t xml:space="preserve"> </w:t>
      </w:r>
    </w:p>
    <w:p w14:paraId="63EDD97A" w14:textId="6F15B9AF" w:rsidR="00C85EF8" w:rsidRPr="00C85EF8" w:rsidRDefault="29CD9B68" w:rsidP="7EB38FF3">
      <w:pPr>
        <w:spacing w:after="200" w:line="276" w:lineRule="auto"/>
        <w:rPr>
          <w:rFonts w:ascii="Cambria" w:eastAsia="Times New Roman" w:hAnsi="Cambria" w:cs="Times New Roman"/>
          <w:i/>
          <w:iCs/>
          <w:sz w:val="22"/>
          <w:szCs w:val="22"/>
          <w:lang w:eastAsia="ja-JP"/>
        </w:rPr>
      </w:pPr>
      <w:r w:rsidRPr="7EB38FF3">
        <w:rPr>
          <w:lang w:eastAsia="ja-JP"/>
        </w:rPr>
        <w:t>The continued success of reinsurance waivers depends on stable state and federal financing and clear guidance on future pass-through funding levels.</w:t>
      </w:r>
    </w:p>
    <w:p w14:paraId="0C0EFA32" w14:textId="530361D0" w:rsidR="009F733E" w:rsidRPr="00073F2E" w:rsidRDefault="009F733E" w:rsidP="32919258">
      <w:pPr>
        <w:spacing w:after="200" w:line="276" w:lineRule="auto"/>
        <w:rPr>
          <w:lang w:eastAsia="ja-JP"/>
        </w:rPr>
      </w:pPr>
    </w:p>
    <w:p w14:paraId="30260C05" w14:textId="27B40BF0" w:rsidR="00657C5D" w:rsidRPr="00165F4D" w:rsidRDefault="3DEA17F5" w:rsidP="00165F4D">
      <w:pPr>
        <w:pStyle w:val="Heading3"/>
        <w:rPr>
          <w:rFonts w:eastAsia="Times New Roman"/>
          <w:lang w:eastAsia="ja-JP"/>
        </w:rPr>
      </w:pPr>
      <w:bookmarkStart w:id="22" w:name="_Toc216861712"/>
      <w:r w:rsidRPr="00165F4D">
        <w:rPr>
          <w:rFonts w:eastAsia="Times New Roman"/>
          <w:lang w:eastAsia="ja-JP"/>
        </w:rPr>
        <w:t>Other waiver types</w:t>
      </w:r>
      <w:bookmarkEnd w:id="22"/>
    </w:p>
    <w:p w14:paraId="4887B6C7" w14:textId="2E94209C" w:rsidR="00165F4D" w:rsidRDefault="00485994" w:rsidP="7EB38FF3">
      <w:pPr>
        <w:rPr>
          <w:rFonts w:eastAsia="Times New Roman"/>
          <w:lang w:val="en-US" w:eastAsia="ja-JP"/>
        </w:rPr>
      </w:pPr>
      <w:r w:rsidRPr="7EB38FF3">
        <w:rPr>
          <w:rFonts w:eastAsia="Times New Roman"/>
          <w:lang w:val="en-US" w:eastAsia="ja-JP"/>
        </w:rPr>
        <w:t>S</w:t>
      </w:r>
      <w:r w:rsidR="00A87E84" w:rsidRPr="7EB38FF3">
        <w:rPr>
          <w:rFonts w:eastAsia="Times New Roman"/>
          <w:lang w:val="en-US" w:eastAsia="ja-JP"/>
        </w:rPr>
        <w:t xml:space="preserve">tates have used the flexibility of section 1332 waivers to </w:t>
      </w:r>
      <w:r w:rsidR="001953BA" w:rsidRPr="7EB38FF3">
        <w:rPr>
          <w:rFonts w:eastAsia="Times New Roman"/>
          <w:lang w:val="en-US" w:eastAsia="ja-JP"/>
        </w:rPr>
        <w:t xml:space="preserve">make other changes in their health </w:t>
      </w:r>
      <w:r w:rsidR="00405D7A" w:rsidRPr="7EB38FF3">
        <w:rPr>
          <w:rFonts w:eastAsia="Times New Roman"/>
          <w:lang w:val="en-US" w:eastAsia="ja-JP"/>
        </w:rPr>
        <w:t xml:space="preserve">insurance markets. </w:t>
      </w:r>
      <w:r w:rsidR="00DB4066" w:rsidRPr="7EB38FF3">
        <w:rPr>
          <w:rFonts w:eastAsia="Times New Roman"/>
          <w:lang w:val="en-US" w:eastAsia="ja-JP"/>
        </w:rPr>
        <w:t xml:space="preserve">Hawaii was the first state to </w:t>
      </w:r>
      <w:r w:rsidR="00DB0B15" w:rsidRPr="7EB38FF3">
        <w:rPr>
          <w:rFonts w:eastAsia="Times New Roman"/>
          <w:lang w:val="en-US" w:eastAsia="ja-JP"/>
        </w:rPr>
        <w:t xml:space="preserve">implement a section 1332 waiver; it replaced the ACA’s Small Business Health Options Program (SHOP) with </w:t>
      </w:r>
      <w:r w:rsidR="006101DF" w:rsidRPr="7EB38FF3">
        <w:rPr>
          <w:rFonts w:eastAsia="Times New Roman"/>
          <w:lang w:val="en-US" w:eastAsia="ja-JP"/>
        </w:rPr>
        <w:t xml:space="preserve">its pre-existing employer coverage program. </w:t>
      </w:r>
      <w:r w:rsidR="00311A30" w:rsidRPr="7EB38FF3">
        <w:rPr>
          <w:rFonts w:eastAsia="Times New Roman"/>
          <w:lang w:val="en-US" w:eastAsia="ja-JP"/>
        </w:rPr>
        <w:t xml:space="preserve">Colorado (as described above) and Nevada </w:t>
      </w:r>
      <w:r w:rsidR="009B7F32" w:rsidRPr="7EB38FF3">
        <w:rPr>
          <w:rFonts w:eastAsia="Times New Roman"/>
          <w:lang w:val="en-US" w:eastAsia="ja-JP"/>
        </w:rPr>
        <w:t xml:space="preserve">require Marketplace insurers to meet premium reduction targets in addition to their reinsurance programs. </w:t>
      </w:r>
      <w:r w:rsidR="005D4F5C" w:rsidRPr="7EB38FF3">
        <w:rPr>
          <w:rFonts w:eastAsia="Times New Roman"/>
          <w:lang w:val="en-US" w:eastAsia="ja-JP"/>
        </w:rPr>
        <w:t>Washington offer</w:t>
      </w:r>
      <w:r w:rsidR="72D390A4" w:rsidRPr="7EB38FF3">
        <w:rPr>
          <w:rFonts w:eastAsia="Times New Roman"/>
          <w:lang w:val="en-US" w:eastAsia="ja-JP"/>
        </w:rPr>
        <w:t>s</w:t>
      </w:r>
      <w:r w:rsidR="005D4F5C" w:rsidRPr="7EB38FF3">
        <w:rPr>
          <w:rFonts w:eastAsia="Times New Roman"/>
          <w:lang w:val="en-US" w:eastAsia="ja-JP"/>
        </w:rPr>
        <w:t xml:space="preserve"> access to Marketplace coverage regardless of immigration status</w:t>
      </w:r>
      <w:r w:rsidR="0089042C" w:rsidRPr="7EB38FF3">
        <w:rPr>
          <w:rFonts w:eastAsia="Times New Roman"/>
          <w:lang w:val="en-US" w:eastAsia="ja-JP"/>
        </w:rPr>
        <w:t>, without changing eligibil</w:t>
      </w:r>
      <w:r w:rsidR="001D4304">
        <w:rPr>
          <w:rFonts w:eastAsia="Times New Roman"/>
          <w:lang w:val="en-US" w:eastAsia="ja-JP"/>
        </w:rPr>
        <w:t>i</w:t>
      </w:r>
      <w:r w:rsidR="0089042C" w:rsidRPr="7EB38FF3">
        <w:rPr>
          <w:rFonts w:eastAsia="Times New Roman"/>
          <w:lang w:val="en-US" w:eastAsia="ja-JP"/>
        </w:rPr>
        <w:t>ty for federal premium tax credits</w:t>
      </w:r>
      <w:r w:rsidR="005D4F5C" w:rsidRPr="7EB38FF3">
        <w:rPr>
          <w:rFonts w:eastAsia="Times New Roman"/>
          <w:lang w:val="en-US" w:eastAsia="ja-JP"/>
        </w:rPr>
        <w:t xml:space="preserve">. </w:t>
      </w:r>
      <w:r w:rsidR="00DC5CD6" w:rsidRPr="7EB38FF3">
        <w:rPr>
          <w:rFonts w:eastAsia="Times New Roman"/>
          <w:lang w:val="en-US" w:eastAsia="ja-JP"/>
        </w:rPr>
        <w:t xml:space="preserve">These </w:t>
      </w:r>
      <w:r w:rsidR="00827C59" w:rsidRPr="7EB38FF3">
        <w:rPr>
          <w:rFonts w:eastAsia="Times New Roman"/>
          <w:lang w:val="en-US" w:eastAsia="ja-JP"/>
        </w:rPr>
        <w:t xml:space="preserve">uses show that section </w:t>
      </w:r>
      <w:r w:rsidR="00827C59" w:rsidRPr="7EB38FF3">
        <w:rPr>
          <w:rFonts w:eastAsia="Times New Roman"/>
          <w:lang w:val="en-US" w:eastAsia="ja-JP"/>
        </w:rPr>
        <w:lastRenderedPageBreak/>
        <w:t xml:space="preserve">1332 can be used for </w:t>
      </w:r>
      <w:r w:rsidR="00165F4D" w:rsidRPr="7EB38FF3">
        <w:rPr>
          <w:rFonts w:eastAsia="Times New Roman"/>
          <w:lang w:val="en-US" w:eastAsia="ja-JP"/>
        </w:rPr>
        <w:t xml:space="preserve">specific state objectives, provided the state meets the guardrails established in </w:t>
      </w:r>
      <w:r w:rsidR="1DFA3444" w:rsidRPr="7EB38FF3">
        <w:rPr>
          <w:rFonts w:eastAsia="Times New Roman"/>
          <w:lang w:val="en-US" w:eastAsia="ja-JP"/>
        </w:rPr>
        <w:t>federal</w:t>
      </w:r>
      <w:r w:rsidR="00165F4D" w:rsidRPr="7EB38FF3">
        <w:rPr>
          <w:rFonts w:eastAsia="Times New Roman"/>
          <w:lang w:val="en-US" w:eastAsia="ja-JP"/>
        </w:rPr>
        <w:t xml:space="preserve"> law.</w:t>
      </w:r>
    </w:p>
    <w:p w14:paraId="5BC7E040" w14:textId="71566C75" w:rsidR="684BAE8A" w:rsidRDefault="684BAE8A" w:rsidP="7EB38FF3">
      <w:pPr>
        <w:spacing w:after="200" w:line="276" w:lineRule="auto"/>
        <w:outlineLvl w:val="2"/>
        <w:rPr>
          <w:rFonts w:ascii="Cambria" w:eastAsia="Times New Roman" w:hAnsi="Cambria" w:cs="Times New Roman"/>
          <w:i/>
          <w:iCs/>
          <w:sz w:val="22"/>
          <w:szCs w:val="22"/>
          <w:lang w:eastAsia="ja-JP"/>
        </w:rPr>
      </w:pPr>
    </w:p>
    <w:p w14:paraId="3EA7FB93" w14:textId="77777777" w:rsidR="00657C5D" w:rsidRPr="00657C5D" w:rsidRDefault="00657C5D" w:rsidP="003A0653">
      <w:pPr>
        <w:pStyle w:val="Heading1"/>
        <w:rPr>
          <w:rFonts w:eastAsia="Times New Roman"/>
          <w:lang w:eastAsia="ja-JP"/>
        </w:rPr>
      </w:pPr>
      <w:bookmarkStart w:id="23" w:name="_Toc216861713"/>
      <w:r w:rsidRPr="00657C5D">
        <w:rPr>
          <w:rFonts w:eastAsia="Times New Roman"/>
          <w:lang w:eastAsia="ja-JP"/>
        </w:rPr>
        <w:t>Section 1333 Health Care Choice Compacts</w:t>
      </w:r>
      <w:bookmarkEnd w:id="23"/>
    </w:p>
    <w:p w14:paraId="4D6B157C" w14:textId="77777777" w:rsidR="00657C5D" w:rsidRPr="00657C5D" w:rsidRDefault="00657C5D" w:rsidP="003A0653">
      <w:pPr>
        <w:pStyle w:val="Heading2"/>
        <w:rPr>
          <w:rFonts w:eastAsia="Times New Roman"/>
          <w:lang w:eastAsia="ja-JP"/>
        </w:rPr>
      </w:pPr>
      <w:bookmarkStart w:id="24" w:name="_Toc216861714"/>
      <w:r w:rsidRPr="00657C5D">
        <w:rPr>
          <w:rFonts w:eastAsia="Times New Roman"/>
          <w:lang w:eastAsia="ja-JP"/>
        </w:rPr>
        <w:t>Background</w:t>
      </w:r>
      <w:bookmarkEnd w:id="24"/>
    </w:p>
    <w:p w14:paraId="2D49FCF5" w14:textId="77777777" w:rsidR="00735D1C" w:rsidRPr="003A0653" w:rsidRDefault="00657C5D" w:rsidP="003A0653">
      <w:pPr>
        <w:pStyle w:val="Heading3"/>
        <w:rPr>
          <w:rFonts w:eastAsia="Times New Roman"/>
          <w:lang w:eastAsia="ja-JP"/>
        </w:rPr>
      </w:pPr>
      <w:bookmarkStart w:id="25" w:name="_Toc216861715"/>
      <w:r w:rsidRPr="003A0653">
        <w:rPr>
          <w:rFonts w:eastAsia="Times New Roman"/>
          <w:lang w:eastAsia="ja-JP"/>
        </w:rPr>
        <w:t>Summary of statute and 2019 request for information</w:t>
      </w:r>
      <w:bookmarkEnd w:id="25"/>
    </w:p>
    <w:p w14:paraId="2074C705" w14:textId="0E3E6246" w:rsidR="00CA2A2E" w:rsidRDefault="007955D7" w:rsidP="003A0653">
      <w:pPr>
        <w:rPr>
          <w:rFonts w:eastAsia="Times New Roman"/>
          <w:lang w:eastAsia="ja-JP"/>
        </w:rPr>
      </w:pPr>
      <w:r w:rsidRPr="7EB38FF3">
        <w:rPr>
          <w:rFonts w:eastAsia="Times New Roman"/>
          <w:lang w:eastAsia="ja-JP"/>
        </w:rPr>
        <w:t>Section 1333 of the Public Health Service Act, codified at 42 USC §18053</w:t>
      </w:r>
      <w:r w:rsidR="00CA2A2E" w:rsidRPr="7EB38FF3">
        <w:rPr>
          <w:rFonts w:eastAsia="Times New Roman"/>
          <w:lang w:eastAsia="ja-JP"/>
        </w:rPr>
        <w:t>,</w:t>
      </w:r>
      <w:r w:rsidRPr="7EB38FF3">
        <w:rPr>
          <w:rFonts w:eastAsia="Times New Roman"/>
          <w:lang w:eastAsia="ja-JP"/>
        </w:rPr>
        <w:t xml:space="preserve"> establishe</w:t>
      </w:r>
      <w:r w:rsidR="00CA2A2E" w:rsidRPr="7EB38FF3">
        <w:rPr>
          <w:rFonts w:eastAsia="Times New Roman"/>
          <w:lang w:eastAsia="ja-JP"/>
        </w:rPr>
        <w:t>s</w:t>
      </w:r>
      <w:r w:rsidRPr="7EB38FF3">
        <w:rPr>
          <w:rFonts w:eastAsia="Times New Roman"/>
          <w:lang w:eastAsia="ja-JP"/>
        </w:rPr>
        <w:t xml:space="preserve"> statutory authority for states to create “health care choice compacts”.  The law directs HHS/CMS, in consultation with NAIC, to issue regulations for the creation of these compacts.  </w:t>
      </w:r>
      <w:r w:rsidR="08D96062" w:rsidRPr="7EB38FF3">
        <w:rPr>
          <w:rFonts w:eastAsia="Times New Roman"/>
          <w:lang w:eastAsia="ja-JP"/>
        </w:rPr>
        <w:t xml:space="preserve">The regulations are required under section 1333 to authorize two or more states to enter into an agreement where a qualified health plan could be sold in the individual markets of all the states and only be subject to the laws and regulations </w:t>
      </w:r>
      <w:r w:rsidR="3DECE6C4" w:rsidRPr="7EB38FF3">
        <w:rPr>
          <w:rFonts w:eastAsia="Times New Roman"/>
          <w:lang w:eastAsia="ja-JP"/>
        </w:rPr>
        <w:t>of the state where the plan is written or issued.  Section 1333 clarifies that such health care choice compacts are also subject to the followi</w:t>
      </w:r>
      <w:r w:rsidR="65B7E53C" w:rsidRPr="7EB38FF3">
        <w:rPr>
          <w:rFonts w:eastAsia="Times New Roman"/>
          <w:lang w:eastAsia="ja-JP"/>
        </w:rPr>
        <w:t xml:space="preserve">ng requirements: </w:t>
      </w:r>
    </w:p>
    <w:p w14:paraId="6427532B" w14:textId="3EDFC25D" w:rsidR="65B7E53C" w:rsidRDefault="65B7E53C" w:rsidP="009C2CBA">
      <w:pPr>
        <w:pStyle w:val="ListParagraph"/>
        <w:numPr>
          <w:ilvl w:val="0"/>
          <w:numId w:val="2"/>
        </w:numPr>
        <w:rPr>
          <w:rFonts w:eastAsia="Times New Roman"/>
          <w:lang w:val="en-US" w:eastAsia="ja-JP"/>
        </w:rPr>
      </w:pPr>
      <w:r w:rsidRPr="7EB38FF3">
        <w:rPr>
          <w:rFonts w:eastAsia="Times New Roman"/>
          <w:lang w:val="en-US" w:eastAsia="ja-JP"/>
        </w:rPr>
        <w:t xml:space="preserve">A state must be </w:t>
      </w:r>
      <w:r w:rsidRPr="00534076">
        <w:rPr>
          <w:rFonts w:eastAsia="Times New Roman"/>
          <w:b/>
          <w:bCs/>
          <w:lang w:val="en-US" w:eastAsia="ja-JP"/>
        </w:rPr>
        <w:t>authorized by state law</w:t>
      </w:r>
      <w:r w:rsidRPr="7EB38FF3">
        <w:rPr>
          <w:rFonts w:eastAsia="Times New Roman"/>
          <w:lang w:val="en-US" w:eastAsia="ja-JP"/>
        </w:rPr>
        <w:t xml:space="preserve"> to </w:t>
      </w:r>
      <w:proofErr w:type="gramStart"/>
      <w:r w:rsidRPr="7EB38FF3">
        <w:rPr>
          <w:rFonts w:eastAsia="Times New Roman"/>
          <w:lang w:val="en-US" w:eastAsia="ja-JP"/>
        </w:rPr>
        <w:t>enter into</w:t>
      </w:r>
      <w:proofErr w:type="gramEnd"/>
      <w:r w:rsidRPr="7EB38FF3">
        <w:rPr>
          <w:rFonts w:eastAsia="Times New Roman"/>
          <w:lang w:val="en-US" w:eastAsia="ja-JP"/>
        </w:rPr>
        <w:t xml:space="preserve"> a health choice </w:t>
      </w:r>
      <w:proofErr w:type="gramStart"/>
      <w:r w:rsidRPr="7EB38FF3">
        <w:rPr>
          <w:rFonts w:eastAsia="Times New Roman"/>
          <w:lang w:val="en-US" w:eastAsia="ja-JP"/>
        </w:rPr>
        <w:t>compact;</w:t>
      </w:r>
      <w:proofErr w:type="gramEnd"/>
      <w:r w:rsidRPr="7EB38FF3">
        <w:rPr>
          <w:rFonts w:eastAsia="Times New Roman"/>
          <w:lang w:val="en-US" w:eastAsia="ja-JP"/>
        </w:rPr>
        <w:t xml:space="preserve"> </w:t>
      </w:r>
    </w:p>
    <w:p w14:paraId="2C9B64AE" w14:textId="090AD92D" w:rsidR="65B7E53C" w:rsidRDefault="65B7E53C" w:rsidP="009C2CBA">
      <w:pPr>
        <w:pStyle w:val="ListParagraph"/>
        <w:numPr>
          <w:ilvl w:val="0"/>
          <w:numId w:val="2"/>
        </w:numPr>
        <w:rPr>
          <w:rFonts w:eastAsia="Times New Roman"/>
          <w:lang w:val="en-US" w:eastAsia="ja-JP"/>
        </w:rPr>
      </w:pPr>
      <w:r w:rsidRPr="7EB38FF3">
        <w:rPr>
          <w:rFonts w:eastAsia="Times New Roman"/>
          <w:lang w:val="en-US" w:eastAsia="ja-JP"/>
        </w:rPr>
        <w:t>A compact must provide coverage that is at least as</w:t>
      </w:r>
      <w:r w:rsidRPr="00534076">
        <w:rPr>
          <w:rFonts w:eastAsia="Times New Roman"/>
          <w:b/>
          <w:bCs/>
          <w:lang w:val="en-US" w:eastAsia="ja-JP"/>
        </w:rPr>
        <w:t xml:space="preserve"> comprehensive </w:t>
      </w:r>
      <w:r w:rsidRPr="7EB38FF3">
        <w:rPr>
          <w:rFonts w:eastAsia="Times New Roman"/>
          <w:lang w:val="en-US" w:eastAsia="ja-JP"/>
        </w:rPr>
        <w:t>as essential health benefits and offered through</w:t>
      </w:r>
      <w:r w:rsidR="0025714B">
        <w:rPr>
          <w:rFonts w:eastAsia="Times New Roman"/>
          <w:lang w:val="en-US" w:eastAsia="ja-JP"/>
        </w:rPr>
        <w:t xml:space="preserve"> </w:t>
      </w:r>
      <w:proofErr w:type="gramStart"/>
      <w:r w:rsidR="0025714B">
        <w:rPr>
          <w:rFonts w:eastAsia="Times New Roman"/>
          <w:lang w:val="en-US" w:eastAsia="ja-JP"/>
        </w:rPr>
        <w:t>Marketplaces</w:t>
      </w:r>
      <w:r w:rsidRPr="7EB38FF3">
        <w:rPr>
          <w:rFonts w:eastAsia="Times New Roman"/>
          <w:lang w:val="en-US" w:eastAsia="ja-JP"/>
        </w:rPr>
        <w:t>;</w:t>
      </w:r>
      <w:proofErr w:type="gramEnd"/>
      <w:r w:rsidRPr="7EB38FF3">
        <w:rPr>
          <w:rFonts w:eastAsia="Times New Roman"/>
          <w:lang w:val="en-US" w:eastAsia="ja-JP"/>
        </w:rPr>
        <w:t xml:space="preserve"> </w:t>
      </w:r>
    </w:p>
    <w:p w14:paraId="2E35900F" w14:textId="15E9BCDB" w:rsidR="65B7E53C" w:rsidRDefault="65B7E53C" w:rsidP="009C2CBA">
      <w:pPr>
        <w:pStyle w:val="ListParagraph"/>
        <w:numPr>
          <w:ilvl w:val="0"/>
          <w:numId w:val="2"/>
        </w:numPr>
        <w:rPr>
          <w:rFonts w:eastAsia="Times New Roman"/>
          <w:lang w:val="en-US" w:eastAsia="ja-JP"/>
        </w:rPr>
      </w:pPr>
      <w:r w:rsidRPr="7EB38FF3">
        <w:rPr>
          <w:rFonts w:eastAsia="Times New Roman"/>
          <w:lang w:val="en-US" w:eastAsia="ja-JP"/>
        </w:rPr>
        <w:t>A compact must provide coverage and cost sharing protections against excessive out-of-pocket spending that are at least as</w:t>
      </w:r>
      <w:r w:rsidRPr="00534076">
        <w:rPr>
          <w:rFonts w:eastAsia="Times New Roman"/>
          <w:b/>
          <w:bCs/>
          <w:lang w:val="en-US" w:eastAsia="ja-JP"/>
        </w:rPr>
        <w:t xml:space="preserve"> affordable</w:t>
      </w:r>
      <w:r w:rsidRPr="7EB38FF3">
        <w:rPr>
          <w:rFonts w:eastAsia="Times New Roman"/>
          <w:lang w:val="en-US" w:eastAsia="ja-JP"/>
        </w:rPr>
        <w:t xml:space="preserve"> as those under federal </w:t>
      </w:r>
      <w:proofErr w:type="gramStart"/>
      <w:r w:rsidRPr="7EB38FF3">
        <w:rPr>
          <w:rFonts w:eastAsia="Times New Roman"/>
          <w:lang w:val="en-US" w:eastAsia="ja-JP"/>
        </w:rPr>
        <w:t>law;</w:t>
      </w:r>
      <w:proofErr w:type="gramEnd"/>
      <w:r w:rsidRPr="7EB38FF3">
        <w:rPr>
          <w:rFonts w:eastAsia="Times New Roman"/>
          <w:lang w:val="en-US" w:eastAsia="ja-JP"/>
        </w:rPr>
        <w:t xml:space="preserve"> </w:t>
      </w:r>
    </w:p>
    <w:p w14:paraId="5FA2562F" w14:textId="30DF3D15" w:rsidR="1D3D5656" w:rsidRDefault="1D3D5656" w:rsidP="009C2CBA">
      <w:pPr>
        <w:pStyle w:val="ListParagraph"/>
        <w:numPr>
          <w:ilvl w:val="0"/>
          <w:numId w:val="2"/>
        </w:numPr>
        <w:rPr>
          <w:rFonts w:eastAsia="Times New Roman"/>
          <w:lang w:val="en-US" w:eastAsia="ja-JP"/>
        </w:rPr>
      </w:pPr>
      <w:r w:rsidRPr="7EB38FF3">
        <w:rPr>
          <w:rFonts w:eastAsia="Times New Roman"/>
          <w:lang w:val="en-US" w:eastAsia="ja-JP"/>
        </w:rPr>
        <w:t xml:space="preserve">A compact must provide coverage to at least a </w:t>
      </w:r>
      <w:r w:rsidRPr="00534076">
        <w:rPr>
          <w:rFonts w:eastAsia="Times New Roman"/>
          <w:b/>
          <w:bCs/>
          <w:lang w:val="en-US" w:eastAsia="ja-JP"/>
        </w:rPr>
        <w:t xml:space="preserve">comparable </w:t>
      </w:r>
      <w:r w:rsidRPr="7EB38FF3">
        <w:rPr>
          <w:rFonts w:eastAsia="Times New Roman"/>
          <w:lang w:val="en-US" w:eastAsia="ja-JP"/>
        </w:rPr>
        <w:t xml:space="preserve">number of its residents as would be provided under federal </w:t>
      </w:r>
      <w:proofErr w:type="gramStart"/>
      <w:r w:rsidRPr="7EB38FF3">
        <w:rPr>
          <w:rFonts w:eastAsia="Times New Roman"/>
          <w:lang w:val="en-US" w:eastAsia="ja-JP"/>
        </w:rPr>
        <w:t>law;</w:t>
      </w:r>
      <w:proofErr w:type="gramEnd"/>
      <w:r w:rsidRPr="7EB38FF3">
        <w:rPr>
          <w:rFonts w:eastAsia="Times New Roman"/>
          <w:lang w:val="en-US" w:eastAsia="ja-JP"/>
        </w:rPr>
        <w:t xml:space="preserve"> </w:t>
      </w:r>
    </w:p>
    <w:p w14:paraId="6F81162E" w14:textId="786F862B" w:rsidR="1D3D5656" w:rsidRDefault="1D3D5656" w:rsidP="009C2CBA">
      <w:pPr>
        <w:pStyle w:val="ListParagraph"/>
        <w:numPr>
          <w:ilvl w:val="0"/>
          <w:numId w:val="2"/>
        </w:numPr>
        <w:rPr>
          <w:rFonts w:eastAsia="Times New Roman"/>
          <w:lang w:val="en-US" w:eastAsia="ja-JP"/>
        </w:rPr>
      </w:pPr>
      <w:r w:rsidRPr="7EB38FF3">
        <w:rPr>
          <w:rFonts w:eastAsia="Times New Roman"/>
          <w:lang w:val="en-US" w:eastAsia="ja-JP"/>
        </w:rPr>
        <w:t xml:space="preserve">A compact </w:t>
      </w:r>
      <w:r w:rsidRPr="00534076">
        <w:rPr>
          <w:rFonts w:eastAsia="Times New Roman"/>
          <w:b/>
          <w:bCs/>
          <w:lang w:val="en-US" w:eastAsia="ja-JP"/>
        </w:rPr>
        <w:t>may not increase the Federal deficit</w:t>
      </w:r>
      <w:r w:rsidRPr="7EB38FF3">
        <w:rPr>
          <w:rFonts w:eastAsia="Times New Roman"/>
          <w:lang w:val="en-US" w:eastAsia="ja-JP"/>
        </w:rPr>
        <w:t xml:space="preserve">; and </w:t>
      </w:r>
    </w:p>
    <w:p w14:paraId="4379C917" w14:textId="412B5BFE" w:rsidR="1D3D5656" w:rsidRDefault="1D3D5656" w:rsidP="009C2CBA">
      <w:pPr>
        <w:pStyle w:val="ListParagraph"/>
        <w:numPr>
          <w:ilvl w:val="0"/>
          <w:numId w:val="2"/>
        </w:numPr>
        <w:rPr>
          <w:rFonts w:eastAsia="Times New Roman"/>
          <w:lang w:val="en-US" w:eastAsia="ja-JP"/>
        </w:rPr>
      </w:pPr>
      <w:r w:rsidRPr="7EB38FF3">
        <w:rPr>
          <w:rFonts w:eastAsia="Times New Roman"/>
          <w:lang w:val="en-US" w:eastAsia="ja-JP"/>
        </w:rPr>
        <w:t xml:space="preserve">A compact </w:t>
      </w:r>
      <w:r w:rsidRPr="00534076">
        <w:rPr>
          <w:rFonts w:eastAsia="Times New Roman"/>
          <w:b/>
          <w:bCs/>
          <w:lang w:val="en-US" w:eastAsia="ja-JP"/>
        </w:rPr>
        <w:t xml:space="preserve">may not weaken </w:t>
      </w:r>
      <w:r w:rsidR="369E15F1" w:rsidRPr="7EB38FF3">
        <w:rPr>
          <w:rFonts w:eastAsia="Times New Roman"/>
          <w:b/>
          <w:bCs/>
          <w:lang w:val="en-US" w:eastAsia="ja-JP"/>
        </w:rPr>
        <w:t xml:space="preserve">state </w:t>
      </w:r>
      <w:r w:rsidRPr="00534076">
        <w:rPr>
          <w:rFonts w:eastAsia="Times New Roman"/>
          <w:b/>
          <w:bCs/>
          <w:lang w:val="en-US" w:eastAsia="ja-JP"/>
        </w:rPr>
        <w:t xml:space="preserve">enforcement </w:t>
      </w:r>
      <w:r w:rsidRPr="7EB38FF3">
        <w:rPr>
          <w:rFonts w:eastAsia="Times New Roman"/>
          <w:lang w:val="en-US" w:eastAsia="ja-JP"/>
        </w:rPr>
        <w:t>of market conduct, unfair trade practices, network adequacy, and consumer protection standards (such as rate review), and disputes arising under the contract of the state where the purchase</w:t>
      </w:r>
      <w:r w:rsidR="5BC8917A" w:rsidRPr="7EB38FF3">
        <w:rPr>
          <w:rFonts w:eastAsia="Times New Roman"/>
          <w:lang w:val="en-US" w:eastAsia="ja-JP"/>
        </w:rPr>
        <w:t xml:space="preserve">r resides. </w:t>
      </w:r>
    </w:p>
    <w:p w14:paraId="6E5275E4" w14:textId="377E093F" w:rsidR="582792F9" w:rsidRDefault="582792F9" w:rsidP="7EB38FF3">
      <w:pPr>
        <w:rPr>
          <w:rFonts w:eastAsia="Times New Roman"/>
          <w:lang w:val="en-US" w:eastAsia="ja-JP"/>
        </w:rPr>
      </w:pPr>
      <w:r w:rsidRPr="7EB38FF3">
        <w:rPr>
          <w:rFonts w:eastAsia="Times New Roman"/>
          <w:lang w:val="en-US" w:eastAsia="ja-JP"/>
        </w:rPr>
        <w:t xml:space="preserve">Thus, health care choice compacts under section 1333 must meet similar guardrails to waivers approved under section 1332, with the additional caveat that state consumer protections where the purchaser of insurance resides cannot be weakened. </w:t>
      </w:r>
      <w:r w:rsidR="5382A51B" w:rsidRPr="7EB38FF3">
        <w:rPr>
          <w:rFonts w:eastAsia="Times New Roman"/>
          <w:lang w:val="en-US" w:eastAsia="ja-JP"/>
        </w:rPr>
        <w:t>Section 1333 also does not contemplate states receiving pass</w:t>
      </w:r>
      <w:r w:rsidR="00F72F06">
        <w:rPr>
          <w:rFonts w:eastAsia="Times New Roman"/>
          <w:lang w:val="en-US" w:eastAsia="ja-JP"/>
        </w:rPr>
        <w:t>-</w:t>
      </w:r>
      <w:r w:rsidR="5382A51B" w:rsidRPr="7EB38FF3">
        <w:rPr>
          <w:rFonts w:eastAsia="Times New Roman"/>
          <w:lang w:val="en-US" w:eastAsia="ja-JP"/>
        </w:rPr>
        <w:t xml:space="preserve">through funding, unlike section 1332 waivers. </w:t>
      </w:r>
    </w:p>
    <w:p w14:paraId="4D7E951E" w14:textId="61998A8A" w:rsidR="007955D7" w:rsidRPr="00F72F06" w:rsidRDefault="23CDFDC6" w:rsidP="7EB38FF3">
      <w:pPr>
        <w:rPr>
          <w:rFonts w:eastAsia="Times New Roman"/>
          <w:lang w:val="en-US" w:eastAsia="ja-JP"/>
        </w:rPr>
      </w:pPr>
      <w:r w:rsidRPr="00F72F06">
        <w:rPr>
          <w:rFonts w:eastAsia="Times New Roman"/>
          <w:lang w:val="en-US" w:eastAsia="ja-JP"/>
        </w:rPr>
        <w:t xml:space="preserve">CMS </w:t>
      </w:r>
      <w:r w:rsidR="4DE5F7C8" w:rsidRPr="00F72F06">
        <w:rPr>
          <w:rFonts w:eastAsia="Times New Roman"/>
          <w:lang w:val="en-US" w:eastAsia="ja-JP"/>
        </w:rPr>
        <w:t xml:space="preserve">released a </w:t>
      </w:r>
      <w:hyperlink r:id="rId13">
        <w:r w:rsidR="4DE5F7C8" w:rsidRPr="00F72F06">
          <w:rPr>
            <w:rStyle w:val="Hyperlink"/>
            <w:lang w:val="en-US" w:eastAsia="ja-JP"/>
          </w:rPr>
          <w:t>Request for Information</w:t>
        </w:r>
      </w:hyperlink>
      <w:r w:rsidR="4DE5F7C8" w:rsidRPr="00F72F06">
        <w:rPr>
          <w:rFonts w:eastAsia="Times New Roman"/>
          <w:lang w:val="en-US" w:eastAsia="ja-JP"/>
        </w:rPr>
        <w:t xml:space="preserve"> </w:t>
      </w:r>
      <w:r w:rsidR="734EAA9B" w:rsidRPr="00F72F06">
        <w:rPr>
          <w:rFonts w:eastAsia="Times New Roman"/>
          <w:lang w:val="en-US" w:eastAsia="ja-JP"/>
        </w:rPr>
        <w:t xml:space="preserve">on health care choice compacts </w:t>
      </w:r>
      <w:r w:rsidR="4DE5F7C8" w:rsidRPr="00F72F06">
        <w:rPr>
          <w:rFonts w:eastAsia="Times New Roman"/>
          <w:lang w:val="en-US" w:eastAsia="ja-JP"/>
        </w:rPr>
        <w:t xml:space="preserve">in March 2019. </w:t>
      </w:r>
      <w:r w:rsidR="234F7781" w:rsidRPr="00F72F06">
        <w:rPr>
          <w:rFonts w:eastAsia="Times New Roman"/>
          <w:lang w:val="en-US" w:eastAsia="ja-JP"/>
        </w:rPr>
        <w:t>At that time,</w:t>
      </w:r>
      <w:r w:rsidR="234F7781" w:rsidRPr="00F72F06">
        <w:rPr>
          <w:lang w:val="en-US" w:eastAsia="ja-JP"/>
        </w:rPr>
        <w:t xml:space="preserve"> </w:t>
      </w:r>
      <w:hyperlink r:id="rId14">
        <w:r w:rsidR="234F7781" w:rsidRPr="00F72F06">
          <w:rPr>
            <w:rStyle w:val="Hyperlink"/>
            <w:lang w:val="en-US" w:eastAsia="ja-JP"/>
          </w:rPr>
          <w:t>NAIC</w:t>
        </w:r>
        <w:r w:rsidR="4DE5F7C8" w:rsidRPr="00F72F06">
          <w:rPr>
            <w:rStyle w:val="Hyperlink"/>
            <w:lang w:val="en-US" w:eastAsia="ja-JP"/>
          </w:rPr>
          <w:t xml:space="preserve"> commented</w:t>
        </w:r>
      </w:hyperlink>
      <w:r w:rsidR="4DE5F7C8" w:rsidRPr="00F72F06">
        <w:rPr>
          <w:rFonts w:eastAsia="Times New Roman"/>
          <w:lang w:val="en-US" w:eastAsia="ja-JP"/>
        </w:rPr>
        <w:t xml:space="preserve"> </w:t>
      </w:r>
      <w:r w:rsidRPr="00F72F06">
        <w:rPr>
          <w:rFonts w:eastAsia="Times New Roman"/>
          <w:lang w:val="en-US" w:eastAsia="ja-JP"/>
        </w:rPr>
        <w:t xml:space="preserve">that states already have authority to permit sales of non-domiciled plans to their residents and thus, </w:t>
      </w:r>
      <w:r w:rsidR="00F72F06">
        <w:rPr>
          <w:rFonts w:eastAsia="Times New Roman"/>
          <w:lang w:val="en-US" w:eastAsia="ja-JP"/>
        </w:rPr>
        <w:t xml:space="preserve">separate </w:t>
      </w:r>
      <w:r w:rsidRPr="00F72F06">
        <w:rPr>
          <w:rFonts w:eastAsia="Times New Roman"/>
          <w:lang w:val="en-US" w:eastAsia="ja-JP"/>
        </w:rPr>
        <w:t xml:space="preserve">federal authority to do so was not </w:t>
      </w:r>
      <w:r w:rsidRPr="00F72F06">
        <w:rPr>
          <w:rFonts w:eastAsia="Times New Roman"/>
          <w:lang w:val="en-US" w:eastAsia="ja-JP"/>
        </w:rPr>
        <w:lastRenderedPageBreak/>
        <w:t>needed.  The comments noted</w:t>
      </w:r>
      <w:r w:rsidR="0C2AD965" w:rsidRPr="00F72F06">
        <w:rPr>
          <w:rFonts w:eastAsia="Times New Roman"/>
          <w:lang w:val="en-US" w:eastAsia="ja-JP"/>
        </w:rPr>
        <w:t xml:space="preserve"> </w:t>
      </w:r>
      <w:r w:rsidR="6989B3CC" w:rsidRPr="00F72F06">
        <w:rPr>
          <w:rFonts w:eastAsia="Times New Roman"/>
          <w:lang w:val="en-US" w:eastAsia="ja-JP"/>
        </w:rPr>
        <w:t xml:space="preserve">concern about the </w:t>
      </w:r>
      <w:r w:rsidRPr="00F72F06">
        <w:rPr>
          <w:rFonts w:eastAsia="Times New Roman"/>
          <w:lang w:val="en-US" w:eastAsia="ja-JP"/>
        </w:rPr>
        <w:t>risks of market instability if plans were sold across state lines and stated that</w:t>
      </w:r>
      <w:r w:rsidRPr="00F72F06">
        <w:rPr>
          <w:lang w:val="en-US"/>
        </w:rPr>
        <w:t xml:space="preserve"> federally-directed sales of health insurance coverage across state lines would frustrate the ability of state insurance regulators to fulfill one of their central obligations—to provide protection and counsel to insurance consumers in their states. </w:t>
      </w:r>
      <w:r w:rsidR="234F7781" w:rsidRPr="00F72F06">
        <w:rPr>
          <w:rFonts w:eastAsia="Times New Roman"/>
          <w:lang w:val="en-US" w:eastAsia="ja-JP"/>
        </w:rPr>
        <w:t xml:space="preserve">CMS did not promulgate proposed regulations </w:t>
      </w:r>
      <w:r w:rsidR="0C294A9E" w:rsidRPr="00F72F06">
        <w:rPr>
          <w:rFonts w:eastAsia="Times New Roman"/>
          <w:lang w:val="en-US" w:eastAsia="ja-JP"/>
        </w:rPr>
        <w:t>in 2019</w:t>
      </w:r>
      <w:r w:rsidR="234F7781" w:rsidRPr="00F72F06">
        <w:rPr>
          <w:rFonts w:eastAsia="Times New Roman"/>
          <w:lang w:val="en-US" w:eastAsia="ja-JP"/>
        </w:rPr>
        <w:t>.</w:t>
      </w:r>
    </w:p>
    <w:p w14:paraId="1944FB0A" w14:textId="0B92A699" w:rsidR="16616E69" w:rsidRDefault="0AA28A33" w:rsidP="003A0653">
      <w:pPr>
        <w:rPr>
          <w:rFonts w:eastAsia="Times New Roman"/>
          <w:lang w:val="en-US" w:eastAsia="ja-JP"/>
        </w:rPr>
      </w:pPr>
      <w:r w:rsidRPr="5CCADE41">
        <w:rPr>
          <w:rFonts w:eastAsia="Times New Roman"/>
          <w:lang w:val="en-US" w:eastAsia="ja-JP"/>
        </w:rPr>
        <w:t>On June 30, 2025, CMS sent a letter to NAIC President Jon Godfread seeking input to inform the development of Sec</w:t>
      </w:r>
      <w:r w:rsidR="00F72F06">
        <w:rPr>
          <w:rFonts w:eastAsia="Times New Roman"/>
          <w:lang w:val="en-US" w:eastAsia="ja-JP"/>
        </w:rPr>
        <w:t>tion</w:t>
      </w:r>
      <w:r w:rsidRPr="5CCADE41">
        <w:rPr>
          <w:rFonts w:eastAsia="Times New Roman"/>
          <w:lang w:val="en-US" w:eastAsia="ja-JP"/>
        </w:rPr>
        <w:t xml:space="preserve"> 1333 regulations.  The NAIC responded in a letter to CMS on October 2, 2025.  I</w:t>
      </w:r>
      <w:r w:rsidR="4A273D3B" w:rsidRPr="5CCADE41">
        <w:rPr>
          <w:rFonts w:eastAsia="Times New Roman"/>
          <w:lang w:val="en-US" w:eastAsia="ja-JP"/>
        </w:rPr>
        <w:t xml:space="preserve">n that letter, the NAIC emphasized that </w:t>
      </w:r>
      <w:r w:rsidR="1CC65E20" w:rsidRPr="5CCADE41">
        <w:rPr>
          <w:rFonts w:eastAsia="Times New Roman"/>
          <w:lang w:val="en-US" w:eastAsia="ja-JP"/>
        </w:rPr>
        <w:t>state regulators value the flexibility available under the Affordable Care Act, which allows state regulators to respond to individual market characteristics that are best managed at the state</w:t>
      </w:r>
      <w:r w:rsidR="7C0B4D52" w:rsidRPr="5CCADE41">
        <w:rPr>
          <w:rFonts w:eastAsia="Times New Roman"/>
          <w:lang w:val="en-US" w:eastAsia="ja-JP"/>
        </w:rPr>
        <w:t xml:space="preserve"> level.</w:t>
      </w:r>
      <w:r w:rsidR="25480096" w:rsidRPr="5CCADE41">
        <w:rPr>
          <w:rFonts w:eastAsia="Times New Roman"/>
          <w:lang w:val="en-US" w:eastAsia="ja-JP"/>
        </w:rPr>
        <w:t xml:space="preserve"> </w:t>
      </w:r>
      <w:r w:rsidR="00F72F06">
        <w:rPr>
          <w:rFonts w:eastAsia="Times New Roman"/>
          <w:lang w:val="en-US" w:eastAsia="ja-JP"/>
        </w:rPr>
        <w:t>NAIC held that f</w:t>
      </w:r>
      <w:r w:rsidR="25480096" w:rsidRPr="5CCADE41">
        <w:rPr>
          <w:rFonts w:eastAsia="Times New Roman"/>
          <w:lang w:val="en-US" w:eastAsia="ja-JP"/>
        </w:rPr>
        <w:t>ederal regulations that allow</w:t>
      </w:r>
      <w:r w:rsidR="7C0B4D52" w:rsidRPr="5CCADE41">
        <w:rPr>
          <w:rFonts w:eastAsia="Times New Roman"/>
          <w:lang w:val="en-US" w:eastAsia="ja-JP"/>
        </w:rPr>
        <w:t xml:space="preserve"> </w:t>
      </w:r>
      <w:r w:rsidR="4B1900B7" w:rsidRPr="5CCADE41">
        <w:rPr>
          <w:rFonts w:eastAsia="Times New Roman"/>
          <w:lang w:val="en-US" w:eastAsia="ja-JP"/>
        </w:rPr>
        <w:t>states to maintain</w:t>
      </w:r>
      <w:r w:rsidR="0457F8B9" w:rsidRPr="5CCADE41">
        <w:rPr>
          <w:rFonts w:eastAsia="Times New Roman"/>
          <w:lang w:val="en-US" w:eastAsia="ja-JP"/>
        </w:rPr>
        <w:t xml:space="preserve"> </w:t>
      </w:r>
      <w:r w:rsidR="4AA7EEBD" w:rsidRPr="5CCADE41">
        <w:rPr>
          <w:rFonts w:eastAsia="Times New Roman"/>
          <w:lang w:val="en-US" w:eastAsia="ja-JP"/>
        </w:rPr>
        <w:t xml:space="preserve">flexibility in state or compact decision-making will </w:t>
      </w:r>
      <w:r w:rsidR="3969C3D8" w:rsidRPr="5CCADE41">
        <w:rPr>
          <w:rFonts w:eastAsia="Times New Roman"/>
          <w:lang w:val="en-US" w:eastAsia="ja-JP"/>
        </w:rPr>
        <w:t>ensure</w:t>
      </w:r>
      <w:r w:rsidR="4AA7EEBD" w:rsidRPr="5CCADE41">
        <w:rPr>
          <w:rFonts w:eastAsia="Times New Roman"/>
          <w:lang w:val="en-US" w:eastAsia="ja-JP"/>
        </w:rPr>
        <w:t xml:space="preserve"> </w:t>
      </w:r>
      <w:r w:rsidR="55F7BDEF" w:rsidRPr="5CCADE41">
        <w:rPr>
          <w:rFonts w:eastAsia="Times New Roman"/>
          <w:lang w:val="en-US" w:eastAsia="ja-JP"/>
        </w:rPr>
        <w:t xml:space="preserve">their effectiveness in guiding the development of compacts.  </w:t>
      </w:r>
    </w:p>
    <w:p w14:paraId="2F006725" w14:textId="146DA764" w:rsidR="00657C5D" w:rsidRPr="0073031E" w:rsidRDefault="00657C5D" w:rsidP="7EB38FF3">
      <w:pPr>
        <w:rPr>
          <w:rFonts w:asciiTheme="majorHAnsi" w:eastAsiaTheme="majorEastAsia" w:hAnsiTheme="majorHAnsi" w:cstheme="majorBidi"/>
          <w:i/>
          <w:iCs/>
          <w:color w:val="005CB9" w:themeColor="accent1"/>
          <w:sz w:val="28"/>
          <w:szCs w:val="28"/>
          <w:lang w:eastAsia="ja-JP"/>
        </w:rPr>
      </w:pPr>
      <w:r w:rsidRPr="0073031E">
        <w:rPr>
          <w:rFonts w:asciiTheme="majorHAnsi" w:eastAsiaTheme="majorEastAsia" w:hAnsiTheme="majorHAnsi" w:cstheme="majorBidi"/>
          <w:i/>
          <w:iCs/>
          <w:color w:val="005CB9" w:themeColor="accent1"/>
          <w:sz w:val="28"/>
          <w:szCs w:val="28"/>
          <w:lang w:eastAsia="ja-JP"/>
        </w:rPr>
        <w:t>Comparison with other multi-state compact authority</w:t>
      </w:r>
      <w:r w:rsidR="007955D7" w:rsidRPr="0073031E">
        <w:rPr>
          <w:rFonts w:asciiTheme="majorHAnsi" w:eastAsiaTheme="majorEastAsia" w:hAnsiTheme="majorHAnsi" w:cstheme="majorBidi"/>
          <w:i/>
          <w:iCs/>
          <w:color w:val="005CB9" w:themeColor="accent1"/>
          <w:sz w:val="28"/>
          <w:szCs w:val="28"/>
          <w:lang w:eastAsia="ja-JP"/>
        </w:rPr>
        <w:t xml:space="preserve"> </w:t>
      </w:r>
      <w:r w:rsidR="58276DF8" w:rsidRPr="0073031E">
        <w:rPr>
          <w:rFonts w:asciiTheme="majorHAnsi" w:eastAsiaTheme="majorEastAsia" w:hAnsiTheme="majorHAnsi" w:cstheme="majorBidi"/>
          <w:i/>
          <w:iCs/>
          <w:color w:val="005CB9" w:themeColor="accent1"/>
          <w:sz w:val="28"/>
          <w:szCs w:val="28"/>
          <w:lang w:eastAsia="ja-JP"/>
        </w:rPr>
        <w:t xml:space="preserve"> </w:t>
      </w:r>
    </w:p>
    <w:p w14:paraId="1EF7DBBF" w14:textId="75FAF9A3" w:rsidR="54F2337E" w:rsidRDefault="4746A5CA" w:rsidP="7EB38FF3">
      <w:pPr>
        <w:rPr>
          <w:rFonts w:eastAsia="Times New Roman"/>
          <w:lang w:val="en-US" w:eastAsia="ja-JP"/>
        </w:rPr>
      </w:pPr>
      <w:r w:rsidRPr="7EB38FF3">
        <w:rPr>
          <w:rFonts w:eastAsia="Times New Roman"/>
          <w:lang w:val="en-US" w:eastAsia="ja-JP"/>
        </w:rPr>
        <w:t>The National Center for Interstate Compacts at the Council of State Governments maintains a database of</w:t>
      </w:r>
      <w:r w:rsidR="62BC22BC" w:rsidRPr="7EB38FF3">
        <w:rPr>
          <w:rFonts w:eastAsia="Times New Roman"/>
          <w:lang w:val="en-US" w:eastAsia="ja-JP"/>
        </w:rPr>
        <w:t xml:space="preserve"> enacted Interstate Compacts.  The database currently contains 271 Interstate Compacts, covering a wide rang</w:t>
      </w:r>
      <w:r w:rsidR="39955034" w:rsidRPr="7EB38FF3">
        <w:rPr>
          <w:rFonts w:eastAsia="Times New Roman"/>
          <w:lang w:val="en-US" w:eastAsia="ja-JP"/>
        </w:rPr>
        <w:t>e of policy areas, from setting boundaries between states, to water rights</w:t>
      </w:r>
      <w:r w:rsidR="2DBD97DA" w:rsidRPr="7EB38FF3">
        <w:rPr>
          <w:rFonts w:eastAsia="Times New Roman"/>
          <w:lang w:val="en-US" w:eastAsia="ja-JP"/>
        </w:rPr>
        <w:t xml:space="preserve"> and disaster response among many other areas.</w:t>
      </w:r>
      <w:r w:rsidR="5BE1F499" w:rsidRPr="7EB38FF3">
        <w:rPr>
          <w:rFonts w:eastAsia="Times New Roman"/>
          <w:lang w:val="en-US" w:eastAsia="ja-JP"/>
        </w:rPr>
        <w:t xml:space="preserve">  The Council notes that benefits of compacts may include the following:</w:t>
      </w:r>
      <w:r w:rsidRPr="7EB38FF3">
        <w:rPr>
          <w:rStyle w:val="FootnoteReference"/>
          <w:rFonts w:eastAsia="Times New Roman"/>
          <w:lang w:val="en-US" w:eastAsia="ja-JP"/>
        </w:rPr>
        <w:footnoteReference w:id="20"/>
      </w:r>
      <w:r w:rsidR="5BE1F499" w:rsidRPr="7EB38FF3">
        <w:rPr>
          <w:rFonts w:eastAsia="Times New Roman"/>
          <w:lang w:val="en-US" w:eastAsia="ja-JP"/>
        </w:rPr>
        <w:t xml:space="preserve"> </w:t>
      </w:r>
    </w:p>
    <w:p w14:paraId="180E2F8C" w14:textId="1D1BA2AB" w:rsidR="5BE1F499" w:rsidRDefault="5BE1F499" w:rsidP="009C2CBA">
      <w:pPr>
        <w:pStyle w:val="ListParagraph"/>
        <w:numPr>
          <w:ilvl w:val="0"/>
          <w:numId w:val="1"/>
        </w:numPr>
        <w:rPr>
          <w:rFonts w:eastAsia="Times New Roman"/>
          <w:lang w:val="en-US" w:eastAsia="ja-JP"/>
        </w:rPr>
      </w:pPr>
      <w:r w:rsidRPr="7EB38FF3">
        <w:rPr>
          <w:rFonts w:eastAsia="Times New Roman"/>
          <w:lang w:val="en-US" w:eastAsia="ja-JP"/>
        </w:rPr>
        <w:t xml:space="preserve">Providing state-developed solutions to shared and complex </w:t>
      </w:r>
      <w:proofErr w:type="gramStart"/>
      <w:r w:rsidRPr="7EB38FF3">
        <w:rPr>
          <w:rFonts w:eastAsia="Times New Roman"/>
          <w:lang w:val="en-US" w:eastAsia="ja-JP"/>
        </w:rPr>
        <w:t>policy</w:t>
      </w:r>
      <w:proofErr w:type="gramEnd"/>
    </w:p>
    <w:p w14:paraId="1ADA427A" w14:textId="591A8236" w:rsidR="5BE1F499" w:rsidRDefault="5BE1F499" w:rsidP="009C2CBA">
      <w:pPr>
        <w:pStyle w:val="ListParagraph"/>
        <w:numPr>
          <w:ilvl w:val="0"/>
          <w:numId w:val="1"/>
        </w:numPr>
        <w:rPr>
          <w:rFonts w:eastAsia="Times New Roman"/>
          <w:lang w:val="en-US" w:eastAsia="ja-JP"/>
        </w:rPr>
      </w:pPr>
      <w:r w:rsidRPr="7EB38FF3">
        <w:rPr>
          <w:rFonts w:eastAsia="Times New Roman"/>
          <w:lang w:val="en-US" w:eastAsia="ja-JP"/>
        </w:rPr>
        <w:t>Settling interstate disputes</w:t>
      </w:r>
    </w:p>
    <w:p w14:paraId="280137BD" w14:textId="53C63192" w:rsidR="5BE1F499" w:rsidRDefault="5BE1F499" w:rsidP="009C2CBA">
      <w:pPr>
        <w:pStyle w:val="ListParagraph"/>
        <w:numPr>
          <w:ilvl w:val="0"/>
          <w:numId w:val="1"/>
        </w:numPr>
        <w:rPr>
          <w:rFonts w:eastAsia="Times New Roman"/>
          <w:lang w:val="en-US" w:eastAsia="ja-JP"/>
        </w:rPr>
      </w:pPr>
      <w:r w:rsidRPr="7EB38FF3">
        <w:rPr>
          <w:rFonts w:eastAsia="Times New Roman"/>
          <w:lang w:val="en-US" w:eastAsia="ja-JP"/>
        </w:rPr>
        <w:t>Responding to national priorities in consultation or partnership with the federal government</w:t>
      </w:r>
    </w:p>
    <w:p w14:paraId="3D84FDBB" w14:textId="689E7F56" w:rsidR="5BE1F499" w:rsidRDefault="5BE1F499" w:rsidP="009C2CBA">
      <w:pPr>
        <w:pStyle w:val="ListParagraph"/>
        <w:numPr>
          <w:ilvl w:val="0"/>
          <w:numId w:val="1"/>
        </w:numPr>
        <w:rPr>
          <w:rFonts w:eastAsia="Times New Roman"/>
          <w:lang w:val="en-US" w:eastAsia="ja-JP"/>
        </w:rPr>
      </w:pPr>
      <w:r w:rsidRPr="7EB38FF3">
        <w:rPr>
          <w:rFonts w:eastAsia="Times New Roman"/>
          <w:lang w:val="en-US" w:eastAsia="ja-JP"/>
        </w:rPr>
        <w:t>Helping states maintain sovereignty in matters traditionally reserved for the states</w:t>
      </w:r>
    </w:p>
    <w:p w14:paraId="3C208FBE" w14:textId="06ACAFB7" w:rsidR="5BE1F499" w:rsidRDefault="5BE1F499" w:rsidP="009C2CBA">
      <w:pPr>
        <w:pStyle w:val="ListParagraph"/>
        <w:numPr>
          <w:ilvl w:val="0"/>
          <w:numId w:val="1"/>
        </w:numPr>
        <w:rPr>
          <w:rFonts w:eastAsia="Times New Roman"/>
          <w:lang w:val="en-US" w:eastAsia="ja-JP"/>
        </w:rPr>
      </w:pPr>
      <w:r w:rsidRPr="7EB38FF3">
        <w:rPr>
          <w:rFonts w:eastAsia="Times New Roman"/>
          <w:lang w:val="en-US" w:eastAsia="ja-JP"/>
        </w:rPr>
        <w:t>Creating economies of scale to reduce administrative costs</w:t>
      </w:r>
    </w:p>
    <w:p w14:paraId="378FDDC5" w14:textId="35108917" w:rsidR="5BE1F499" w:rsidRDefault="5BE1F499" w:rsidP="009C2CBA">
      <w:pPr>
        <w:pStyle w:val="ListParagraph"/>
        <w:numPr>
          <w:ilvl w:val="0"/>
          <w:numId w:val="1"/>
        </w:numPr>
        <w:rPr>
          <w:rFonts w:eastAsia="Times New Roman"/>
          <w:lang w:val="en-US" w:eastAsia="ja-JP"/>
        </w:rPr>
      </w:pPr>
      <w:r w:rsidRPr="7EB38FF3">
        <w:rPr>
          <w:rFonts w:eastAsia="Times New Roman"/>
          <w:lang w:val="en-US" w:eastAsia="ja-JP"/>
        </w:rPr>
        <w:t xml:space="preserve">Addressing regional issues that affect multiple states </w:t>
      </w:r>
    </w:p>
    <w:p w14:paraId="4E154E37" w14:textId="2C72A0CD" w:rsidR="00AC0CA4" w:rsidRDefault="012A5D84" w:rsidP="003A0653">
      <w:pPr>
        <w:rPr>
          <w:rFonts w:eastAsia="Times New Roman"/>
          <w:lang w:val="en-US" w:eastAsia="ja-JP"/>
        </w:rPr>
      </w:pPr>
      <w:r w:rsidRPr="4DC72845">
        <w:rPr>
          <w:rFonts w:eastAsia="Times New Roman"/>
          <w:lang w:val="en-US" w:eastAsia="ja-JP"/>
        </w:rPr>
        <w:t xml:space="preserve">The multi-state </w:t>
      </w:r>
      <w:proofErr w:type="gramStart"/>
      <w:r w:rsidRPr="4DC72845">
        <w:rPr>
          <w:rFonts w:eastAsia="Times New Roman"/>
          <w:lang w:val="en-US" w:eastAsia="ja-JP"/>
        </w:rPr>
        <w:t>compact</w:t>
      </w:r>
      <w:proofErr w:type="gramEnd"/>
      <w:r w:rsidRPr="4DC72845">
        <w:rPr>
          <w:rFonts w:eastAsia="Times New Roman"/>
          <w:lang w:val="en-US" w:eastAsia="ja-JP"/>
        </w:rPr>
        <w:t xml:space="preserve"> most familiar to insurance regulators is the Interstate Insurance Product Regulation Commission (IIPRC).</w:t>
      </w:r>
      <w:r w:rsidR="00730ABD">
        <w:rPr>
          <w:rFonts w:eastAsia="Times New Roman"/>
          <w:lang w:val="en-US" w:eastAsia="ja-JP"/>
        </w:rPr>
        <w:t xml:space="preserve"> </w:t>
      </w:r>
      <w:r w:rsidR="00F510C5">
        <w:rPr>
          <w:rFonts w:eastAsia="Times New Roman"/>
          <w:lang w:val="en-US" w:eastAsia="ja-JP"/>
        </w:rPr>
        <w:t xml:space="preserve">IIPRC </w:t>
      </w:r>
      <w:r w:rsidR="000902B9">
        <w:rPr>
          <w:rFonts w:eastAsia="Times New Roman"/>
          <w:lang w:val="en-US" w:eastAsia="ja-JP"/>
        </w:rPr>
        <w:t xml:space="preserve">allows for multi-state approval of </w:t>
      </w:r>
      <w:r w:rsidR="00F510C5" w:rsidRPr="00F510C5">
        <w:rPr>
          <w:rFonts w:eastAsia="Times New Roman"/>
          <w:lang w:val="en-US" w:eastAsia="ja-JP"/>
        </w:rPr>
        <w:t>annuity, life insurance, disability income, and long-term care insurance products</w:t>
      </w:r>
      <w:r w:rsidR="000902B9">
        <w:rPr>
          <w:rFonts w:eastAsia="Times New Roman"/>
          <w:lang w:val="en-US" w:eastAsia="ja-JP"/>
        </w:rPr>
        <w:t>. Each of these</w:t>
      </w:r>
      <w:r w:rsidR="0052367E">
        <w:rPr>
          <w:rFonts w:eastAsia="Times New Roman"/>
          <w:lang w:val="en-US" w:eastAsia="ja-JP"/>
        </w:rPr>
        <w:t xml:space="preserve"> are</w:t>
      </w:r>
      <w:r w:rsidR="000902B9">
        <w:rPr>
          <w:rFonts w:eastAsia="Times New Roman"/>
          <w:lang w:val="en-US" w:eastAsia="ja-JP"/>
        </w:rPr>
        <w:t xml:space="preserve"> </w:t>
      </w:r>
      <w:r w:rsidR="00A9020B" w:rsidRPr="00A9020B">
        <w:rPr>
          <w:rFonts w:eastAsia="Times New Roman"/>
          <w:lang w:val="en-US" w:eastAsia="ja-JP"/>
        </w:rPr>
        <w:t xml:space="preserve">fixed indemnity products that are </w:t>
      </w:r>
      <w:r w:rsidR="0052367E">
        <w:rPr>
          <w:rFonts w:eastAsia="Times New Roman"/>
          <w:lang w:val="en-US" w:eastAsia="ja-JP"/>
        </w:rPr>
        <w:t>largely in</w:t>
      </w:r>
      <w:r w:rsidR="00A9020B" w:rsidRPr="00A9020B">
        <w:rPr>
          <w:rFonts w:eastAsia="Times New Roman"/>
          <w:lang w:val="en-US" w:eastAsia="ja-JP"/>
        </w:rPr>
        <w:t xml:space="preserve">dependent </w:t>
      </w:r>
      <w:r w:rsidR="0052367E">
        <w:rPr>
          <w:rFonts w:eastAsia="Times New Roman"/>
          <w:lang w:val="en-US" w:eastAsia="ja-JP"/>
        </w:rPr>
        <w:t xml:space="preserve">of state-specific </w:t>
      </w:r>
      <w:r w:rsidR="004F6D20">
        <w:rPr>
          <w:rFonts w:eastAsia="Times New Roman"/>
          <w:lang w:val="en-US" w:eastAsia="ja-JP"/>
        </w:rPr>
        <w:t>market considerations.</w:t>
      </w:r>
      <w:r w:rsidR="00985B62">
        <w:rPr>
          <w:rFonts w:eastAsia="Times New Roman"/>
          <w:lang w:val="en-US" w:eastAsia="ja-JP"/>
        </w:rPr>
        <w:t xml:space="preserve"> Insurers pay </w:t>
      </w:r>
      <w:r w:rsidR="00985B62" w:rsidRPr="00985B62">
        <w:rPr>
          <w:rFonts w:eastAsia="Times New Roman"/>
          <w:lang w:val="en-US" w:eastAsia="ja-JP"/>
        </w:rPr>
        <w:t xml:space="preserve">a fixed indemnity payment amount to (or on behalf of) </w:t>
      </w:r>
      <w:r w:rsidR="00935501">
        <w:rPr>
          <w:rFonts w:eastAsia="Times New Roman"/>
          <w:lang w:val="en-US" w:eastAsia="ja-JP"/>
        </w:rPr>
        <w:t>a</w:t>
      </w:r>
      <w:r w:rsidR="00985B62" w:rsidRPr="00985B62">
        <w:rPr>
          <w:rFonts w:eastAsia="Times New Roman"/>
          <w:lang w:val="en-US" w:eastAsia="ja-JP"/>
        </w:rPr>
        <w:t xml:space="preserve"> consumer</w:t>
      </w:r>
      <w:r w:rsidR="00935501">
        <w:rPr>
          <w:rFonts w:eastAsia="Times New Roman"/>
          <w:lang w:val="en-US" w:eastAsia="ja-JP"/>
        </w:rPr>
        <w:t xml:space="preserve"> and</w:t>
      </w:r>
      <w:r w:rsidR="00985B62" w:rsidRPr="00985B62">
        <w:rPr>
          <w:rFonts w:eastAsia="Times New Roman"/>
          <w:lang w:val="en-US" w:eastAsia="ja-JP"/>
        </w:rPr>
        <w:t xml:space="preserve"> the </w:t>
      </w:r>
      <w:r w:rsidR="00985B62" w:rsidRPr="00985B62">
        <w:rPr>
          <w:rFonts w:eastAsia="Times New Roman"/>
          <w:lang w:val="en-US" w:eastAsia="ja-JP"/>
        </w:rPr>
        <w:lastRenderedPageBreak/>
        <w:t>amount of the payment is not tied to the cost or network</w:t>
      </w:r>
      <w:r w:rsidR="00D20E5E">
        <w:rPr>
          <w:rFonts w:eastAsia="Times New Roman"/>
          <w:lang w:val="en-US" w:eastAsia="ja-JP"/>
        </w:rPr>
        <w:t xml:space="preserve"> participation of a service provider</w:t>
      </w:r>
      <w:r w:rsidR="007B009A">
        <w:rPr>
          <w:rFonts w:eastAsia="Times New Roman"/>
          <w:lang w:val="en-US" w:eastAsia="ja-JP"/>
        </w:rPr>
        <w:t xml:space="preserve">. </w:t>
      </w:r>
      <w:r w:rsidR="00A4635F">
        <w:rPr>
          <w:rFonts w:eastAsia="Times New Roman"/>
          <w:lang w:val="en-US" w:eastAsia="ja-JP"/>
        </w:rPr>
        <w:t>II</w:t>
      </w:r>
      <w:r w:rsidR="00167C98">
        <w:rPr>
          <w:rFonts w:eastAsia="Times New Roman"/>
          <w:lang w:val="en-US" w:eastAsia="ja-JP"/>
        </w:rPr>
        <w:t xml:space="preserve">PRC describes </w:t>
      </w:r>
      <w:r w:rsidR="00AC0CA4">
        <w:rPr>
          <w:rFonts w:eastAsia="Times New Roman"/>
          <w:lang w:val="en-US" w:eastAsia="ja-JP"/>
        </w:rPr>
        <w:t>its history on its website</w:t>
      </w:r>
      <w:r w:rsidR="004E35A7">
        <w:rPr>
          <w:rStyle w:val="FootnoteReference"/>
          <w:rFonts w:eastAsia="Times New Roman"/>
          <w:lang w:val="en-US" w:eastAsia="ja-JP"/>
        </w:rPr>
        <w:footnoteReference w:id="21"/>
      </w:r>
      <w:r w:rsidR="00AC0CA4">
        <w:rPr>
          <w:rFonts w:eastAsia="Times New Roman"/>
          <w:lang w:val="en-US" w:eastAsia="ja-JP"/>
        </w:rPr>
        <w:t>:</w:t>
      </w:r>
    </w:p>
    <w:p w14:paraId="006CF333" w14:textId="509B0B6C" w:rsidR="00657C5D" w:rsidRPr="00657C5D" w:rsidRDefault="6BBC69B2" w:rsidP="00706AF8">
      <w:pPr>
        <w:ind w:left="1310"/>
        <w:rPr>
          <w:rFonts w:eastAsia="Times New Roman"/>
          <w:lang w:val="en-US" w:eastAsia="ja-JP"/>
        </w:rPr>
      </w:pPr>
      <w:r w:rsidRPr="4DC72845">
        <w:rPr>
          <w:rFonts w:eastAsia="Times New Roman"/>
          <w:lang w:val="en-US" w:eastAsia="ja-JP"/>
        </w:rPr>
        <w:t>The IIPRC was created and established as a "joint public agency" by Compacting States that enacted the Interstate Insurance Product Regulation Compact (Compact Statute). The Compact Statute delegates to the Commission a limited regulatory function traditionally within state insurance departments, that is, to accept, review, and approve or disapprove individual and group annuity, life insurance, disability income, and long-term care insurance products submitted by insurance companies for use in Compacting States. The Commission adopts Uniform Standards, Rules and filings requirements constituting the exclusive provisions applicable to the content and approval of such products, rates and advertising on behalf the Compacting States.</w:t>
      </w:r>
    </w:p>
    <w:p w14:paraId="51C4CD35" w14:textId="558D85C6" w:rsidR="00657C5D" w:rsidRPr="00657C5D" w:rsidRDefault="78C52867" w:rsidP="00706AF8">
      <w:pPr>
        <w:ind w:left="1310"/>
        <w:rPr>
          <w:rFonts w:eastAsia="Times New Roman"/>
        </w:rPr>
      </w:pPr>
      <w:r w:rsidRPr="6853FBC6">
        <w:rPr>
          <w:rFonts w:eastAsia="Times New Roman"/>
        </w:rPr>
        <w:t xml:space="preserve">The IIPRC came into existence in March 2004, when it was enacted into law by the first state, Colorado, creating an offer to its sister states and then by the second state Utah, constituting an acceptance of the Compact. Article XIII, Section 2 of the Compact Statute required enactment by twenty-six (26) Compacting States or, alternatively, by States representing greater than forty percent (40%) for the Commission to become operational. Both of these operational thresholds were met in May 2006 and 27 Compacting States held the Commission's inaugural meeting in June 2006.  The Commission's product operations commenced in June 2007, when the first product filing was submitted, and was approved in July 2007. As of May 16, 2022, 44 states, the District of Columbia, and Puerto Rico (46 Compact Member Jurisdictions) representing approximately 75% of the nationwide premium volume for asset-based insurance products have adopted over 100 Uniform Standards covering all individual product lines and several employer/employee group products. </w:t>
      </w:r>
    </w:p>
    <w:p w14:paraId="46C99F0C" w14:textId="47382AA2" w:rsidR="00657C5D" w:rsidRDefault="1318EBF1" w:rsidP="4B43A0F9">
      <w:pPr>
        <w:rPr>
          <w:rFonts w:eastAsia="Times New Roman"/>
        </w:rPr>
      </w:pPr>
      <w:r w:rsidRPr="0E146399">
        <w:rPr>
          <w:rFonts w:eastAsia="Times New Roman"/>
        </w:rPr>
        <w:t>In the years following the passage of the Affordable Care Act,</w:t>
      </w:r>
      <w:r w:rsidR="735A7759" w:rsidRPr="0E146399">
        <w:rPr>
          <w:rFonts w:eastAsia="Times New Roman"/>
        </w:rPr>
        <w:t xml:space="preserve"> </w:t>
      </w:r>
      <w:r w:rsidR="00C745B9" w:rsidRPr="0E146399">
        <w:rPr>
          <w:rFonts w:eastAsia="Times New Roman"/>
          <w:lang w:val="en-US"/>
        </w:rPr>
        <w:t>an organization called “Competitive Governance Action”</w:t>
      </w:r>
      <w:r w:rsidR="00C745B9">
        <w:rPr>
          <w:rFonts w:eastAsia="Times New Roman"/>
          <w:lang w:val="en-US"/>
        </w:rPr>
        <w:t xml:space="preserve"> proposed </w:t>
      </w:r>
      <w:r w:rsidR="735A7759" w:rsidRPr="0E146399">
        <w:rPr>
          <w:rFonts w:eastAsia="Times New Roman"/>
        </w:rPr>
        <w:t>a “Health Care Compact</w:t>
      </w:r>
      <w:r w:rsidR="00E72E8D">
        <w:rPr>
          <w:rFonts w:eastAsia="Times New Roman"/>
        </w:rPr>
        <w:t>.</w:t>
      </w:r>
      <w:r w:rsidR="735A7759" w:rsidRPr="0E146399">
        <w:rPr>
          <w:rFonts w:eastAsia="Times New Roman"/>
        </w:rPr>
        <w:t>”</w:t>
      </w:r>
      <w:r w:rsidRPr="0E146399">
        <w:rPr>
          <w:rStyle w:val="FootnoteReference"/>
          <w:rFonts w:eastAsia="Times New Roman"/>
          <w:lang w:val="en-US"/>
        </w:rPr>
        <w:footnoteReference w:id="22"/>
      </w:r>
      <w:r w:rsidR="6D0A50EC" w:rsidRPr="0E146399">
        <w:rPr>
          <w:rFonts w:eastAsia="Times New Roman"/>
          <w:lang w:val="en-US"/>
        </w:rPr>
        <w:t xml:space="preserve"> The purpose of the Health Care Compact was to restore </w:t>
      </w:r>
      <w:r w:rsidR="05E7AAB1" w:rsidRPr="0E146399">
        <w:rPr>
          <w:rFonts w:eastAsia="Times New Roman"/>
        </w:rPr>
        <w:t>“authority and responsibility for health care regulation to the member states.”</w:t>
      </w:r>
      <w:r w:rsidR="009C7451">
        <w:rPr>
          <w:rStyle w:val="FootnoteReference"/>
          <w:rFonts w:eastAsia="Times New Roman"/>
        </w:rPr>
        <w:footnoteReference w:id="23"/>
      </w:r>
      <w:r w:rsidR="05E7AAB1" w:rsidRPr="0E146399">
        <w:rPr>
          <w:rFonts w:eastAsia="Times New Roman"/>
        </w:rPr>
        <w:t xml:space="preserve">  </w:t>
      </w:r>
      <w:r w:rsidR="7783FA64" w:rsidRPr="0E146399">
        <w:rPr>
          <w:rFonts w:eastAsia="Times New Roman"/>
        </w:rPr>
        <w:t>It would allow member states to enact legislation to suspend the operation of all federal laws, rules, regulations a</w:t>
      </w:r>
      <w:r w:rsidR="0053433D">
        <w:rPr>
          <w:rFonts w:eastAsia="Times New Roman"/>
        </w:rPr>
        <w:t>nd</w:t>
      </w:r>
      <w:r w:rsidR="7783FA64" w:rsidRPr="0E146399">
        <w:rPr>
          <w:rFonts w:eastAsia="Times New Roman"/>
        </w:rPr>
        <w:t xml:space="preserve"> orders regarding health care that are inconsistent with the laws and regu</w:t>
      </w:r>
      <w:r w:rsidR="2CB0390E" w:rsidRPr="0E146399">
        <w:rPr>
          <w:rFonts w:eastAsia="Times New Roman"/>
        </w:rPr>
        <w:t>la</w:t>
      </w:r>
      <w:r w:rsidR="7783FA64" w:rsidRPr="0E146399">
        <w:rPr>
          <w:rFonts w:eastAsia="Times New Roman"/>
        </w:rPr>
        <w:t xml:space="preserve">tions adopted by the member state pursuant to the </w:t>
      </w:r>
      <w:r w:rsidR="7783FA64" w:rsidRPr="0E146399">
        <w:rPr>
          <w:rFonts w:eastAsia="Times New Roman"/>
        </w:rPr>
        <w:lastRenderedPageBreak/>
        <w:t xml:space="preserve">compact.  </w:t>
      </w:r>
      <w:r w:rsidR="72BB4665" w:rsidRPr="0E146399">
        <w:rPr>
          <w:rFonts w:eastAsia="Times New Roman"/>
        </w:rPr>
        <w:t>It would also give member states the rights to federal funds in an amount equal</w:t>
      </w:r>
      <w:r w:rsidR="75AB98D8" w:rsidRPr="0E146399">
        <w:rPr>
          <w:rFonts w:eastAsia="Times New Roman"/>
        </w:rPr>
        <w:t xml:space="preserve"> </w:t>
      </w:r>
      <w:r w:rsidR="72BB4665" w:rsidRPr="0E146399">
        <w:rPr>
          <w:rFonts w:eastAsia="Times New Roman"/>
        </w:rPr>
        <w:t xml:space="preserve">to total spending on </w:t>
      </w:r>
      <w:r w:rsidR="12E228CA" w:rsidRPr="0E146399">
        <w:rPr>
          <w:rFonts w:eastAsia="Times New Roman"/>
        </w:rPr>
        <w:t>h</w:t>
      </w:r>
      <w:r w:rsidR="72BB4665" w:rsidRPr="0E146399">
        <w:rPr>
          <w:rFonts w:eastAsia="Times New Roman"/>
        </w:rPr>
        <w:t>e</w:t>
      </w:r>
      <w:r w:rsidR="0292B773" w:rsidRPr="0E146399">
        <w:rPr>
          <w:rFonts w:eastAsia="Times New Roman"/>
        </w:rPr>
        <w:t>a</w:t>
      </w:r>
      <w:r w:rsidR="72BB4665" w:rsidRPr="0E146399">
        <w:rPr>
          <w:rFonts w:eastAsia="Times New Roman"/>
        </w:rPr>
        <w:t>lth care in the member state during federal fiscal year 2010</w:t>
      </w:r>
      <w:r w:rsidR="0E958EAD" w:rsidRPr="0E146399">
        <w:rPr>
          <w:rFonts w:eastAsia="Times New Roman"/>
        </w:rPr>
        <w:t>.</w:t>
      </w:r>
      <w:r w:rsidR="004A06E0">
        <w:rPr>
          <w:rStyle w:val="FootnoteReference"/>
          <w:rFonts w:eastAsia="Times New Roman"/>
        </w:rPr>
        <w:footnoteReference w:id="24"/>
      </w:r>
      <w:r w:rsidR="0E958EAD" w:rsidRPr="0E146399">
        <w:rPr>
          <w:rFonts w:eastAsia="Times New Roman"/>
        </w:rPr>
        <w:t xml:space="preserve">  </w:t>
      </w:r>
      <w:r w:rsidR="7619E72B" w:rsidRPr="0E146399">
        <w:rPr>
          <w:rFonts w:eastAsia="Times New Roman"/>
        </w:rPr>
        <w:t>Nine states</w:t>
      </w:r>
      <w:r w:rsidR="001D04EA">
        <w:rPr>
          <w:rStyle w:val="FootnoteReference"/>
          <w:rFonts w:eastAsia="Times New Roman"/>
        </w:rPr>
        <w:footnoteReference w:id="25"/>
      </w:r>
      <w:r w:rsidR="00E35C2B">
        <w:rPr>
          <w:rFonts w:eastAsia="Times New Roman"/>
        </w:rPr>
        <w:t xml:space="preserve"> </w:t>
      </w:r>
      <w:r w:rsidR="7619E72B" w:rsidRPr="0E146399">
        <w:rPr>
          <w:rFonts w:eastAsia="Times New Roman"/>
        </w:rPr>
        <w:t>adopted legislation authorizing them to enter into the Compact, but no further action to receive Congressional consent or otherwise stand up the compact has t</w:t>
      </w:r>
      <w:r w:rsidR="7D1395BA" w:rsidRPr="0E146399">
        <w:rPr>
          <w:rFonts w:eastAsia="Times New Roman"/>
        </w:rPr>
        <w:t>aken place.</w:t>
      </w:r>
    </w:p>
    <w:p w14:paraId="745840B8" w14:textId="42EDD74E" w:rsidR="001A3B79" w:rsidRPr="00657C5D" w:rsidRDefault="001A3B79" w:rsidP="4B43A0F9">
      <w:pPr>
        <w:rPr>
          <w:rFonts w:eastAsia="Times New Roman"/>
          <w:lang w:val="en-US"/>
        </w:rPr>
      </w:pPr>
      <w:r>
        <w:rPr>
          <w:rFonts w:eastAsia="Times New Roman"/>
        </w:rPr>
        <w:t>Section 1333 of the ACA establishes a somewhat different model of compact</w:t>
      </w:r>
      <w:r w:rsidR="00C00BBB">
        <w:rPr>
          <w:rFonts w:eastAsia="Times New Roman"/>
        </w:rPr>
        <w:t xml:space="preserve"> in that it requires approval by </w:t>
      </w:r>
      <w:r w:rsidR="003E63AC">
        <w:rPr>
          <w:rFonts w:eastAsia="Times New Roman"/>
        </w:rPr>
        <w:t>a federal official</w:t>
      </w:r>
      <w:r w:rsidR="00D75963">
        <w:rPr>
          <w:rFonts w:eastAsia="Times New Roman"/>
        </w:rPr>
        <w:t>,</w:t>
      </w:r>
      <w:r w:rsidR="003E63AC">
        <w:rPr>
          <w:rFonts w:eastAsia="Times New Roman"/>
        </w:rPr>
        <w:t xml:space="preserve"> </w:t>
      </w:r>
      <w:r w:rsidR="00C00BBB">
        <w:rPr>
          <w:rFonts w:eastAsia="Times New Roman"/>
        </w:rPr>
        <w:t>the Secretary of Health and Human Services</w:t>
      </w:r>
      <w:r w:rsidR="00D75963">
        <w:rPr>
          <w:rFonts w:eastAsia="Times New Roman"/>
        </w:rPr>
        <w:t>.</w:t>
      </w:r>
      <w:r w:rsidR="00C00BBB">
        <w:rPr>
          <w:rFonts w:eastAsia="Times New Roman"/>
        </w:rPr>
        <w:t xml:space="preserve"> </w:t>
      </w:r>
    </w:p>
    <w:p w14:paraId="3D81D1DB" w14:textId="67465512" w:rsidR="00657C5D" w:rsidRPr="00657C5D" w:rsidRDefault="00657C5D" w:rsidP="003A0653">
      <w:pPr>
        <w:pStyle w:val="Heading2"/>
        <w:rPr>
          <w:rFonts w:eastAsia="Times New Roman"/>
          <w:lang w:eastAsia="ja-JP"/>
        </w:rPr>
      </w:pPr>
      <w:bookmarkStart w:id="26" w:name="_Toc216861716"/>
      <w:r w:rsidRPr="6853FBC6">
        <w:rPr>
          <w:rFonts w:eastAsia="Times New Roman"/>
          <w:lang w:eastAsia="ja-JP"/>
        </w:rPr>
        <w:t>Considerations for consumers, states, and insurance markets</w:t>
      </w:r>
      <w:bookmarkEnd w:id="26"/>
    </w:p>
    <w:p w14:paraId="3512ADE4" w14:textId="6F56B933" w:rsidR="006B50FF" w:rsidRPr="003A0653" w:rsidRDefault="00657C5D" w:rsidP="003A0653">
      <w:pPr>
        <w:pStyle w:val="Heading3"/>
        <w:rPr>
          <w:rFonts w:eastAsia="Times New Roman"/>
          <w:lang w:eastAsia="ja-JP"/>
        </w:rPr>
      </w:pPr>
      <w:bookmarkStart w:id="27" w:name="_Toc216861717"/>
      <w:r w:rsidRPr="003A0653">
        <w:rPr>
          <w:rFonts w:eastAsia="Times New Roman"/>
          <w:lang w:eastAsia="ja-JP"/>
        </w:rPr>
        <w:t>Potential areas of regulation impacted by HCC compact</w:t>
      </w:r>
      <w:bookmarkEnd w:id="27"/>
    </w:p>
    <w:p w14:paraId="7F2CEFAB" w14:textId="677B1F90" w:rsidR="006B50FF" w:rsidRPr="00260EAA" w:rsidRDefault="6EA01EF3" w:rsidP="003601F7">
      <w:pPr>
        <w:rPr>
          <w:lang w:val="en-US" w:eastAsia="ja-JP"/>
        </w:rPr>
      </w:pPr>
      <w:proofErr w:type="gramStart"/>
      <w:r w:rsidRPr="00260EAA">
        <w:rPr>
          <w:lang w:val="en-US" w:eastAsia="ja-JP"/>
        </w:rPr>
        <w:t>Health care</w:t>
      </w:r>
      <w:proofErr w:type="gramEnd"/>
      <w:r w:rsidRPr="00260EAA">
        <w:rPr>
          <w:lang w:val="en-US" w:eastAsia="ja-JP"/>
        </w:rPr>
        <w:t xml:space="preserve"> choice compacts, as outlined in the ACA, are subject to </w:t>
      </w:r>
      <w:proofErr w:type="gramStart"/>
      <w:r w:rsidRPr="00260EAA">
        <w:rPr>
          <w:lang w:val="en-US" w:eastAsia="ja-JP"/>
        </w:rPr>
        <w:t>a number of</w:t>
      </w:r>
      <w:proofErr w:type="gramEnd"/>
      <w:r w:rsidRPr="00260EAA">
        <w:rPr>
          <w:lang w:val="en-US" w:eastAsia="ja-JP"/>
        </w:rPr>
        <w:t xml:space="preserve"> restrictions, including application only to </w:t>
      </w:r>
      <w:r w:rsidR="00260EAA">
        <w:rPr>
          <w:lang w:val="en-US" w:eastAsia="ja-JP"/>
        </w:rPr>
        <w:t xml:space="preserve">qualified health plans in </w:t>
      </w:r>
      <w:r w:rsidRPr="00260EAA">
        <w:rPr>
          <w:lang w:val="en-US" w:eastAsia="ja-JP"/>
        </w:rPr>
        <w:t>the individual market. Potential areas of regulation</w:t>
      </w:r>
      <w:r w:rsidR="001F4F65">
        <w:rPr>
          <w:lang w:val="en-US" w:eastAsia="ja-JP"/>
        </w:rPr>
        <w:t xml:space="preserve"> </w:t>
      </w:r>
      <w:r w:rsidRPr="00260EAA">
        <w:rPr>
          <w:lang w:val="en-US" w:eastAsia="ja-JP"/>
        </w:rPr>
        <w:t>could include</w:t>
      </w:r>
      <w:r w:rsidR="2FDF1F0C" w:rsidRPr="00260EAA">
        <w:rPr>
          <w:lang w:val="en-US" w:eastAsia="ja-JP"/>
        </w:rPr>
        <w:t xml:space="preserve"> m</w:t>
      </w:r>
      <w:r w:rsidR="5D5DBB7F" w:rsidRPr="00260EAA">
        <w:rPr>
          <w:lang w:val="en-US" w:eastAsia="ja-JP"/>
        </w:rPr>
        <w:t>andated benefits (so long as essential health benefits continue to be met)</w:t>
      </w:r>
      <w:r w:rsidR="2117E8B4" w:rsidRPr="00260EAA">
        <w:rPr>
          <w:lang w:val="en-US" w:eastAsia="ja-JP"/>
        </w:rPr>
        <w:t>, and p</w:t>
      </w:r>
      <w:r w:rsidR="5D5DBB7F" w:rsidRPr="00260EAA">
        <w:rPr>
          <w:lang w:val="en-US" w:eastAsia="ja-JP"/>
        </w:rPr>
        <w:t>lan standards, such as plan design (so long as other guardrails continue to be met)</w:t>
      </w:r>
      <w:r w:rsidR="2FE23251" w:rsidRPr="00260EAA">
        <w:rPr>
          <w:lang w:val="en-US" w:eastAsia="ja-JP"/>
        </w:rPr>
        <w:t xml:space="preserve">. </w:t>
      </w:r>
      <w:r w:rsidRPr="00260EAA">
        <w:rPr>
          <w:lang w:val="en-US" w:eastAsia="ja-JP"/>
        </w:rPr>
        <w:t xml:space="preserve"> </w:t>
      </w:r>
    </w:p>
    <w:p w14:paraId="1E9268AB" w14:textId="6AF51AC8" w:rsidR="5E87BC60" w:rsidRPr="0007108C" w:rsidRDefault="1081C0D9" w:rsidP="003601F7">
      <w:pPr>
        <w:rPr>
          <w:lang w:val="en-US" w:eastAsia="ja-JP"/>
        </w:rPr>
      </w:pPr>
      <w:r w:rsidRPr="0007108C">
        <w:rPr>
          <w:lang w:val="en-US" w:eastAsia="ja-JP"/>
        </w:rPr>
        <w:t xml:space="preserve">Section 1333 of the ACA also makes clear what </w:t>
      </w:r>
      <w:r w:rsidR="69A09403" w:rsidRPr="0007108C">
        <w:rPr>
          <w:lang w:val="en-US" w:eastAsia="ja-JP"/>
        </w:rPr>
        <w:t xml:space="preserve">state regulatory authority </w:t>
      </w:r>
      <w:r w:rsidRPr="0007108C">
        <w:rPr>
          <w:lang w:val="en-US" w:eastAsia="ja-JP"/>
        </w:rPr>
        <w:t xml:space="preserve">cannot be weakened under such a compact: </w:t>
      </w:r>
    </w:p>
    <w:p w14:paraId="3E37DA68" w14:textId="77777777" w:rsidR="003601F7" w:rsidRDefault="50E7E8EC" w:rsidP="009C2CBA">
      <w:pPr>
        <w:pStyle w:val="ListParagraph"/>
        <w:numPr>
          <w:ilvl w:val="0"/>
          <w:numId w:val="29"/>
        </w:numPr>
        <w:rPr>
          <w:rFonts w:eastAsia="Times New Roman"/>
          <w:lang w:val="en-US" w:eastAsia="ja-JP"/>
        </w:rPr>
      </w:pPr>
      <w:r w:rsidRPr="003601F7">
        <w:rPr>
          <w:rFonts w:eastAsia="Times New Roman"/>
          <w:lang w:val="en-US" w:eastAsia="ja-JP"/>
        </w:rPr>
        <w:t>market conduct</w:t>
      </w:r>
    </w:p>
    <w:p w14:paraId="1DA93E2C" w14:textId="77777777" w:rsidR="003601F7" w:rsidRDefault="50E7E8EC" w:rsidP="009C2CBA">
      <w:pPr>
        <w:pStyle w:val="ListParagraph"/>
        <w:numPr>
          <w:ilvl w:val="0"/>
          <w:numId w:val="29"/>
        </w:numPr>
        <w:rPr>
          <w:rFonts w:eastAsia="Times New Roman"/>
          <w:lang w:val="en-US" w:eastAsia="ja-JP"/>
        </w:rPr>
      </w:pPr>
      <w:r w:rsidRPr="003601F7">
        <w:rPr>
          <w:rFonts w:eastAsia="Times New Roman"/>
          <w:lang w:val="en-US" w:eastAsia="ja-JP"/>
        </w:rPr>
        <w:t>unfair trade practices</w:t>
      </w:r>
    </w:p>
    <w:p w14:paraId="1B85E6B4" w14:textId="77777777" w:rsidR="003601F7" w:rsidRDefault="50E7E8EC" w:rsidP="009C2CBA">
      <w:pPr>
        <w:pStyle w:val="ListParagraph"/>
        <w:numPr>
          <w:ilvl w:val="0"/>
          <w:numId w:val="29"/>
        </w:numPr>
        <w:rPr>
          <w:rFonts w:eastAsia="Times New Roman"/>
          <w:lang w:val="en-US" w:eastAsia="ja-JP"/>
        </w:rPr>
      </w:pPr>
      <w:r w:rsidRPr="003601F7">
        <w:rPr>
          <w:rFonts w:eastAsia="Times New Roman"/>
          <w:lang w:val="en-US" w:eastAsia="ja-JP"/>
        </w:rPr>
        <w:t>network adequacy</w:t>
      </w:r>
    </w:p>
    <w:p w14:paraId="5B443047" w14:textId="77777777" w:rsidR="003601F7" w:rsidRDefault="1081C0D9" w:rsidP="009C2CBA">
      <w:pPr>
        <w:pStyle w:val="ListParagraph"/>
        <w:numPr>
          <w:ilvl w:val="0"/>
          <w:numId w:val="29"/>
        </w:numPr>
        <w:rPr>
          <w:rFonts w:eastAsia="Times New Roman"/>
          <w:lang w:val="en-US" w:eastAsia="ja-JP"/>
        </w:rPr>
      </w:pPr>
      <w:r w:rsidRPr="003601F7">
        <w:rPr>
          <w:rFonts w:eastAsia="Times New Roman"/>
          <w:lang w:val="en-US" w:eastAsia="ja-JP"/>
        </w:rPr>
        <w:t xml:space="preserve">consumer protection standards (such as rate review), and </w:t>
      </w:r>
    </w:p>
    <w:p w14:paraId="458CA3D5" w14:textId="7D525999" w:rsidR="000B0F0A" w:rsidRPr="003601F7" w:rsidRDefault="50E7E8EC" w:rsidP="009C2CBA">
      <w:pPr>
        <w:pStyle w:val="ListParagraph"/>
        <w:numPr>
          <w:ilvl w:val="0"/>
          <w:numId w:val="29"/>
        </w:numPr>
        <w:rPr>
          <w:rFonts w:eastAsia="Times New Roman"/>
          <w:lang w:val="en-US" w:eastAsia="ja-JP"/>
        </w:rPr>
      </w:pPr>
      <w:r w:rsidRPr="003601F7">
        <w:rPr>
          <w:rFonts w:eastAsia="Times New Roman"/>
          <w:lang w:val="en-US" w:eastAsia="ja-JP"/>
        </w:rPr>
        <w:t>disputes arising under the contract of the state where the purchaser resides.</w:t>
      </w:r>
    </w:p>
    <w:p w14:paraId="4914E621" w14:textId="5C18EC84" w:rsidR="2DBA7645" w:rsidRPr="000B0F0A" w:rsidRDefault="2DBA7645" w:rsidP="003601F7">
      <w:pPr>
        <w:rPr>
          <w:rFonts w:eastAsia="Times New Roman"/>
          <w:lang w:val="en-US" w:eastAsia="ja-JP"/>
        </w:rPr>
      </w:pPr>
      <w:r w:rsidRPr="000B0F0A">
        <w:rPr>
          <w:rFonts w:eastAsia="Times New Roman"/>
          <w:lang w:val="en-US" w:eastAsia="ja-JP"/>
        </w:rPr>
        <w:t xml:space="preserve">Additionally, a plan issued under a section 1333 Compact must be licensed in each state or voluntarily submit to each state’s regulatory authority.  It must also clearly </w:t>
      </w:r>
      <w:r w:rsidR="4EE72C8C" w:rsidRPr="000B0F0A">
        <w:rPr>
          <w:rFonts w:eastAsia="Times New Roman"/>
          <w:lang w:val="en-US" w:eastAsia="ja-JP"/>
        </w:rPr>
        <w:t xml:space="preserve">notify consumers that the policy may not be subject to </w:t>
      </w:r>
      <w:proofErr w:type="gramStart"/>
      <w:r w:rsidR="4EE72C8C" w:rsidRPr="000B0F0A">
        <w:rPr>
          <w:rFonts w:eastAsia="Times New Roman"/>
          <w:lang w:val="en-US" w:eastAsia="ja-JP"/>
        </w:rPr>
        <w:t>all of</w:t>
      </w:r>
      <w:proofErr w:type="gramEnd"/>
      <w:r w:rsidR="4EE72C8C" w:rsidRPr="000B0F0A">
        <w:rPr>
          <w:rFonts w:eastAsia="Times New Roman"/>
          <w:lang w:val="en-US" w:eastAsia="ja-JP"/>
        </w:rPr>
        <w:t xml:space="preserve"> the laws of the state where the consumer lives. </w:t>
      </w:r>
    </w:p>
    <w:p w14:paraId="04F7911E" w14:textId="67F0BDE9" w:rsidR="5E87BC60" w:rsidRPr="003A0653" w:rsidRDefault="00657C5D" w:rsidP="00CE0B48">
      <w:pPr>
        <w:pStyle w:val="Heading3"/>
        <w:rPr>
          <w:rFonts w:eastAsia="Times New Roman"/>
          <w:lang w:eastAsia="ja-JP"/>
        </w:rPr>
      </w:pPr>
      <w:bookmarkStart w:id="28" w:name="_Toc216861718"/>
      <w:r w:rsidRPr="7EB38FF3">
        <w:rPr>
          <w:rFonts w:eastAsia="Times New Roman"/>
          <w:lang w:eastAsia="ja-JP"/>
        </w:rPr>
        <w:t>Pros and cons for states</w:t>
      </w:r>
      <w:bookmarkEnd w:id="28"/>
    </w:p>
    <w:p w14:paraId="55A55C1C" w14:textId="3DAA2EA3" w:rsidR="008B2EA3" w:rsidRDefault="00F21309" w:rsidP="7EB38FF3">
      <w:pPr>
        <w:rPr>
          <w:rFonts w:eastAsia="Times New Roman"/>
          <w:lang w:val="en-US" w:eastAsia="ja-JP"/>
        </w:rPr>
      </w:pPr>
      <w:r>
        <w:rPr>
          <w:rFonts w:eastAsia="Times New Roman"/>
          <w:lang w:val="en-US" w:eastAsia="ja-JP"/>
        </w:rPr>
        <w:t xml:space="preserve">Multi-state compacts under Section 1333 could </w:t>
      </w:r>
      <w:r w:rsidR="004568C1">
        <w:rPr>
          <w:rFonts w:eastAsia="Times New Roman"/>
          <w:lang w:val="en-US" w:eastAsia="ja-JP"/>
        </w:rPr>
        <w:t xml:space="preserve">allow a range of market </w:t>
      </w:r>
      <w:r w:rsidR="00C45F26">
        <w:rPr>
          <w:rFonts w:eastAsia="Times New Roman"/>
          <w:lang w:val="en-US" w:eastAsia="ja-JP"/>
        </w:rPr>
        <w:t>adjustments, fr</w:t>
      </w:r>
      <w:r w:rsidR="00C84C37">
        <w:rPr>
          <w:rFonts w:eastAsia="Times New Roman"/>
          <w:lang w:val="en-US" w:eastAsia="ja-JP"/>
        </w:rPr>
        <w:t xml:space="preserve">om the same qualified health plan being offered in multiple states to the </w:t>
      </w:r>
      <w:r w:rsidR="00F20773">
        <w:rPr>
          <w:rFonts w:eastAsia="Times New Roman"/>
          <w:lang w:val="en-US" w:eastAsia="ja-JP"/>
        </w:rPr>
        <w:t>combination of multiple states’ markets. C</w:t>
      </w:r>
      <w:r w:rsidR="002E3702" w:rsidRPr="002E3702">
        <w:rPr>
          <w:rFonts w:eastAsia="Times New Roman"/>
          <w:lang w:val="en-US" w:eastAsia="ja-JP"/>
        </w:rPr>
        <w:t>ombining risk pools c</w:t>
      </w:r>
      <w:r w:rsidR="00F20773">
        <w:rPr>
          <w:rFonts w:eastAsia="Times New Roman"/>
          <w:lang w:val="en-US" w:eastAsia="ja-JP"/>
        </w:rPr>
        <w:t>ould</w:t>
      </w:r>
      <w:r w:rsidR="002E3702" w:rsidRPr="002E3702">
        <w:rPr>
          <w:rFonts w:eastAsia="Times New Roman"/>
          <w:lang w:val="en-US" w:eastAsia="ja-JP"/>
        </w:rPr>
        <w:t xml:space="preserve"> </w:t>
      </w:r>
      <w:r w:rsidR="00F67F30">
        <w:rPr>
          <w:rFonts w:eastAsia="Times New Roman"/>
          <w:lang w:val="en-US" w:eastAsia="ja-JP"/>
        </w:rPr>
        <w:t xml:space="preserve">potentially </w:t>
      </w:r>
      <w:r w:rsidR="002E3702" w:rsidRPr="002E3702">
        <w:rPr>
          <w:rFonts w:eastAsia="Times New Roman"/>
          <w:lang w:val="en-US" w:eastAsia="ja-JP"/>
        </w:rPr>
        <w:t xml:space="preserve">improve market stability, </w:t>
      </w:r>
      <w:r w:rsidR="002E3702" w:rsidRPr="002E3702">
        <w:rPr>
          <w:rFonts w:eastAsia="Times New Roman"/>
          <w:lang w:val="en-US" w:eastAsia="ja-JP"/>
        </w:rPr>
        <w:lastRenderedPageBreak/>
        <w:t>encourage more market participants, and create better leverage for insurers to negotiate better rates</w:t>
      </w:r>
      <w:r w:rsidR="008B2EA3">
        <w:rPr>
          <w:rFonts w:eastAsia="Times New Roman"/>
          <w:lang w:val="en-US" w:eastAsia="ja-JP"/>
        </w:rPr>
        <w:t>.</w:t>
      </w:r>
    </w:p>
    <w:p w14:paraId="20DBAA01" w14:textId="31870481" w:rsidR="001077D4" w:rsidRDefault="479242FB" w:rsidP="7EB38FF3">
      <w:pPr>
        <w:rPr>
          <w:rFonts w:eastAsia="Times New Roman"/>
          <w:lang w:val="en-US" w:eastAsia="ja-JP"/>
        </w:rPr>
      </w:pPr>
      <w:r w:rsidRPr="7EB38FF3">
        <w:rPr>
          <w:rFonts w:eastAsia="Times New Roman"/>
          <w:lang w:val="en-US" w:eastAsia="ja-JP"/>
        </w:rPr>
        <w:t xml:space="preserve">In </w:t>
      </w:r>
      <w:r w:rsidR="006C2203">
        <w:rPr>
          <w:rFonts w:eastAsia="Times New Roman"/>
          <w:lang w:val="en-US" w:eastAsia="ja-JP"/>
        </w:rPr>
        <w:t xml:space="preserve">its October 2025 </w:t>
      </w:r>
      <w:r w:rsidR="00B67F8F">
        <w:rPr>
          <w:rFonts w:eastAsia="Times New Roman"/>
          <w:lang w:val="en-US" w:eastAsia="ja-JP"/>
        </w:rPr>
        <w:t>consultation letter to CMS</w:t>
      </w:r>
      <w:r w:rsidR="006C2203">
        <w:rPr>
          <w:rFonts w:eastAsia="Times New Roman"/>
          <w:lang w:val="en-US" w:eastAsia="ja-JP"/>
        </w:rPr>
        <w:t xml:space="preserve">, the </w:t>
      </w:r>
      <w:r w:rsidRPr="7EB38FF3">
        <w:rPr>
          <w:rFonts w:eastAsia="Times New Roman"/>
          <w:lang w:val="en-US" w:eastAsia="ja-JP"/>
        </w:rPr>
        <w:t xml:space="preserve">NAIC </w:t>
      </w:r>
      <w:r w:rsidR="008C27A0">
        <w:rPr>
          <w:rFonts w:eastAsia="Times New Roman"/>
          <w:lang w:val="en-US" w:eastAsia="ja-JP"/>
        </w:rPr>
        <w:t>held</w:t>
      </w:r>
      <w:r w:rsidRPr="7EB38FF3">
        <w:rPr>
          <w:rFonts w:eastAsia="Times New Roman"/>
          <w:lang w:val="en-US" w:eastAsia="ja-JP"/>
        </w:rPr>
        <w:t xml:space="preserve"> that state flexibility and input will be paramount in making Section 1333 waivers effect</w:t>
      </w:r>
      <w:r w:rsidR="6DF7CB43" w:rsidRPr="7EB38FF3">
        <w:rPr>
          <w:rFonts w:eastAsia="Times New Roman"/>
          <w:lang w:val="en-US" w:eastAsia="ja-JP"/>
        </w:rPr>
        <w:t xml:space="preserve">ive. NAIC cautioned against federal regulations </w:t>
      </w:r>
      <w:r w:rsidR="009A2CCB">
        <w:rPr>
          <w:rFonts w:eastAsia="Times New Roman"/>
          <w:lang w:val="en-US" w:eastAsia="ja-JP"/>
        </w:rPr>
        <w:t xml:space="preserve">that </w:t>
      </w:r>
      <w:r w:rsidR="6DF7CB43" w:rsidRPr="7EB38FF3">
        <w:rPr>
          <w:rFonts w:eastAsia="Times New Roman"/>
          <w:lang w:val="en-US" w:eastAsia="ja-JP"/>
        </w:rPr>
        <w:t xml:space="preserve">limit how states work together to harmonize differing rules; how a compact is governed; and how a compact is funded.  </w:t>
      </w:r>
    </w:p>
    <w:p w14:paraId="0DA5D528" w14:textId="4A82DAFA" w:rsidR="4DC72845" w:rsidRDefault="007D5F28" w:rsidP="7EB38FF3">
      <w:pPr>
        <w:rPr>
          <w:rFonts w:eastAsia="Times New Roman"/>
          <w:lang w:val="en-US" w:eastAsia="ja-JP"/>
        </w:rPr>
      </w:pPr>
      <w:r>
        <w:rPr>
          <w:rFonts w:eastAsia="Times New Roman"/>
          <w:lang w:val="en-US" w:eastAsia="ja-JP"/>
        </w:rPr>
        <w:t>Given the extensive federal regulation of qualified health plans under the ACA, s</w:t>
      </w:r>
      <w:r w:rsidR="2B353BD4" w:rsidRPr="7EB38FF3">
        <w:rPr>
          <w:rFonts w:eastAsia="Times New Roman"/>
          <w:lang w:val="en-US" w:eastAsia="ja-JP"/>
        </w:rPr>
        <w:t xml:space="preserve">tates may value greater input into </w:t>
      </w:r>
      <w:r>
        <w:rPr>
          <w:rFonts w:eastAsia="Times New Roman"/>
          <w:lang w:val="en-US" w:eastAsia="ja-JP"/>
        </w:rPr>
        <w:t>QHP</w:t>
      </w:r>
      <w:r w:rsidR="2B353BD4" w:rsidRPr="7EB38FF3">
        <w:rPr>
          <w:rFonts w:eastAsia="Times New Roman"/>
          <w:lang w:val="en-US" w:eastAsia="ja-JP"/>
        </w:rPr>
        <w:t xml:space="preserve"> standards and certification processes</w:t>
      </w:r>
      <w:r w:rsidR="00A91DB9">
        <w:rPr>
          <w:rFonts w:eastAsia="Times New Roman"/>
          <w:lang w:val="en-US" w:eastAsia="ja-JP"/>
        </w:rPr>
        <w:t>. A</w:t>
      </w:r>
      <w:r w:rsidR="2B353BD4" w:rsidRPr="7EB38FF3">
        <w:rPr>
          <w:rFonts w:eastAsia="Times New Roman"/>
          <w:lang w:val="en-US" w:eastAsia="ja-JP"/>
        </w:rPr>
        <w:t xml:space="preserve"> Section 1333 compact could be the vehicle through which states could provide that input. As noted in the NAIC’s  2025 letter to </w:t>
      </w:r>
      <w:r w:rsidR="00FF0706">
        <w:rPr>
          <w:rFonts w:eastAsia="Times New Roman"/>
          <w:lang w:val="en-US" w:eastAsia="ja-JP"/>
        </w:rPr>
        <w:t>CMS</w:t>
      </w:r>
      <w:r w:rsidR="2B353BD4" w:rsidRPr="7EB38FF3">
        <w:rPr>
          <w:rFonts w:eastAsia="Times New Roman"/>
          <w:lang w:val="en-US" w:eastAsia="ja-JP"/>
        </w:rPr>
        <w:t xml:space="preserve">, flexibility is very important to </w:t>
      </w:r>
      <w:proofErr w:type="gramStart"/>
      <w:r w:rsidR="2B353BD4" w:rsidRPr="7EB38FF3">
        <w:rPr>
          <w:rFonts w:eastAsia="Times New Roman"/>
          <w:lang w:val="en-US" w:eastAsia="ja-JP"/>
        </w:rPr>
        <w:t>states</w:t>
      </w:r>
      <w:proofErr w:type="gramEnd"/>
      <w:r w:rsidR="2B353BD4" w:rsidRPr="7EB38FF3">
        <w:rPr>
          <w:rFonts w:eastAsia="Times New Roman"/>
          <w:lang w:val="en-US" w:eastAsia="ja-JP"/>
        </w:rPr>
        <w:t xml:space="preserve"> when discussing both section 1332 and section 1333 waivers.  </w:t>
      </w:r>
      <w:r w:rsidR="4ABF6611" w:rsidRPr="6B73BF54">
        <w:rPr>
          <w:rFonts w:eastAsia="Times New Roman"/>
          <w:lang w:val="en-US" w:eastAsia="ja-JP"/>
        </w:rPr>
        <w:t xml:space="preserve">Consumer protection is of paramount </w:t>
      </w:r>
      <w:r w:rsidR="4ABF6611" w:rsidRPr="5D3EE8DB">
        <w:rPr>
          <w:rFonts w:eastAsia="Times New Roman"/>
          <w:lang w:val="en-US" w:eastAsia="ja-JP"/>
        </w:rPr>
        <w:t>importan</w:t>
      </w:r>
      <w:r w:rsidR="4A83F038" w:rsidRPr="5D3EE8DB">
        <w:rPr>
          <w:rFonts w:eastAsia="Times New Roman"/>
          <w:lang w:val="en-US" w:eastAsia="ja-JP"/>
        </w:rPr>
        <w:t>ce</w:t>
      </w:r>
      <w:r w:rsidR="4ABF6611" w:rsidRPr="6B73BF54">
        <w:rPr>
          <w:rFonts w:eastAsia="Times New Roman"/>
          <w:lang w:val="en-US" w:eastAsia="ja-JP"/>
        </w:rPr>
        <w:t xml:space="preserve"> to state insurance </w:t>
      </w:r>
      <w:r w:rsidR="4ABF6611" w:rsidRPr="77420F24">
        <w:rPr>
          <w:rFonts w:eastAsia="Times New Roman"/>
          <w:lang w:val="en-US" w:eastAsia="ja-JP"/>
        </w:rPr>
        <w:t>regulator</w:t>
      </w:r>
      <w:r w:rsidR="61B7ED6D" w:rsidRPr="77420F24">
        <w:rPr>
          <w:rFonts w:eastAsia="Times New Roman"/>
          <w:lang w:val="en-US" w:eastAsia="ja-JP"/>
        </w:rPr>
        <w:t>s, and</w:t>
      </w:r>
      <w:r w:rsidR="61B7ED6D" w:rsidRPr="0E9C6015">
        <w:rPr>
          <w:rFonts w:eastAsia="Times New Roman"/>
          <w:lang w:val="en-US" w:eastAsia="ja-JP"/>
        </w:rPr>
        <w:t xml:space="preserve"> </w:t>
      </w:r>
      <w:r w:rsidR="61B7ED6D" w:rsidRPr="3CB9CC8B">
        <w:rPr>
          <w:rFonts w:eastAsia="Times New Roman"/>
          <w:lang w:val="en-US" w:eastAsia="ja-JP"/>
        </w:rPr>
        <w:t>a</w:t>
      </w:r>
      <w:r w:rsidR="61B7ED6D" w:rsidRPr="722D7654">
        <w:rPr>
          <w:rFonts w:eastAsia="Times New Roman"/>
          <w:lang w:val="en-US" w:eastAsia="ja-JP"/>
        </w:rPr>
        <w:t xml:space="preserve"> key </w:t>
      </w:r>
      <w:r w:rsidR="61B7ED6D" w:rsidRPr="32E88F4B">
        <w:rPr>
          <w:rFonts w:eastAsia="Times New Roman"/>
          <w:lang w:val="en-US" w:eastAsia="ja-JP"/>
        </w:rPr>
        <w:t xml:space="preserve">element of </w:t>
      </w:r>
      <w:r w:rsidR="61B7ED6D" w:rsidRPr="7EDC1890">
        <w:rPr>
          <w:rFonts w:eastAsia="Times New Roman"/>
          <w:lang w:val="en-US" w:eastAsia="ja-JP"/>
        </w:rPr>
        <w:t xml:space="preserve">the </w:t>
      </w:r>
      <w:r w:rsidR="00802410">
        <w:rPr>
          <w:rFonts w:eastAsia="Times New Roman"/>
          <w:lang w:val="en-US" w:eastAsia="ja-JP"/>
        </w:rPr>
        <w:t>S</w:t>
      </w:r>
      <w:r w:rsidR="61B7ED6D" w:rsidRPr="7EDC1890">
        <w:rPr>
          <w:rFonts w:eastAsia="Times New Roman"/>
          <w:lang w:val="en-US" w:eastAsia="ja-JP"/>
        </w:rPr>
        <w:t>ection 1333</w:t>
      </w:r>
      <w:r w:rsidR="61B7ED6D" w:rsidRPr="30016A46">
        <w:rPr>
          <w:rFonts w:eastAsia="Times New Roman"/>
          <w:lang w:val="en-US" w:eastAsia="ja-JP"/>
        </w:rPr>
        <w:t xml:space="preserve"> </w:t>
      </w:r>
      <w:r w:rsidR="00802410">
        <w:rPr>
          <w:rFonts w:eastAsia="Times New Roman"/>
          <w:lang w:val="en-US" w:eastAsia="ja-JP"/>
        </w:rPr>
        <w:t>c</w:t>
      </w:r>
      <w:r w:rsidR="61B7ED6D" w:rsidRPr="1753DB12">
        <w:rPr>
          <w:rFonts w:eastAsia="Times New Roman"/>
          <w:lang w:val="en-US" w:eastAsia="ja-JP"/>
        </w:rPr>
        <w:t>ompact is that plans offered across state</w:t>
      </w:r>
      <w:r w:rsidR="61B7ED6D" w:rsidRPr="5C210757">
        <w:rPr>
          <w:rFonts w:eastAsia="Times New Roman"/>
          <w:lang w:val="en-US" w:eastAsia="ja-JP"/>
        </w:rPr>
        <w:t xml:space="preserve"> </w:t>
      </w:r>
      <w:r w:rsidR="61B7ED6D" w:rsidRPr="560DBDB2">
        <w:rPr>
          <w:rFonts w:eastAsia="Times New Roman"/>
          <w:lang w:val="en-US" w:eastAsia="ja-JP"/>
        </w:rPr>
        <w:t xml:space="preserve">lines </w:t>
      </w:r>
      <w:r w:rsidR="61B7ED6D" w:rsidRPr="2A411CCA">
        <w:rPr>
          <w:rFonts w:eastAsia="Times New Roman"/>
          <w:lang w:val="en-US" w:eastAsia="ja-JP"/>
        </w:rPr>
        <w:t>would</w:t>
      </w:r>
      <w:r w:rsidR="61B7ED6D" w:rsidRPr="1F9B3855">
        <w:rPr>
          <w:rFonts w:eastAsia="Times New Roman"/>
          <w:lang w:val="en-US" w:eastAsia="ja-JP"/>
        </w:rPr>
        <w:t xml:space="preserve"> </w:t>
      </w:r>
      <w:r w:rsidR="2B353BD4" w:rsidRPr="7EB38FF3">
        <w:rPr>
          <w:rFonts w:eastAsia="Times New Roman"/>
          <w:lang w:val="en-US" w:eastAsia="ja-JP"/>
        </w:rPr>
        <w:t xml:space="preserve">continue to be subject to </w:t>
      </w:r>
      <w:r w:rsidR="2B353BD4" w:rsidRPr="40F189C3">
        <w:rPr>
          <w:rFonts w:eastAsia="Times New Roman"/>
          <w:lang w:val="en-US" w:eastAsia="ja-JP"/>
        </w:rPr>
        <w:t>importan</w:t>
      </w:r>
      <w:r w:rsidR="52A78202" w:rsidRPr="40F189C3">
        <w:rPr>
          <w:rFonts w:eastAsia="Times New Roman"/>
          <w:lang w:val="en-US" w:eastAsia="ja-JP"/>
        </w:rPr>
        <w:t>t</w:t>
      </w:r>
      <w:r w:rsidR="2B353BD4" w:rsidRPr="7EB38FF3">
        <w:rPr>
          <w:rFonts w:eastAsia="Times New Roman"/>
          <w:lang w:val="en-US" w:eastAsia="ja-JP"/>
        </w:rPr>
        <w:t xml:space="preserve"> consumer protections laws in each state in which they are offered. </w:t>
      </w:r>
    </w:p>
    <w:p w14:paraId="1F91C009" w14:textId="7FB073F2" w:rsidR="0007384C" w:rsidRDefault="0070293A" w:rsidP="588C646D">
      <w:pPr>
        <w:rPr>
          <w:rFonts w:eastAsia="Times New Roman"/>
          <w:lang w:eastAsia="ja-JP"/>
        </w:rPr>
      </w:pPr>
      <w:r>
        <w:rPr>
          <w:rFonts w:eastAsia="Times New Roman"/>
          <w:lang w:val="en-US" w:eastAsia="ja-JP"/>
        </w:rPr>
        <w:t>The potential for</w:t>
      </w:r>
      <w:r w:rsidR="00767159">
        <w:rPr>
          <w:rFonts w:eastAsia="Times New Roman"/>
          <w:lang w:val="en-US" w:eastAsia="ja-JP"/>
        </w:rPr>
        <w:t xml:space="preserve"> state</w:t>
      </w:r>
      <w:r>
        <w:rPr>
          <w:rFonts w:eastAsia="Times New Roman"/>
          <w:lang w:val="en-US" w:eastAsia="ja-JP"/>
        </w:rPr>
        <w:t xml:space="preserve"> flexibility and increased stability</w:t>
      </w:r>
      <w:r w:rsidR="00FC0964">
        <w:rPr>
          <w:rFonts w:eastAsia="Times New Roman"/>
          <w:lang w:val="en-US" w:eastAsia="ja-JP"/>
        </w:rPr>
        <w:t xml:space="preserve"> for plans offered in the individual market is </w:t>
      </w:r>
      <w:r w:rsidR="00767159">
        <w:rPr>
          <w:rFonts w:eastAsia="Times New Roman"/>
          <w:lang w:val="en-US" w:eastAsia="ja-JP"/>
        </w:rPr>
        <w:t xml:space="preserve">one of the </w:t>
      </w:r>
      <w:r w:rsidR="001249BA">
        <w:rPr>
          <w:rFonts w:eastAsia="Times New Roman"/>
          <w:lang w:val="en-US" w:eastAsia="ja-JP"/>
        </w:rPr>
        <w:t xml:space="preserve">more attractive </w:t>
      </w:r>
      <w:r w:rsidR="000A4EA7">
        <w:rPr>
          <w:rFonts w:eastAsia="Times New Roman"/>
          <w:lang w:val="en-US" w:eastAsia="ja-JP"/>
        </w:rPr>
        <w:t xml:space="preserve">features of a </w:t>
      </w:r>
      <w:r w:rsidR="00225210">
        <w:rPr>
          <w:rFonts w:eastAsia="Times New Roman"/>
          <w:lang w:val="en-US" w:eastAsia="ja-JP"/>
        </w:rPr>
        <w:t>S</w:t>
      </w:r>
      <w:r w:rsidR="000A4EA7">
        <w:rPr>
          <w:rFonts w:eastAsia="Times New Roman"/>
          <w:lang w:val="en-US" w:eastAsia="ja-JP"/>
        </w:rPr>
        <w:t xml:space="preserve">ection 1333 </w:t>
      </w:r>
      <w:r w:rsidR="00225210">
        <w:rPr>
          <w:rFonts w:eastAsia="Times New Roman"/>
          <w:lang w:val="en-US" w:eastAsia="ja-JP"/>
        </w:rPr>
        <w:t>c</w:t>
      </w:r>
      <w:r w:rsidR="000A4EA7">
        <w:rPr>
          <w:rFonts w:eastAsia="Times New Roman"/>
          <w:lang w:val="en-US" w:eastAsia="ja-JP"/>
        </w:rPr>
        <w:t xml:space="preserve">ompact. </w:t>
      </w:r>
      <w:r w:rsidR="00722ED8">
        <w:rPr>
          <w:rFonts w:eastAsia="Times New Roman"/>
          <w:lang w:val="en-US" w:eastAsia="ja-JP"/>
        </w:rPr>
        <w:t>States would be abl</w:t>
      </w:r>
      <w:r w:rsidR="00310DE6">
        <w:rPr>
          <w:rFonts w:eastAsia="Times New Roman"/>
          <w:lang w:val="en-US" w:eastAsia="ja-JP"/>
        </w:rPr>
        <w:t xml:space="preserve">e to minimize the impact of significant policy changes at the federal </w:t>
      </w:r>
      <w:r w:rsidR="006156F9">
        <w:rPr>
          <w:rFonts w:eastAsia="Times New Roman"/>
          <w:lang w:val="en-US" w:eastAsia="ja-JP"/>
        </w:rPr>
        <w:t xml:space="preserve">level on the individual market, which is particularly vulnerable. </w:t>
      </w:r>
      <w:r w:rsidR="266A67FC" w:rsidRPr="318671B4">
        <w:rPr>
          <w:rFonts w:eastAsia="Times New Roman"/>
          <w:lang w:val="en-US" w:eastAsia="ja-JP"/>
        </w:rPr>
        <w:t xml:space="preserve">The most recent example of the impact of these policy changes on the individual market is the rate increases for the individual market for plan year 2026, which were influenced not only by the expiration of </w:t>
      </w:r>
      <w:r w:rsidR="266A67FC" w:rsidRPr="318671B4">
        <w:rPr>
          <w:rFonts w:eastAsia="Times New Roman"/>
          <w:lang w:eastAsia="ja-JP"/>
        </w:rPr>
        <w:t>the enhanced premium tax credits, but also federal changes to catastrophic plan eligiblity and proposed rules revising eligiblity requirements.</w:t>
      </w:r>
    </w:p>
    <w:p w14:paraId="0A7C1F15" w14:textId="77777777" w:rsidR="001F16A7" w:rsidRDefault="628A3CF0" w:rsidP="003F467A">
      <w:pPr>
        <w:rPr>
          <w:rFonts w:eastAsia="Times New Roman"/>
          <w:lang w:val="en-US" w:eastAsia="ja-JP"/>
        </w:rPr>
      </w:pPr>
      <w:r w:rsidRPr="47ACA709">
        <w:rPr>
          <w:rFonts w:eastAsia="Times New Roman"/>
          <w:lang w:val="en-US" w:eastAsia="ja-JP"/>
        </w:rPr>
        <w:t xml:space="preserve">States </w:t>
      </w:r>
      <w:r w:rsidR="00727FB1">
        <w:rPr>
          <w:rFonts w:eastAsia="Times New Roman"/>
          <w:lang w:val="en-US" w:eastAsia="ja-JP"/>
        </w:rPr>
        <w:t>that</w:t>
      </w:r>
      <w:r w:rsidRPr="47ACA709">
        <w:rPr>
          <w:rFonts w:eastAsia="Times New Roman"/>
          <w:lang w:val="en-US" w:eastAsia="ja-JP"/>
        </w:rPr>
        <w:t xml:space="preserve"> are part of a </w:t>
      </w:r>
      <w:r w:rsidR="00727FB1">
        <w:rPr>
          <w:rFonts w:eastAsia="Times New Roman"/>
          <w:lang w:val="en-US" w:eastAsia="ja-JP"/>
        </w:rPr>
        <w:t>S</w:t>
      </w:r>
      <w:r w:rsidRPr="47ACA709">
        <w:rPr>
          <w:rFonts w:eastAsia="Times New Roman"/>
          <w:lang w:val="en-US" w:eastAsia="ja-JP"/>
        </w:rPr>
        <w:t xml:space="preserve">ection 1333 </w:t>
      </w:r>
      <w:r w:rsidR="00727FB1">
        <w:rPr>
          <w:rFonts w:eastAsia="Times New Roman"/>
          <w:lang w:val="en-US" w:eastAsia="ja-JP"/>
        </w:rPr>
        <w:t>c</w:t>
      </w:r>
      <w:r w:rsidRPr="47ACA709">
        <w:rPr>
          <w:rFonts w:eastAsia="Times New Roman"/>
          <w:lang w:val="en-US" w:eastAsia="ja-JP"/>
        </w:rPr>
        <w:t xml:space="preserve">ompact would be able to work together to develop plans that meet the unique needs of the member states </w:t>
      </w:r>
      <w:r w:rsidR="4403C2FA" w:rsidRPr="47ACA709">
        <w:rPr>
          <w:rFonts w:eastAsia="Times New Roman"/>
          <w:lang w:val="en-US" w:eastAsia="ja-JP"/>
        </w:rPr>
        <w:t xml:space="preserve">and </w:t>
      </w:r>
      <w:r w:rsidR="00727FB1">
        <w:rPr>
          <w:rFonts w:eastAsia="Times New Roman"/>
          <w:lang w:val="en-US" w:eastAsia="ja-JP"/>
        </w:rPr>
        <w:t>may</w:t>
      </w:r>
      <w:r w:rsidR="4403C2FA" w:rsidRPr="47ACA709">
        <w:rPr>
          <w:rFonts w:eastAsia="Times New Roman"/>
          <w:lang w:val="en-US" w:eastAsia="ja-JP"/>
        </w:rPr>
        <w:t xml:space="preserve"> be </w:t>
      </w:r>
      <w:proofErr w:type="gramStart"/>
      <w:r w:rsidR="4403C2FA" w:rsidRPr="47ACA709">
        <w:rPr>
          <w:rFonts w:eastAsia="Times New Roman"/>
          <w:lang w:val="en-US" w:eastAsia="ja-JP"/>
        </w:rPr>
        <w:t>more nimble</w:t>
      </w:r>
      <w:proofErr w:type="gramEnd"/>
      <w:r w:rsidR="4403C2FA" w:rsidRPr="47ACA709">
        <w:rPr>
          <w:rFonts w:eastAsia="Times New Roman"/>
          <w:lang w:val="en-US" w:eastAsia="ja-JP"/>
        </w:rPr>
        <w:t xml:space="preserve"> in responding to threats to the </w:t>
      </w:r>
      <w:r w:rsidR="2AABE7FD" w:rsidRPr="5433846E">
        <w:rPr>
          <w:rFonts w:eastAsia="Times New Roman"/>
          <w:lang w:val="en-US" w:eastAsia="ja-JP"/>
        </w:rPr>
        <w:t>stability</w:t>
      </w:r>
      <w:r w:rsidR="4403C2FA" w:rsidRPr="47ACA709">
        <w:rPr>
          <w:rFonts w:eastAsia="Times New Roman"/>
          <w:lang w:val="en-US" w:eastAsia="ja-JP"/>
        </w:rPr>
        <w:t xml:space="preserve"> of</w:t>
      </w:r>
      <w:r w:rsidR="2AABE7FD" w:rsidRPr="5433846E">
        <w:rPr>
          <w:rFonts w:eastAsia="Times New Roman"/>
          <w:lang w:val="en-US" w:eastAsia="ja-JP"/>
        </w:rPr>
        <w:t xml:space="preserve"> the </w:t>
      </w:r>
      <w:r w:rsidR="2AABE7FD" w:rsidRPr="646E0DA5">
        <w:rPr>
          <w:rFonts w:eastAsia="Times New Roman"/>
          <w:lang w:val="en-US" w:eastAsia="ja-JP"/>
        </w:rPr>
        <w:t>individual market</w:t>
      </w:r>
      <w:r w:rsidR="2AABE7FD" w:rsidRPr="0419CAC4">
        <w:rPr>
          <w:rFonts w:eastAsia="Times New Roman"/>
          <w:lang w:val="en-US" w:eastAsia="ja-JP"/>
        </w:rPr>
        <w:t xml:space="preserve">, </w:t>
      </w:r>
      <w:r w:rsidR="2AABE7FD" w:rsidRPr="451ACF8E">
        <w:rPr>
          <w:rFonts w:eastAsia="Times New Roman"/>
          <w:lang w:val="en-US" w:eastAsia="ja-JP"/>
        </w:rPr>
        <w:t xml:space="preserve">like </w:t>
      </w:r>
      <w:r w:rsidR="2AABE7FD" w:rsidRPr="56DDC0C4">
        <w:rPr>
          <w:rFonts w:eastAsia="Times New Roman"/>
          <w:lang w:val="en-US" w:eastAsia="ja-JP"/>
        </w:rPr>
        <w:t xml:space="preserve">significant </w:t>
      </w:r>
      <w:r w:rsidR="2AABE7FD" w:rsidRPr="4210A455">
        <w:rPr>
          <w:rFonts w:eastAsia="Times New Roman"/>
          <w:lang w:val="en-US" w:eastAsia="ja-JP"/>
        </w:rPr>
        <w:t xml:space="preserve">network </w:t>
      </w:r>
      <w:r w:rsidR="2AABE7FD" w:rsidRPr="1AA2003A">
        <w:rPr>
          <w:rFonts w:eastAsia="Times New Roman"/>
          <w:lang w:val="en-US" w:eastAsia="ja-JP"/>
        </w:rPr>
        <w:t xml:space="preserve">changes. </w:t>
      </w:r>
      <w:r w:rsidR="2AABE7FD" w:rsidRPr="4BE8C4A8">
        <w:rPr>
          <w:rFonts w:eastAsia="Times New Roman"/>
          <w:lang w:val="en-US" w:eastAsia="ja-JP"/>
        </w:rPr>
        <w:t xml:space="preserve">Furthermore, states participating </w:t>
      </w:r>
      <w:r w:rsidR="2AABE7FD" w:rsidRPr="10A486E9">
        <w:rPr>
          <w:rFonts w:eastAsia="Times New Roman"/>
          <w:lang w:val="en-US" w:eastAsia="ja-JP"/>
        </w:rPr>
        <w:t xml:space="preserve">in a </w:t>
      </w:r>
      <w:r w:rsidR="00727FB1">
        <w:rPr>
          <w:rFonts w:eastAsia="Times New Roman"/>
          <w:lang w:val="en-US" w:eastAsia="ja-JP"/>
        </w:rPr>
        <w:t>S</w:t>
      </w:r>
      <w:r w:rsidR="2AABE7FD" w:rsidRPr="10A486E9">
        <w:rPr>
          <w:rFonts w:eastAsia="Times New Roman"/>
          <w:lang w:val="en-US" w:eastAsia="ja-JP"/>
        </w:rPr>
        <w:t xml:space="preserve">ection 1333 </w:t>
      </w:r>
      <w:r w:rsidR="00727FB1">
        <w:rPr>
          <w:rFonts w:eastAsia="Times New Roman"/>
          <w:lang w:val="en-US" w:eastAsia="ja-JP"/>
        </w:rPr>
        <w:t>c</w:t>
      </w:r>
      <w:r w:rsidR="2AABE7FD" w:rsidRPr="5EB62ED0">
        <w:rPr>
          <w:rFonts w:eastAsia="Times New Roman"/>
          <w:lang w:val="en-US" w:eastAsia="ja-JP"/>
        </w:rPr>
        <w:t xml:space="preserve">ompact would also be able to </w:t>
      </w:r>
      <w:r w:rsidR="2AABE7FD" w:rsidRPr="2F03585A">
        <w:rPr>
          <w:rFonts w:eastAsia="Times New Roman"/>
          <w:lang w:val="en-US" w:eastAsia="ja-JP"/>
        </w:rPr>
        <w:t xml:space="preserve">closely </w:t>
      </w:r>
      <w:r w:rsidR="2AABE7FD" w:rsidRPr="7A1E5294">
        <w:rPr>
          <w:rFonts w:eastAsia="Times New Roman"/>
          <w:lang w:val="en-US" w:eastAsia="ja-JP"/>
        </w:rPr>
        <w:t xml:space="preserve">coordinate </w:t>
      </w:r>
      <w:r w:rsidR="65DA42D6" w:rsidRPr="48E1935A">
        <w:rPr>
          <w:rFonts w:eastAsia="Times New Roman"/>
          <w:lang w:val="en-US" w:eastAsia="ja-JP"/>
        </w:rPr>
        <w:t xml:space="preserve">changes to </w:t>
      </w:r>
      <w:r w:rsidR="65DA42D6" w:rsidRPr="6335029A">
        <w:rPr>
          <w:rFonts w:eastAsia="Times New Roman"/>
          <w:lang w:val="en-US" w:eastAsia="ja-JP"/>
        </w:rPr>
        <w:t>consumer protection</w:t>
      </w:r>
      <w:r w:rsidR="65DA42D6" w:rsidRPr="1AC788B1">
        <w:rPr>
          <w:rFonts w:eastAsia="Times New Roman"/>
          <w:lang w:val="en-US" w:eastAsia="ja-JP"/>
        </w:rPr>
        <w:t xml:space="preserve"> and market </w:t>
      </w:r>
      <w:r w:rsidR="65DA42D6" w:rsidRPr="2BF99BDD">
        <w:rPr>
          <w:rFonts w:eastAsia="Times New Roman"/>
          <w:lang w:val="en-US" w:eastAsia="ja-JP"/>
        </w:rPr>
        <w:t xml:space="preserve">conduct </w:t>
      </w:r>
      <w:r w:rsidR="65DA42D6" w:rsidRPr="7C3C22AA">
        <w:rPr>
          <w:rFonts w:eastAsia="Times New Roman"/>
          <w:lang w:val="en-US" w:eastAsia="ja-JP"/>
        </w:rPr>
        <w:t xml:space="preserve">laws </w:t>
      </w:r>
      <w:r w:rsidR="65DA42D6" w:rsidRPr="5CC71827">
        <w:rPr>
          <w:rFonts w:eastAsia="Times New Roman"/>
          <w:lang w:val="en-US" w:eastAsia="ja-JP"/>
        </w:rPr>
        <w:t>to</w:t>
      </w:r>
      <w:r w:rsidR="65DA42D6" w:rsidRPr="2DBCA0F9">
        <w:rPr>
          <w:rFonts w:eastAsia="Times New Roman"/>
          <w:lang w:val="en-US" w:eastAsia="ja-JP"/>
        </w:rPr>
        <w:t xml:space="preserve"> </w:t>
      </w:r>
      <w:r w:rsidR="65DA42D6" w:rsidRPr="26C32D5A">
        <w:rPr>
          <w:rFonts w:eastAsia="Times New Roman"/>
          <w:lang w:val="en-US" w:eastAsia="ja-JP"/>
        </w:rPr>
        <w:t xml:space="preserve">minimize </w:t>
      </w:r>
      <w:r w:rsidR="65DA42D6" w:rsidRPr="02103E21">
        <w:rPr>
          <w:rFonts w:eastAsia="Times New Roman"/>
          <w:lang w:val="en-US" w:eastAsia="ja-JP"/>
        </w:rPr>
        <w:t xml:space="preserve">the </w:t>
      </w:r>
      <w:r w:rsidR="65DA42D6" w:rsidRPr="4E5D9473">
        <w:rPr>
          <w:rFonts w:eastAsia="Times New Roman"/>
          <w:lang w:val="en-US" w:eastAsia="ja-JP"/>
        </w:rPr>
        <w:t xml:space="preserve">impact of state </w:t>
      </w:r>
      <w:r w:rsidR="65DA42D6" w:rsidRPr="494453E9">
        <w:rPr>
          <w:rFonts w:eastAsia="Times New Roman"/>
          <w:lang w:val="en-US" w:eastAsia="ja-JP"/>
        </w:rPr>
        <w:t xml:space="preserve">level policy </w:t>
      </w:r>
      <w:r w:rsidR="65DA42D6" w:rsidRPr="512C4493">
        <w:rPr>
          <w:rFonts w:eastAsia="Times New Roman"/>
          <w:lang w:val="en-US" w:eastAsia="ja-JP"/>
        </w:rPr>
        <w:t xml:space="preserve">changes on the </w:t>
      </w:r>
      <w:r w:rsidR="00727FB1">
        <w:rPr>
          <w:rFonts w:eastAsia="Times New Roman"/>
          <w:lang w:val="en-US" w:eastAsia="ja-JP"/>
        </w:rPr>
        <w:t>S</w:t>
      </w:r>
      <w:r w:rsidR="65DA42D6" w:rsidRPr="512C4493">
        <w:rPr>
          <w:rFonts w:eastAsia="Times New Roman"/>
          <w:lang w:val="en-US" w:eastAsia="ja-JP"/>
        </w:rPr>
        <w:t xml:space="preserve">ection 1333 </w:t>
      </w:r>
      <w:r w:rsidR="00727FB1">
        <w:rPr>
          <w:rFonts w:eastAsia="Times New Roman"/>
          <w:lang w:val="en-US" w:eastAsia="ja-JP"/>
        </w:rPr>
        <w:t>c</w:t>
      </w:r>
      <w:r w:rsidR="65DA42D6" w:rsidRPr="512C4493">
        <w:rPr>
          <w:rFonts w:eastAsia="Times New Roman"/>
          <w:lang w:val="en-US" w:eastAsia="ja-JP"/>
        </w:rPr>
        <w:t xml:space="preserve">ompact </w:t>
      </w:r>
      <w:r w:rsidR="65DA42D6" w:rsidRPr="2B2B58A1">
        <w:rPr>
          <w:rFonts w:eastAsia="Times New Roman"/>
          <w:lang w:val="en-US" w:eastAsia="ja-JP"/>
        </w:rPr>
        <w:t>plans.</w:t>
      </w:r>
      <w:r w:rsidR="008E3EBF">
        <w:rPr>
          <w:rFonts w:eastAsia="Times New Roman"/>
          <w:lang w:val="en-US" w:eastAsia="ja-JP"/>
        </w:rPr>
        <w:t xml:space="preserve"> </w:t>
      </w:r>
    </w:p>
    <w:p w14:paraId="5FBB2324" w14:textId="484CCFF9" w:rsidR="0007384C" w:rsidRDefault="00683C1B" w:rsidP="003F467A">
      <w:pPr>
        <w:rPr>
          <w:rFonts w:eastAsia="Times New Roman"/>
          <w:lang w:val="en-US" w:eastAsia="ja-JP"/>
        </w:rPr>
      </w:pPr>
      <w:r>
        <w:rPr>
          <w:rFonts w:eastAsia="Times New Roman"/>
          <w:lang w:val="en-US" w:eastAsia="ja-JP"/>
        </w:rPr>
        <w:t xml:space="preserve">However, </w:t>
      </w:r>
      <w:r w:rsidR="00C906FF">
        <w:rPr>
          <w:rFonts w:eastAsia="Times New Roman"/>
          <w:lang w:val="en-US" w:eastAsia="ja-JP"/>
        </w:rPr>
        <w:t>m</w:t>
      </w:r>
      <w:r w:rsidR="00674381">
        <w:rPr>
          <w:rFonts w:eastAsia="Times New Roman"/>
          <w:lang w:val="en-US" w:eastAsia="ja-JP"/>
        </w:rPr>
        <w:t xml:space="preserve">aintaining a nimble and coordinated </w:t>
      </w:r>
      <w:r w:rsidR="0016659E">
        <w:rPr>
          <w:rFonts w:eastAsia="Times New Roman"/>
          <w:lang w:val="en-US" w:eastAsia="ja-JP"/>
        </w:rPr>
        <w:t xml:space="preserve">compact would require </w:t>
      </w:r>
      <w:r w:rsidR="001E2558">
        <w:rPr>
          <w:rFonts w:eastAsia="Times New Roman"/>
          <w:lang w:val="en-US" w:eastAsia="ja-JP"/>
        </w:rPr>
        <w:t xml:space="preserve">an effective and flexible </w:t>
      </w:r>
      <w:r w:rsidR="00087924">
        <w:rPr>
          <w:rFonts w:eastAsia="Times New Roman"/>
          <w:lang w:val="en-US" w:eastAsia="ja-JP"/>
        </w:rPr>
        <w:t xml:space="preserve">governance structure </w:t>
      </w:r>
      <w:r w:rsidR="00CA376A">
        <w:rPr>
          <w:rFonts w:eastAsia="Times New Roman"/>
          <w:lang w:val="en-US" w:eastAsia="ja-JP"/>
        </w:rPr>
        <w:t>for the compact itself.</w:t>
      </w:r>
      <w:r w:rsidR="001F16A7">
        <w:rPr>
          <w:rFonts w:eastAsia="Times New Roman"/>
          <w:lang w:val="en-US" w:eastAsia="ja-JP"/>
        </w:rPr>
        <w:t xml:space="preserve"> An effective compact would require l</w:t>
      </w:r>
      <w:r w:rsidR="001F16A7" w:rsidRPr="684BAE8A">
        <w:rPr>
          <w:rFonts w:eastAsia="Times New Roman"/>
          <w:lang w:eastAsia="ja-JP"/>
        </w:rPr>
        <w:t>ong-range planning and cooperation between governors, state agencies and legislatures.  Legislatures in particular</w:t>
      </w:r>
      <w:r w:rsidR="00186134">
        <w:rPr>
          <w:rFonts w:eastAsia="Times New Roman"/>
          <w:lang w:eastAsia="ja-JP"/>
        </w:rPr>
        <w:t xml:space="preserve"> may require multi-year lead times in developing new policy</w:t>
      </w:r>
      <w:r w:rsidR="001078A4">
        <w:rPr>
          <w:rFonts w:eastAsia="Times New Roman"/>
          <w:lang w:eastAsia="ja-JP"/>
        </w:rPr>
        <w:t>. Thus, creating a</w:t>
      </w:r>
      <w:r w:rsidR="00912C6B">
        <w:rPr>
          <w:rFonts w:eastAsia="Times New Roman"/>
          <w:lang w:eastAsia="ja-JP"/>
        </w:rPr>
        <w:t xml:space="preserve"> </w:t>
      </w:r>
      <w:r w:rsidR="00152E51">
        <w:rPr>
          <w:rFonts w:eastAsia="Times New Roman"/>
          <w:lang w:eastAsia="ja-JP"/>
        </w:rPr>
        <w:t>smoothly functioning compact wi</w:t>
      </w:r>
      <w:r w:rsidR="001F16A7" w:rsidRPr="684BAE8A">
        <w:rPr>
          <w:rFonts w:eastAsia="Times New Roman"/>
          <w:lang w:eastAsia="ja-JP"/>
        </w:rPr>
        <w:t xml:space="preserve">ll require a concentrated, coordinated effort over a several year period, with no funding </w:t>
      </w:r>
      <w:r w:rsidR="00D40817">
        <w:rPr>
          <w:rFonts w:eastAsia="Times New Roman"/>
          <w:lang w:eastAsia="ja-JP"/>
        </w:rPr>
        <w:t xml:space="preserve">currently identified </w:t>
      </w:r>
      <w:r w:rsidR="001F16A7" w:rsidRPr="684BAE8A">
        <w:rPr>
          <w:rFonts w:eastAsia="Times New Roman"/>
          <w:lang w:eastAsia="ja-JP"/>
        </w:rPr>
        <w:t>to support these efforts.</w:t>
      </w:r>
      <w:r w:rsidR="65DA42D6" w:rsidRPr="2B2B58A1">
        <w:rPr>
          <w:rFonts w:eastAsia="Times New Roman"/>
          <w:lang w:val="en-US" w:eastAsia="ja-JP"/>
        </w:rPr>
        <w:t xml:space="preserve"> </w:t>
      </w:r>
    </w:p>
    <w:p w14:paraId="4DF7CBFA" w14:textId="78E135B9" w:rsidR="0035166A" w:rsidRDefault="0035166A" w:rsidP="003F467A">
      <w:pPr>
        <w:rPr>
          <w:rFonts w:eastAsia="Times New Roman"/>
          <w:lang w:val="en-US" w:eastAsia="ja-JP"/>
        </w:rPr>
      </w:pPr>
      <w:r>
        <w:rPr>
          <w:rFonts w:eastAsia="Times New Roman"/>
          <w:lang w:val="en-US" w:eastAsia="ja-JP"/>
        </w:rPr>
        <w:t xml:space="preserve">In contrast with the insurance products reviewed and approved by the IIPRC, health insurance </w:t>
      </w:r>
      <w:r w:rsidR="00894A65">
        <w:rPr>
          <w:rFonts w:eastAsia="Times New Roman"/>
          <w:lang w:val="en-US" w:eastAsia="ja-JP"/>
        </w:rPr>
        <w:t xml:space="preserve">often depends on state-specific factors. </w:t>
      </w:r>
      <w:r w:rsidR="00B746B0">
        <w:rPr>
          <w:rFonts w:eastAsia="Times New Roman"/>
          <w:lang w:val="en-US" w:eastAsia="ja-JP"/>
        </w:rPr>
        <w:t xml:space="preserve">Rather than an indemnity model, </w:t>
      </w:r>
      <w:r w:rsidR="00B746B0">
        <w:rPr>
          <w:rFonts w:eastAsia="Times New Roman"/>
          <w:lang w:val="en-US" w:eastAsia="ja-JP"/>
        </w:rPr>
        <w:lastRenderedPageBreak/>
        <w:t xml:space="preserve">comprehensive health insurance </w:t>
      </w:r>
      <w:r w:rsidR="00894A65" w:rsidRPr="00894A65">
        <w:rPr>
          <w:rFonts w:eastAsia="Times New Roman"/>
          <w:lang w:val="en-US" w:eastAsia="ja-JP"/>
        </w:rPr>
        <w:t>operates on an expense-incurred model and relies on localized provider contracting and networks</w:t>
      </w:r>
      <w:r w:rsidR="00B746B0">
        <w:rPr>
          <w:rFonts w:eastAsia="Times New Roman"/>
          <w:lang w:val="en-US" w:eastAsia="ja-JP"/>
        </w:rPr>
        <w:t xml:space="preserve">. </w:t>
      </w:r>
      <w:r w:rsidR="00A875FC">
        <w:rPr>
          <w:rFonts w:eastAsia="Times New Roman"/>
          <w:lang w:val="en-US" w:eastAsia="ja-JP"/>
        </w:rPr>
        <w:t xml:space="preserve">State policymakers </w:t>
      </w:r>
      <w:r w:rsidR="00BD5C98">
        <w:rPr>
          <w:rFonts w:eastAsia="Times New Roman"/>
          <w:lang w:val="en-US" w:eastAsia="ja-JP"/>
        </w:rPr>
        <w:t xml:space="preserve">may wish to retain more authority over health insurance </w:t>
      </w:r>
      <w:r w:rsidR="00565E3A">
        <w:rPr>
          <w:rFonts w:eastAsia="Times New Roman"/>
          <w:lang w:val="en-US" w:eastAsia="ja-JP"/>
        </w:rPr>
        <w:t xml:space="preserve">policy and </w:t>
      </w:r>
      <w:r w:rsidR="00BD5C98">
        <w:rPr>
          <w:rFonts w:eastAsia="Times New Roman"/>
          <w:lang w:val="en-US" w:eastAsia="ja-JP"/>
        </w:rPr>
        <w:t>regulation</w:t>
      </w:r>
      <w:r w:rsidR="00565E3A">
        <w:rPr>
          <w:rFonts w:eastAsia="Times New Roman"/>
          <w:lang w:val="en-US" w:eastAsia="ja-JP"/>
        </w:rPr>
        <w:t xml:space="preserve"> than they have</w:t>
      </w:r>
      <w:r w:rsidR="0015038C">
        <w:rPr>
          <w:rFonts w:eastAsia="Times New Roman"/>
          <w:lang w:val="en-US" w:eastAsia="ja-JP"/>
        </w:rPr>
        <w:t xml:space="preserve"> </w:t>
      </w:r>
      <w:r w:rsidR="00DB6BD3">
        <w:rPr>
          <w:rFonts w:eastAsia="Times New Roman"/>
          <w:lang w:val="en-US" w:eastAsia="ja-JP"/>
        </w:rPr>
        <w:t>over the life, disability, and long-term care insurance handled by IIPRC.</w:t>
      </w:r>
      <w:r w:rsidR="00BD5C98">
        <w:rPr>
          <w:rFonts w:eastAsia="Times New Roman"/>
          <w:lang w:val="en-US" w:eastAsia="ja-JP"/>
        </w:rPr>
        <w:t xml:space="preserve"> </w:t>
      </w:r>
    </w:p>
    <w:p w14:paraId="6131168B" w14:textId="780728CC" w:rsidR="33985A68" w:rsidRDefault="6DE8F930" w:rsidP="33985A68">
      <w:pPr>
        <w:rPr>
          <w:rFonts w:eastAsia="Times New Roman"/>
          <w:lang w:val="en-US" w:eastAsia="ja-JP"/>
        </w:rPr>
      </w:pPr>
      <w:r w:rsidRPr="471AD6AC">
        <w:rPr>
          <w:rFonts w:eastAsia="Times New Roman"/>
          <w:lang w:val="en-US" w:eastAsia="ja-JP"/>
        </w:rPr>
        <w:t xml:space="preserve">The biggest </w:t>
      </w:r>
      <w:r w:rsidRPr="4195E0D7">
        <w:rPr>
          <w:rFonts w:eastAsia="Times New Roman"/>
          <w:lang w:val="en-US" w:eastAsia="ja-JP"/>
        </w:rPr>
        <w:t>unknown</w:t>
      </w:r>
      <w:r w:rsidR="75281CA0" w:rsidRPr="4195E0D7">
        <w:rPr>
          <w:rFonts w:eastAsia="Times New Roman"/>
          <w:lang w:val="en-US" w:eastAsia="ja-JP"/>
        </w:rPr>
        <w:t xml:space="preserve"> </w:t>
      </w:r>
      <w:r w:rsidR="75281CA0" w:rsidRPr="5F35402D">
        <w:rPr>
          <w:rFonts w:eastAsia="Times New Roman"/>
          <w:lang w:val="en-US" w:eastAsia="ja-JP"/>
        </w:rPr>
        <w:t xml:space="preserve">about the </w:t>
      </w:r>
      <w:r w:rsidR="00727FB1">
        <w:rPr>
          <w:rFonts w:eastAsia="Times New Roman"/>
          <w:lang w:val="en-US" w:eastAsia="ja-JP"/>
        </w:rPr>
        <w:t>S</w:t>
      </w:r>
      <w:r w:rsidR="75281CA0" w:rsidRPr="5F35402D">
        <w:rPr>
          <w:rFonts w:eastAsia="Times New Roman"/>
          <w:lang w:val="en-US" w:eastAsia="ja-JP"/>
        </w:rPr>
        <w:t xml:space="preserve">ection </w:t>
      </w:r>
      <w:r w:rsidR="75281CA0" w:rsidRPr="2A75CADB">
        <w:rPr>
          <w:rFonts w:eastAsia="Times New Roman"/>
          <w:lang w:val="en-US" w:eastAsia="ja-JP"/>
        </w:rPr>
        <w:t xml:space="preserve">1333 </w:t>
      </w:r>
      <w:r w:rsidR="00727FB1">
        <w:rPr>
          <w:rFonts w:eastAsia="Times New Roman"/>
          <w:lang w:val="en-US" w:eastAsia="ja-JP"/>
        </w:rPr>
        <w:t>c</w:t>
      </w:r>
      <w:r w:rsidR="75281CA0" w:rsidRPr="20C84CAD">
        <w:rPr>
          <w:rFonts w:eastAsia="Times New Roman"/>
          <w:lang w:val="en-US" w:eastAsia="ja-JP"/>
        </w:rPr>
        <w:t>ompact today is</w:t>
      </w:r>
      <w:r w:rsidR="75281CA0" w:rsidRPr="5DED0735">
        <w:rPr>
          <w:rFonts w:eastAsia="Times New Roman"/>
          <w:lang w:val="en-US" w:eastAsia="ja-JP"/>
        </w:rPr>
        <w:t xml:space="preserve"> the lack </w:t>
      </w:r>
      <w:r w:rsidR="75281CA0" w:rsidRPr="47634B5D">
        <w:rPr>
          <w:rFonts w:eastAsia="Times New Roman"/>
          <w:lang w:val="en-US" w:eastAsia="ja-JP"/>
        </w:rPr>
        <w:t xml:space="preserve">of federal </w:t>
      </w:r>
      <w:r w:rsidR="75281CA0" w:rsidRPr="2E2CEEE4">
        <w:rPr>
          <w:rFonts w:eastAsia="Times New Roman"/>
          <w:lang w:val="en-US" w:eastAsia="ja-JP"/>
        </w:rPr>
        <w:t xml:space="preserve">regulations </w:t>
      </w:r>
      <w:r w:rsidR="75281CA0" w:rsidRPr="3E006290">
        <w:rPr>
          <w:rFonts w:eastAsia="Times New Roman"/>
          <w:lang w:val="en-US" w:eastAsia="ja-JP"/>
        </w:rPr>
        <w:t xml:space="preserve">outlining </w:t>
      </w:r>
      <w:r w:rsidR="75281CA0" w:rsidRPr="0706FAA5">
        <w:rPr>
          <w:rFonts w:eastAsia="Times New Roman"/>
          <w:lang w:val="en-US" w:eastAsia="ja-JP"/>
        </w:rPr>
        <w:t>specifics</w:t>
      </w:r>
      <w:r w:rsidR="18CC4EF9" w:rsidRPr="6F308AE5">
        <w:rPr>
          <w:rFonts w:eastAsia="Times New Roman"/>
          <w:lang w:val="en-US" w:eastAsia="ja-JP"/>
        </w:rPr>
        <w:t>, including the interpretation of the five guardrails, details</w:t>
      </w:r>
      <w:r w:rsidR="75281CA0" w:rsidRPr="0706FAA5">
        <w:rPr>
          <w:rFonts w:eastAsia="Times New Roman"/>
          <w:lang w:val="en-US" w:eastAsia="ja-JP"/>
        </w:rPr>
        <w:t xml:space="preserve"> about </w:t>
      </w:r>
      <w:r w:rsidR="18CC4EF9" w:rsidRPr="6F308AE5">
        <w:rPr>
          <w:rFonts w:eastAsia="Times New Roman"/>
          <w:lang w:val="en-US" w:eastAsia="ja-JP"/>
        </w:rPr>
        <w:t>the approval pr</w:t>
      </w:r>
      <w:r w:rsidR="051906C7" w:rsidRPr="6F308AE5">
        <w:rPr>
          <w:rFonts w:eastAsia="Times New Roman"/>
          <w:lang w:val="en-US" w:eastAsia="ja-JP"/>
        </w:rPr>
        <w:t xml:space="preserve">ocess by CMS, </w:t>
      </w:r>
      <w:r w:rsidR="7A72246B" w:rsidRPr="6F308AE5">
        <w:rPr>
          <w:rFonts w:eastAsia="Times New Roman"/>
          <w:lang w:val="en-US" w:eastAsia="ja-JP"/>
        </w:rPr>
        <w:t xml:space="preserve">funding, </w:t>
      </w:r>
      <w:r w:rsidR="051906C7" w:rsidRPr="6F308AE5">
        <w:rPr>
          <w:rFonts w:eastAsia="Times New Roman"/>
          <w:lang w:val="en-US" w:eastAsia="ja-JP"/>
        </w:rPr>
        <w:t>and procedural issues.  These outstanding questions are also a significant</w:t>
      </w:r>
      <w:r w:rsidR="0CCED6D0" w:rsidRPr="6F308AE5">
        <w:rPr>
          <w:rFonts w:eastAsia="Times New Roman"/>
          <w:lang w:val="en-US" w:eastAsia="ja-JP"/>
        </w:rPr>
        <w:t xml:space="preserve"> </w:t>
      </w:r>
      <w:r w:rsidR="00727FB1">
        <w:rPr>
          <w:rFonts w:eastAsia="Times New Roman"/>
          <w:lang w:val="en-US" w:eastAsia="ja-JP"/>
        </w:rPr>
        <w:t>dete</w:t>
      </w:r>
      <w:r w:rsidR="00494ABD">
        <w:rPr>
          <w:rFonts w:eastAsia="Times New Roman"/>
          <w:lang w:val="en-US" w:eastAsia="ja-JP"/>
        </w:rPr>
        <w:t>r</w:t>
      </w:r>
      <w:r w:rsidR="00727FB1">
        <w:rPr>
          <w:rFonts w:eastAsia="Times New Roman"/>
          <w:lang w:val="en-US" w:eastAsia="ja-JP"/>
        </w:rPr>
        <w:t>rent</w:t>
      </w:r>
      <w:r w:rsidR="0CCED6D0" w:rsidRPr="6F308AE5">
        <w:rPr>
          <w:rFonts w:eastAsia="Times New Roman"/>
          <w:lang w:val="en-US" w:eastAsia="ja-JP"/>
        </w:rPr>
        <w:t xml:space="preserve"> for states </w:t>
      </w:r>
      <w:r w:rsidR="00727FB1">
        <w:rPr>
          <w:rFonts w:eastAsia="Times New Roman"/>
          <w:lang w:val="en-US" w:eastAsia="ja-JP"/>
        </w:rPr>
        <w:t>that</w:t>
      </w:r>
      <w:r w:rsidR="66DBB183" w:rsidRPr="6F308AE5">
        <w:rPr>
          <w:rFonts w:eastAsia="Times New Roman"/>
          <w:lang w:val="en-US" w:eastAsia="ja-JP"/>
        </w:rPr>
        <w:t xml:space="preserve"> are contemplating such waivers. </w:t>
      </w:r>
    </w:p>
    <w:p w14:paraId="45092144" w14:textId="7DE4C0A1" w:rsidR="00657C5D" w:rsidRPr="00657C5D" w:rsidRDefault="00657C5D" w:rsidP="003A0653">
      <w:pPr>
        <w:pStyle w:val="Heading1"/>
      </w:pPr>
      <w:bookmarkStart w:id="29" w:name="_Toc216861719"/>
      <w:r w:rsidRPr="00657C5D">
        <w:rPr>
          <w:rFonts w:eastAsia="Times New Roman"/>
          <w:lang w:eastAsia="ja-JP"/>
        </w:rPr>
        <w:t>Discussion, including combining waiver authorities</w:t>
      </w:r>
      <w:bookmarkEnd w:id="29"/>
    </w:p>
    <w:p w14:paraId="76D613EA" w14:textId="7D176DF8" w:rsidR="6A96CBD6" w:rsidRDefault="6A96CBD6" w:rsidP="6A96CBD6">
      <w:pPr>
        <w:spacing w:after="200" w:line="276" w:lineRule="auto"/>
        <w:contextualSpacing/>
        <w:outlineLvl w:val="0"/>
      </w:pPr>
    </w:p>
    <w:p w14:paraId="19483D09" w14:textId="2AD96E61" w:rsidR="6A96CBD6" w:rsidRDefault="6A814854" w:rsidP="00370FD3">
      <w:pPr>
        <w:rPr>
          <w:lang w:val="en-US"/>
        </w:rPr>
      </w:pPr>
      <w:r w:rsidRPr="7EB38FF3">
        <w:rPr>
          <w:lang w:val="en-US"/>
        </w:rPr>
        <w:t xml:space="preserve">Each of the ACA’s waiver authorities offer states flexibility to design coverage options that meet the needs of their states. </w:t>
      </w:r>
      <w:r w:rsidR="641F219B" w:rsidRPr="4D525B7F">
        <w:rPr>
          <w:lang w:val="en-US"/>
        </w:rPr>
        <w:t>Below</w:t>
      </w:r>
      <w:r w:rsidR="575EDB3A" w:rsidRPr="4D525B7F">
        <w:rPr>
          <w:lang w:val="en-US"/>
        </w:rPr>
        <w:t xml:space="preserve"> are</w:t>
      </w:r>
      <w:r w:rsidR="641F219B" w:rsidRPr="7EB38FF3">
        <w:rPr>
          <w:lang w:val="en-US"/>
        </w:rPr>
        <w:t xml:space="preserve"> potential areas where federal guidance could assist in greater state flexibility aligned with greater opportunities for consumer protection. </w:t>
      </w:r>
    </w:p>
    <w:p w14:paraId="25B3FF15" w14:textId="109468AA" w:rsidR="641F219B" w:rsidRDefault="641F219B" w:rsidP="00370FD3">
      <w:pPr>
        <w:rPr>
          <w:lang w:val="en-US"/>
        </w:rPr>
      </w:pPr>
      <w:r w:rsidRPr="6CB7509C">
        <w:rPr>
          <w:lang w:val="en-US"/>
        </w:rPr>
        <w:t xml:space="preserve">Section 1331 waivers offer important </w:t>
      </w:r>
      <w:proofErr w:type="gramStart"/>
      <w:r w:rsidRPr="6CB7509C">
        <w:rPr>
          <w:lang w:val="en-US"/>
        </w:rPr>
        <w:t>flexibilities</w:t>
      </w:r>
      <w:proofErr w:type="gramEnd"/>
      <w:r w:rsidRPr="6CB7509C">
        <w:rPr>
          <w:lang w:val="en-US"/>
        </w:rPr>
        <w:t xml:space="preserve"> and federal</w:t>
      </w:r>
      <w:r w:rsidR="00D40817">
        <w:rPr>
          <w:lang w:val="en-US"/>
        </w:rPr>
        <w:t xml:space="preserve"> funding</w:t>
      </w:r>
      <w:r w:rsidRPr="6CB7509C">
        <w:rPr>
          <w:lang w:val="en-US"/>
        </w:rPr>
        <w:t xml:space="preserve"> opportunities for states to design </w:t>
      </w:r>
      <w:r w:rsidR="2CB26E32" w:rsidRPr="6CB7509C">
        <w:rPr>
          <w:lang w:val="en-US"/>
        </w:rPr>
        <w:t xml:space="preserve">coverage options that best suit their state needs. However, they may also have adverse impacts on individual market health. </w:t>
      </w:r>
    </w:p>
    <w:p w14:paraId="72BE3A69" w14:textId="4A04AC9A" w:rsidR="2CB26E32" w:rsidRDefault="2CB26E32" w:rsidP="00370FD3">
      <w:pPr>
        <w:rPr>
          <w:lang w:val="en-US"/>
        </w:rPr>
      </w:pPr>
      <w:r w:rsidRPr="6CB7509C">
        <w:rPr>
          <w:lang w:val="en-US"/>
        </w:rPr>
        <w:t xml:space="preserve">Section 1332 waivers have been used widely to provide individual market stability and in more recent years have been used to </w:t>
      </w:r>
      <w:r w:rsidR="34F48268" w:rsidRPr="521EBC89">
        <w:rPr>
          <w:lang w:val="en-US"/>
        </w:rPr>
        <w:t xml:space="preserve">implement </w:t>
      </w:r>
      <w:r w:rsidR="34F48268" w:rsidRPr="5C056708">
        <w:rPr>
          <w:lang w:val="en-US"/>
        </w:rPr>
        <w:t xml:space="preserve">innovations that address coverage needs of states.  However, consistent interpretation of guardrails </w:t>
      </w:r>
      <w:r w:rsidR="34F48268" w:rsidRPr="3F4DA88D">
        <w:rPr>
          <w:lang w:val="en-US"/>
        </w:rPr>
        <w:t xml:space="preserve">is </w:t>
      </w:r>
      <w:r w:rsidR="34F48268" w:rsidRPr="42A00F1C">
        <w:rPr>
          <w:lang w:val="en-US"/>
        </w:rPr>
        <w:t xml:space="preserve">needed, </w:t>
      </w:r>
      <w:r w:rsidR="34F48268" w:rsidRPr="4CFAC269">
        <w:rPr>
          <w:lang w:val="en-US"/>
        </w:rPr>
        <w:t>a</w:t>
      </w:r>
      <w:r w:rsidR="3917C56E" w:rsidRPr="4CFAC269">
        <w:rPr>
          <w:lang w:val="en-US"/>
        </w:rPr>
        <w:t>s is greater certainty</w:t>
      </w:r>
      <w:r w:rsidR="00383265">
        <w:rPr>
          <w:lang w:val="en-US"/>
        </w:rPr>
        <w:t xml:space="preserve"> and transparency</w:t>
      </w:r>
      <w:r w:rsidR="3917C56E" w:rsidRPr="4CFAC269">
        <w:rPr>
          <w:lang w:val="en-US"/>
        </w:rPr>
        <w:t xml:space="preserve"> surrounding the process for pass</w:t>
      </w:r>
      <w:r w:rsidR="0027448B">
        <w:rPr>
          <w:lang w:val="en-US"/>
        </w:rPr>
        <w:t>-</w:t>
      </w:r>
      <w:r w:rsidR="3917C56E" w:rsidRPr="4CFAC269">
        <w:rPr>
          <w:lang w:val="en-US"/>
        </w:rPr>
        <w:t>through calculations.</w:t>
      </w:r>
      <w:r w:rsidR="34F48268" w:rsidRPr="42A00F1C">
        <w:rPr>
          <w:lang w:val="en-US"/>
        </w:rPr>
        <w:t xml:space="preserve"> </w:t>
      </w:r>
    </w:p>
    <w:p w14:paraId="75A9D53F" w14:textId="69BA88EA" w:rsidR="6A96CBD6" w:rsidRDefault="2CB26E32" w:rsidP="00370FD3">
      <w:pPr>
        <w:rPr>
          <w:lang w:val="en-US"/>
        </w:rPr>
      </w:pPr>
      <w:r w:rsidRPr="4CFAC269">
        <w:rPr>
          <w:lang w:val="en-US"/>
        </w:rPr>
        <w:t xml:space="preserve">Section 1333 waivers </w:t>
      </w:r>
      <w:r w:rsidR="6961A80D" w:rsidRPr="4CFAC269">
        <w:rPr>
          <w:lang w:val="en-US"/>
        </w:rPr>
        <w:t>have not yet been implemented.</w:t>
      </w:r>
      <w:r w:rsidR="7930BFAE" w:rsidRPr="4CFAC269">
        <w:rPr>
          <w:lang w:val="en-US"/>
        </w:rPr>
        <w:t xml:space="preserve"> </w:t>
      </w:r>
      <w:r w:rsidR="6961A80D" w:rsidRPr="4CFAC269">
        <w:rPr>
          <w:lang w:val="en-US"/>
        </w:rPr>
        <w:t xml:space="preserve">Some </w:t>
      </w:r>
      <w:proofErr w:type="gramStart"/>
      <w:r w:rsidR="6961A80D" w:rsidRPr="4CFAC269">
        <w:rPr>
          <w:lang w:val="en-US"/>
        </w:rPr>
        <w:t xml:space="preserve">have </w:t>
      </w:r>
      <w:r w:rsidR="149B4EAD" w:rsidRPr="4CFAC269">
        <w:rPr>
          <w:lang w:val="en-US"/>
        </w:rPr>
        <w:t>argu</w:t>
      </w:r>
      <w:r w:rsidR="6961A80D" w:rsidRPr="4CFAC269">
        <w:rPr>
          <w:lang w:val="en-US"/>
        </w:rPr>
        <w:t>ed</w:t>
      </w:r>
      <w:proofErr w:type="gramEnd"/>
      <w:r w:rsidR="6961A80D" w:rsidRPr="4CFAC269">
        <w:rPr>
          <w:lang w:val="en-US"/>
        </w:rPr>
        <w:t xml:space="preserve"> that standards</w:t>
      </w:r>
      <w:r w:rsidR="46BE1A21" w:rsidRPr="4CFAC269">
        <w:rPr>
          <w:lang w:val="en-US"/>
        </w:rPr>
        <w:t xml:space="preserve"> for an individual market plan offered through a compact</w:t>
      </w:r>
      <w:r w:rsidR="6961A80D" w:rsidRPr="4CFAC269">
        <w:rPr>
          <w:lang w:val="en-US"/>
        </w:rPr>
        <w:t xml:space="preserve"> put regulation of state insurance products beyond fed</w:t>
      </w:r>
      <w:r w:rsidR="4CE432BA" w:rsidRPr="4CFAC269">
        <w:rPr>
          <w:lang w:val="en-US"/>
        </w:rPr>
        <w:t>eral changes and offer insurers, consumers, and regulators greater certainty</w:t>
      </w:r>
      <w:r w:rsidR="52285217" w:rsidRPr="4CFAC269">
        <w:rPr>
          <w:lang w:val="en-US"/>
        </w:rPr>
        <w:t>, stability, and predictability</w:t>
      </w:r>
      <w:r w:rsidR="4CE432BA" w:rsidRPr="4CFAC269">
        <w:rPr>
          <w:lang w:val="en-US"/>
        </w:rPr>
        <w:t>.</w:t>
      </w:r>
      <w:r w:rsidR="6A96CBD6" w:rsidRPr="4CFAC269">
        <w:rPr>
          <w:rStyle w:val="FootnoteReference"/>
          <w:lang w:val="en-US"/>
        </w:rPr>
        <w:footnoteReference w:id="26"/>
      </w:r>
      <w:r w:rsidR="4CE432BA" w:rsidRPr="4CFAC269">
        <w:rPr>
          <w:lang w:val="en-US"/>
        </w:rPr>
        <w:t xml:space="preserve"> </w:t>
      </w:r>
      <w:r w:rsidR="6903920C" w:rsidRPr="4CFAC269">
        <w:rPr>
          <w:lang w:val="en-US"/>
        </w:rPr>
        <w:t>Others caution that compacts are not likely to increase options, reduce operational complexity for i</w:t>
      </w:r>
      <w:r w:rsidR="6F2DEC2C" w:rsidRPr="4CFAC269">
        <w:rPr>
          <w:lang w:val="en-US"/>
        </w:rPr>
        <w:t xml:space="preserve">nsurers, or reduce premiums.  Other issues that </w:t>
      </w:r>
      <w:proofErr w:type="gramStart"/>
      <w:r w:rsidR="6F2DEC2C" w:rsidRPr="4CFAC269">
        <w:rPr>
          <w:lang w:val="en-US"/>
        </w:rPr>
        <w:t>would need</w:t>
      </w:r>
      <w:proofErr w:type="gramEnd"/>
      <w:r w:rsidR="6F2DEC2C" w:rsidRPr="4CFAC269">
        <w:rPr>
          <w:lang w:val="en-US"/>
        </w:rPr>
        <w:t xml:space="preserve"> to be resolved include risk adjustment at the state level.</w:t>
      </w:r>
      <w:r w:rsidRPr="7EB42423">
        <w:rPr>
          <w:rStyle w:val="FootnoteReference"/>
          <w:lang w:val="en-US"/>
        </w:rPr>
        <w:footnoteReference w:id="27"/>
      </w:r>
      <w:r w:rsidR="6F2DEC2C" w:rsidRPr="4CFAC269">
        <w:rPr>
          <w:lang w:val="en-US"/>
        </w:rPr>
        <w:t xml:space="preserve"> </w:t>
      </w:r>
      <w:r w:rsidR="5760A7B7" w:rsidRPr="4CFAC269">
        <w:rPr>
          <w:lang w:val="en-US"/>
        </w:rPr>
        <w:t xml:space="preserve">It is also unclear how a section 1333 </w:t>
      </w:r>
      <w:r w:rsidR="00F9269F">
        <w:rPr>
          <w:lang w:val="en-US"/>
        </w:rPr>
        <w:t>compact</w:t>
      </w:r>
      <w:r w:rsidR="5760A7B7" w:rsidRPr="4CFAC269">
        <w:rPr>
          <w:lang w:val="en-US"/>
        </w:rPr>
        <w:t xml:space="preserve"> could help stabilize markets without the ability for federal pass</w:t>
      </w:r>
      <w:r w:rsidR="00F9269F">
        <w:rPr>
          <w:lang w:val="en-US"/>
        </w:rPr>
        <w:t>-</w:t>
      </w:r>
      <w:r w:rsidR="5760A7B7" w:rsidRPr="4CFAC269">
        <w:rPr>
          <w:lang w:val="en-US"/>
        </w:rPr>
        <w:t>through</w:t>
      </w:r>
      <w:r w:rsidR="00F9269F">
        <w:rPr>
          <w:lang w:val="en-US"/>
        </w:rPr>
        <w:t xml:space="preserve"> funds</w:t>
      </w:r>
      <w:r w:rsidR="001D5097">
        <w:rPr>
          <w:lang w:val="en-US"/>
        </w:rPr>
        <w:t xml:space="preserve">. This </w:t>
      </w:r>
      <w:r w:rsidR="5760A7B7" w:rsidRPr="4CFAC269">
        <w:rPr>
          <w:lang w:val="en-US"/>
        </w:rPr>
        <w:t xml:space="preserve">raises the question of whether an accompanying 1332 </w:t>
      </w:r>
      <w:r w:rsidR="5760A7B7" w:rsidRPr="4CFAC269">
        <w:rPr>
          <w:lang w:val="en-US"/>
        </w:rPr>
        <w:lastRenderedPageBreak/>
        <w:t xml:space="preserve">waiver </w:t>
      </w:r>
      <w:proofErr w:type="gramStart"/>
      <w:r w:rsidR="5760A7B7" w:rsidRPr="4CFAC269">
        <w:rPr>
          <w:lang w:val="en-US"/>
        </w:rPr>
        <w:t>would be a</w:t>
      </w:r>
      <w:r w:rsidR="43A4F549" w:rsidRPr="4CFAC269">
        <w:rPr>
          <w:lang w:val="en-US"/>
        </w:rPr>
        <w:t>lso be</w:t>
      </w:r>
      <w:proofErr w:type="gramEnd"/>
      <w:r w:rsidR="43A4F549" w:rsidRPr="4CFAC269">
        <w:rPr>
          <w:lang w:val="en-US"/>
        </w:rPr>
        <w:t xml:space="preserve"> needed</w:t>
      </w:r>
      <w:r w:rsidR="5760A7B7" w:rsidRPr="4CFAC269">
        <w:rPr>
          <w:lang w:val="en-US"/>
        </w:rPr>
        <w:t xml:space="preserve"> for states pursuing such an option. </w:t>
      </w:r>
      <w:r w:rsidR="5A2E610F" w:rsidRPr="4CFAC269">
        <w:rPr>
          <w:lang w:val="en-US"/>
        </w:rPr>
        <w:t xml:space="preserve">Clear federal guidance </w:t>
      </w:r>
      <w:r w:rsidR="76EE14EE" w:rsidRPr="4CFAC269">
        <w:rPr>
          <w:lang w:val="en-US"/>
        </w:rPr>
        <w:t xml:space="preserve">is needed around </w:t>
      </w:r>
      <w:proofErr w:type="gramStart"/>
      <w:r w:rsidR="76EE14EE" w:rsidRPr="4CFAC269">
        <w:rPr>
          <w:lang w:val="en-US"/>
        </w:rPr>
        <w:t>a number of</w:t>
      </w:r>
      <w:proofErr w:type="gramEnd"/>
      <w:r w:rsidR="76EE14EE" w:rsidRPr="4CFAC269">
        <w:rPr>
          <w:lang w:val="en-US"/>
        </w:rPr>
        <w:t xml:space="preserve"> issues before states can contemplate further pursuing these </w:t>
      </w:r>
      <w:r w:rsidR="001D5097">
        <w:rPr>
          <w:lang w:val="en-US"/>
        </w:rPr>
        <w:t>compacts</w:t>
      </w:r>
      <w:r w:rsidR="76EE14EE" w:rsidRPr="4CFAC269">
        <w:rPr>
          <w:lang w:val="en-US"/>
        </w:rPr>
        <w:t xml:space="preserve">. </w:t>
      </w:r>
    </w:p>
    <w:p w14:paraId="5B0C1A1F" w14:textId="44D8F0AD" w:rsidR="684BAE8A" w:rsidRDefault="5EE8A862" w:rsidP="00370FD3">
      <w:pPr>
        <w:rPr>
          <w:rFonts w:eastAsia="Times New Roman"/>
          <w:lang w:val="en-US" w:eastAsia="ja-JP"/>
        </w:rPr>
      </w:pPr>
      <w:r w:rsidRPr="79EC140F">
        <w:rPr>
          <w:rFonts w:eastAsia="Times New Roman"/>
          <w:lang w:val="en-US" w:eastAsia="ja-JP"/>
        </w:rPr>
        <w:t xml:space="preserve">Pursuing any of these </w:t>
      </w:r>
      <w:r w:rsidR="001D5097">
        <w:rPr>
          <w:rFonts w:eastAsia="Times New Roman"/>
          <w:lang w:val="en-US" w:eastAsia="ja-JP"/>
        </w:rPr>
        <w:t>flexibility</w:t>
      </w:r>
      <w:r w:rsidRPr="6F4BB201">
        <w:rPr>
          <w:rFonts w:eastAsia="Times New Roman"/>
          <w:lang w:val="en-US" w:eastAsia="ja-JP"/>
        </w:rPr>
        <w:t xml:space="preserve"> options alone or in combination</w:t>
      </w:r>
      <w:r w:rsidRPr="79EC140F">
        <w:rPr>
          <w:rFonts w:eastAsia="Times New Roman"/>
          <w:lang w:val="en-US" w:eastAsia="ja-JP"/>
        </w:rPr>
        <w:t xml:space="preserve"> </w:t>
      </w:r>
      <w:r w:rsidR="79E927AA" w:rsidRPr="591D02A2">
        <w:rPr>
          <w:rFonts w:eastAsia="Times New Roman"/>
          <w:lang w:val="en-US" w:eastAsia="ja-JP"/>
        </w:rPr>
        <w:t>requires l</w:t>
      </w:r>
      <w:r w:rsidR="6F18E22B" w:rsidRPr="591D02A2">
        <w:rPr>
          <w:rFonts w:eastAsia="Times New Roman"/>
          <w:lang w:val="en-US" w:eastAsia="ja-JP"/>
        </w:rPr>
        <w:t>ong</w:t>
      </w:r>
      <w:r w:rsidR="6F18E22B" w:rsidRPr="54B51901">
        <w:rPr>
          <w:rFonts w:eastAsia="Times New Roman"/>
          <w:lang w:val="en-US" w:eastAsia="ja-JP"/>
        </w:rPr>
        <w:t xml:space="preserve">-range </w:t>
      </w:r>
      <w:r w:rsidR="6F18E22B" w:rsidRPr="6DCB918A">
        <w:rPr>
          <w:rFonts w:eastAsia="Times New Roman"/>
          <w:lang w:val="en-US" w:eastAsia="ja-JP"/>
        </w:rPr>
        <w:t>planning</w:t>
      </w:r>
      <w:r w:rsidR="14E1CE5A" w:rsidRPr="1855CAA1">
        <w:rPr>
          <w:rFonts w:eastAsia="Times New Roman"/>
          <w:lang w:val="en-US" w:eastAsia="ja-JP"/>
        </w:rPr>
        <w:t xml:space="preserve"> and</w:t>
      </w:r>
      <w:r w:rsidR="6AF48E6B" w:rsidRPr="6DCB918A">
        <w:rPr>
          <w:rFonts w:eastAsia="Times New Roman"/>
          <w:lang w:val="en-US" w:eastAsia="ja-JP"/>
        </w:rPr>
        <w:t xml:space="preserve"> </w:t>
      </w:r>
      <w:r w:rsidR="6F18E22B" w:rsidRPr="6DCB918A">
        <w:rPr>
          <w:rFonts w:eastAsia="Times New Roman"/>
          <w:lang w:val="en-US" w:eastAsia="ja-JP"/>
        </w:rPr>
        <w:t>cooperation</w:t>
      </w:r>
      <w:r w:rsidR="6F18E22B" w:rsidRPr="54B51901">
        <w:rPr>
          <w:rFonts w:eastAsia="Times New Roman"/>
          <w:lang w:val="en-US" w:eastAsia="ja-JP"/>
        </w:rPr>
        <w:t xml:space="preserve"> between governors, state </w:t>
      </w:r>
      <w:r w:rsidR="6F18E22B" w:rsidRPr="4DE87F12">
        <w:rPr>
          <w:rFonts w:eastAsia="Times New Roman"/>
          <w:lang w:val="en-US" w:eastAsia="ja-JP"/>
        </w:rPr>
        <w:t>agencies</w:t>
      </w:r>
      <w:r w:rsidR="1FCF4045" w:rsidRPr="4DE87F12">
        <w:rPr>
          <w:rFonts w:eastAsia="Times New Roman"/>
          <w:lang w:val="en-US" w:eastAsia="ja-JP"/>
        </w:rPr>
        <w:t xml:space="preserve">, </w:t>
      </w:r>
      <w:r w:rsidR="6F18E22B" w:rsidRPr="4DE87F12">
        <w:rPr>
          <w:rFonts w:eastAsia="Times New Roman"/>
          <w:lang w:val="en-US" w:eastAsia="ja-JP"/>
        </w:rPr>
        <w:t>and</w:t>
      </w:r>
      <w:r w:rsidR="6F18E22B" w:rsidRPr="54B51901">
        <w:rPr>
          <w:rFonts w:eastAsia="Times New Roman"/>
          <w:lang w:val="en-US" w:eastAsia="ja-JP"/>
        </w:rPr>
        <w:t xml:space="preserve"> legislatures</w:t>
      </w:r>
      <w:r w:rsidR="5FDD2D1A" w:rsidRPr="51416F6B">
        <w:rPr>
          <w:rFonts w:eastAsia="Times New Roman"/>
          <w:lang w:val="en-US" w:eastAsia="ja-JP"/>
        </w:rPr>
        <w:t xml:space="preserve">, as well as funding for </w:t>
      </w:r>
      <w:r w:rsidR="5FDD2D1A" w:rsidRPr="67B2B38B">
        <w:rPr>
          <w:rFonts w:eastAsia="Times New Roman"/>
          <w:lang w:val="en-US" w:eastAsia="ja-JP"/>
        </w:rPr>
        <w:t xml:space="preserve">actuarial modeling and </w:t>
      </w:r>
      <w:r w:rsidR="5FDD2D1A" w:rsidRPr="00AD0089">
        <w:rPr>
          <w:rFonts w:eastAsia="Times New Roman"/>
          <w:lang w:val="en-US" w:eastAsia="ja-JP"/>
        </w:rPr>
        <w:t xml:space="preserve">venues for </w:t>
      </w:r>
      <w:r w:rsidR="5FDD2D1A" w:rsidRPr="4D525B7F">
        <w:rPr>
          <w:rFonts w:eastAsia="Times New Roman"/>
          <w:lang w:val="en-US" w:eastAsia="ja-JP"/>
        </w:rPr>
        <w:t>robust stakeholder engagement</w:t>
      </w:r>
      <w:r w:rsidR="6F18E22B" w:rsidRPr="4D525B7F">
        <w:rPr>
          <w:rFonts w:eastAsia="Times New Roman"/>
          <w:lang w:val="en-US" w:eastAsia="ja-JP"/>
        </w:rPr>
        <w:t xml:space="preserve">.  </w:t>
      </w:r>
      <w:r w:rsidR="2A503215" w:rsidRPr="223B0AAB">
        <w:rPr>
          <w:rFonts w:eastAsia="Times New Roman"/>
          <w:lang w:val="en-US" w:eastAsia="ja-JP"/>
        </w:rPr>
        <w:t>Careful</w:t>
      </w:r>
      <w:r w:rsidR="163A6611" w:rsidRPr="223B0AAB">
        <w:rPr>
          <w:rFonts w:eastAsia="Times New Roman"/>
          <w:lang w:val="en-US" w:eastAsia="ja-JP"/>
        </w:rPr>
        <w:t xml:space="preserve"> design </w:t>
      </w:r>
      <w:r w:rsidR="2A503215" w:rsidRPr="223B0AAB">
        <w:rPr>
          <w:rFonts w:eastAsia="Times New Roman"/>
          <w:lang w:val="en-US" w:eastAsia="ja-JP"/>
        </w:rPr>
        <w:t>is needed</w:t>
      </w:r>
      <w:r w:rsidR="163A6611" w:rsidRPr="223B0AAB">
        <w:rPr>
          <w:rFonts w:eastAsia="Times New Roman"/>
          <w:lang w:val="en-US" w:eastAsia="ja-JP"/>
        </w:rPr>
        <w:t xml:space="preserve"> to avoid anti-selection and prevent risk pool fragmentation</w:t>
      </w:r>
      <w:r w:rsidR="2A503215" w:rsidRPr="223B0AAB">
        <w:rPr>
          <w:rFonts w:eastAsia="Times New Roman"/>
          <w:lang w:val="en-US" w:eastAsia="ja-JP"/>
        </w:rPr>
        <w:t xml:space="preserve">. Federal funding for planning and technical assistance would greatly help states take further advantage of the ACA’s state </w:t>
      </w:r>
      <w:r w:rsidR="001D5097">
        <w:rPr>
          <w:rFonts w:eastAsia="Times New Roman"/>
          <w:lang w:val="en-US" w:eastAsia="ja-JP"/>
        </w:rPr>
        <w:t>flexibility provisions</w:t>
      </w:r>
      <w:r w:rsidR="2A503215" w:rsidRPr="223B0AAB">
        <w:rPr>
          <w:rFonts w:eastAsia="Times New Roman"/>
          <w:lang w:val="en-US" w:eastAsia="ja-JP"/>
        </w:rPr>
        <w:t xml:space="preserve">. </w:t>
      </w:r>
    </w:p>
    <w:bookmarkStart w:id="30" w:name="_Toc216861720"/>
    <w:p w14:paraId="0D444B2C" w14:textId="07954646" w:rsidR="7349E898" w:rsidRDefault="00B0340D" w:rsidP="003601F7">
      <w:pPr>
        <w:spacing w:after="200" w:line="276" w:lineRule="auto"/>
        <w:contextualSpacing/>
        <w:outlineLvl w:val="0"/>
        <w:rPr>
          <w:rFonts w:ascii="Cambria" w:eastAsia="Times New Roman" w:hAnsi="Cambria" w:cs="Times New Roman"/>
          <w:b/>
          <w:bCs/>
          <w:sz w:val="22"/>
          <w:szCs w:val="22"/>
          <w:lang w:eastAsia="ja-JP"/>
        </w:rPr>
      </w:pPr>
      <w:sdt>
        <w:sdtPr>
          <w:rPr>
            <w:rFonts w:ascii="Cambria" w:eastAsia="Times New Roman" w:hAnsi="Cambria" w:cs="Times New Roman"/>
            <w:b/>
            <w:bCs/>
            <w:sz w:val="22"/>
            <w:szCs w:val="22"/>
            <w:lang w:eastAsia="ja-JP"/>
          </w:rPr>
          <w:id w:val="1826468754"/>
          <w:placeholder>
            <w:docPart w:val="0B715506262648B29E83A7614105CE06"/>
          </w:placeholder>
          <w:temporary/>
          <w:showingPlcHdr/>
          <w15:appearance w15:val="hidden"/>
        </w:sdtPr>
        <w:sdtEndPr/>
        <w:sdtContent>
          <w:r w:rsidR="00657C5D" w:rsidRPr="003A0653">
            <w:rPr>
              <w:rStyle w:val="Heading1Char"/>
            </w:rPr>
            <w:t>Conclusion</w:t>
          </w:r>
        </w:sdtContent>
      </w:sdt>
      <w:bookmarkEnd w:id="30"/>
    </w:p>
    <w:p w14:paraId="441FD8AA" w14:textId="77777777" w:rsidR="003601F7" w:rsidRDefault="003601F7" w:rsidP="003601F7">
      <w:pPr>
        <w:spacing w:after="200" w:line="276" w:lineRule="auto"/>
        <w:contextualSpacing/>
        <w:outlineLvl w:val="0"/>
        <w:rPr>
          <w:rStyle w:val="Heading1Char"/>
        </w:rPr>
      </w:pPr>
    </w:p>
    <w:p w14:paraId="794C88D4" w14:textId="2C671982" w:rsidR="73361E3D" w:rsidRDefault="73361E3D" w:rsidP="003601F7">
      <w:pPr>
        <w:rPr>
          <w:lang w:val="en-US"/>
        </w:rPr>
      </w:pPr>
      <w:r w:rsidRPr="26BD94F8">
        <w:rPr>
          <w:lang w:val="en-US"/>
        </w:rPr>
        <w:t xml:space="preserve">State </w:t>
      </w:r>
      <w:r w:rsidR="00D7261C">
        <w:rPr>
          <w:lang w:val="en-US"/>
        </w:rPr>
        <w:t xml:space="preserve">flexibility under the ACA </w:t>
      </w:r>
      <w:r w:rsidR="00654B2B">
        <w:rPr>
          <w:lang w:val="en-US"/>
        </w:rPr>
        <w:t xml:space="preserve">has already </w:t>
      </w:r>
      <w:r w:rsidR="00F43A2C">
        <w:rPr>
          <w:lang w:val="en-US"/>
        </w:rPr>
        <w:t xml:space="preserve">shown success in achieving greater affordability for consumers across many states. The law’s flexibility options </w:t>
      </w:r>
      <w:proofErr w:type="gramStart"/>
      <w:r w:rsidR="00F43A2C">
        <w:rPr>
          <w:lang w:val="en-US"/>
        </w:rPr>
        <w:t>have</w:t>
      </w:r>
      <w:r w:rsidRPr="26BD94F8">
        <w:rPr>
          <w:lang w:val="en-US"/>
        </w:rPr>
        <w:t xml:space="preserve"> the opportunity to</w:t>
      </w:r>
      <w:proofErr w:type="gramEnd"/>
      <w:r w:rsidRPr="26BD94F8">
        <w:rPr>
          <w:lang w:val="en-US"/>
        </w:rPr>
        <w:t xml:space="preserve"> play </w:t>
      </w:r>
      <w:r w:rsidRPr="35FD51CD">
        <w:rPr>
          <w:lang w:val="en-US"/>
        </w:rPr>
        <w:t>an</w:t>
      </w:r>
      <w:r w:rsidRPr="26BD94F8">
        <w:rPr>
          <w:lang w:val="en-US"/>
        </w:rPr>
        <w:t xml:space="preserve"> increased role in maintaining </w:t>
      </w:r>
      <w:r w:rsidR="004C4992">
        <w:rPr>
          <w:lang w:val="en-US"/>
        </w:rPr>
        <w:t xml:space="preserve">accessible </w:t>
      </w:r>
      <w:r w:rsidRPr="26BD94F8">
        <w:rPr>
          <w:lang w:val="en-US"/>
        </w:rPr>
        <w:t xml:space="preserve">health coverage for consumers as </w:t>
      </w:r>
      <w:r w:rsidR="504286BB" w:rsidRPr="17040869">
        <w:rPr>
          <w:lang w:val="en-US"/>
        </w:rPr>
        <w:t xml:space="preserve">the </w:t>
      </w:r>
      <w:r w:rsidR="004C4992">
        <w:rPr>
          <w:lang w:val="en-US"/>
        </w:rPr>
        <w:t xml:space="preserve">federal regulatory landscape changes. </w:t>
      </w:r>
      <w:r w:rsidR="00CF5789">
        <w:rPr>
          <w:lang w:val="en-US"/>
        </w:rPr>
        <w:t>States are anticipating i</w:t>
      </w:r>
      <w:r w:rsidRPr="26BD94F8">
        <w:rPr>
          <w:lang w:val="en-US"/>
        </w:rPr>
        <w:t xml:space="preserve">ncreased Medicaid disenrollments </w:t>
      </w:r>
      <w:r w:rsidR="00CF5789">
        <w:rPr>
          <w:lang w:val="en-US"/>
        </w:rPr>
        <w:t>and f</w:t>
      </w:r>
      <w:r w:rsidRPr="26BD94F8">
        <w:rPr>
          <w:lang w:val="en-US"/>
        </w:rPr>
        <w:t>uture challenges for ACA market risk pools</w:t>
      </w:r>
      <w:r w:rsidR="00EA380F">
        <w:rPr>
          <w:lang w:val="en-US"/>
        </w:rPr>
        <w:t xml:space="preserve">, among other </w:t>
      </w:r>
      <w:r w:rsidR="0029111C">
        <w:rPr>
          <w:lang w:val="en-US"/>
        </w:rPr>
        <w:t>tests for state health insurance regulation</w:t>
      </w:r>
      <w:r w:rsidRPr="26BD94F8">
        <w:rPr>
          <w:lang w:val="en-US"/>
        </w:rPr>
        <w:t xml:space="preserve">.  </w:t>
      </w:r>
      <w:r w:rsidR="39BC5C55" w:rsidRPr="4722E34D">
        <w:rPr>
          <w:lang w:val="en-US"/>
        </w:rPr>
        <w:t xml:space="preserve">Ever increasing </w:t>
      </w:r>
      <w:r w:rsidR="39BC5C55" w:rsidRPr="48E1935A">
        <w:rPr>
          <w:lang w:val="en-US"/>
        </w:rPr>
        <w:t>h</w:t>
      </w:r>
      <w:r w:rsidR="289ECF3A" w:rsidRPr="48E1935A">
        <w:rPr>
          <w:lang w:val="en-US"/>
        </w:rPr>
        <w:t>ealth</w:t>
      </w:r>
      <w:r w:rsidR="289ECF3A" w:rsidRPr="10F8B6FF">
        <w:rPr>
          <w:lang w:val="en-US"/>
        </w:rPr>
        <w:t xml:space="preserve"> care costs</w:t>
      </w:r>
      <w:r w:rsidR="289ECF3A" w:rsidRPr="47ACA709">
        <w:rPr>
          <w:lang w:val="en-US"/>
        </w:rPr>
        <w:t xml:space="preserve"> also </w:t>
      </w:r>
      <w:r w:rsidR="289ECF3A" w:rsidRPr="5A94AB57">
        <w:rPr>
          <w:lang w:val="en-US"/>
        </w:rPr>
        <w:t xml:space="preserve">continue to drive premiums </w:t>
      </w:r>
      <w:r w:rsidR="289ECF3A" w:rsidRPr="318671B4">
        <w:rPr>
          <w:lang w:val="en-US"/>
        </w:rPr>
        <w:t>upward</w:t>
      </w:r>
      <w:r w:rsidR="1EB57A58" w:rsidRPr="3951EFDD">
        <w:rPr>
          <w:lang w:val="en-US"/>
        </w:rPr>
        <w:t xml:space="preserve">, </w:t>
      </w:r>
      <w:r w:rsidR="1EB57A58" w:rsidRPr="6335029A">
        <w:rPr>
          <w:lang w:val="en-US"/>
        </w:rPr>
        <w:t xml:space="preserve">leading to </w:t>
      </w:r>
      <w:r w:rsidR="1EB57A58" w:rsidRPr="1AC788B1">
        <w:rPr>
          <w:lang w:val="en-US"/>
        </w:rPr>
        <w:t xml:space="preserve">affordability </w:t>
      </w:r>
      <w:r w:rsidR="1EB57A58" w:rsidRPr="4E5D9473">
        <w:rPr>
          <w:lang w:val="en-US"/>
        </w:rPr>
        <w:t xml:space="preserve">challenges for </w:t>
      </w:r>
      <w:r w:rsidR="1EB57A58" w:rsidRPr="494453E9">
        <w:rPr>
          <w:lang w:val="en-US"/>
        </w:rPr>
        <w:t>individuals</w:t>
      </w:r>
      <w:r w:rsidR="1EB57A58" w:rsidRPr="512C4493">
        <w:rPr>
          <w:lang w:val="en-US"/>
        </w:rPr>
        <w:t xml:space="preserve"> and small businesses</w:t>
      </w:r>
      <w:r w:rsidR="289ECF3A" w:rsidRPr="512C4493">
        <w:rPr>
          <w:lang w:val="en-US"/>
        </w:rPr>
        <w:t>.</w:t>
      </w:r>
      <w:r w:rsidR="289ECF3A" w:rsidRPr="318671B4">
        <w:rPr>
          <w:lang w:val="en-US"/>
        </w:rPr>
        <w:t xml:space="preserve">  </w:t>
      </w:r>
      <w:r w:rsidR="289ECF3A" w:rsidRPr="5433846E">
        <w:rPr>
          <w:lang w:val="en-US"/>
        </w:rPr>
        <w:t xml:space="preserve">Clear and consistent guidance as well as </w:t>
      </w:r>
      <w:r w:rsidR="289ECF3A" w:rsidRPr="5664560F">
        <w:rPr>
          <w:lang w:val="en-US"/>
        </w:rPr>
        <w:t xml:space="preserve">flexibility </w:t>
      </w:r>
      <w:r w:rsidR="289ECF3A" w:rsidRPr="7BF700E4">
        <w:rPr>
          <w:lang w:val="en-US"/>
        </w:rPr>
        <w:t>from the federal government</w:t>
      </w:r>
      <w:r w:rsidR="289ECF3A" w:rsidRPr="451ACF8E">
        <w:rPr>
          <w:lang w:val="en-US"/>
        </w:rPr>
        <w:t xml:space="preserve"> </w:t>
      </w:r>
      <w:r w:rsidR="1C980E9A" w:rsidRPr="56DDC0C4">
        <w:rPr>
          <w:lang w:val="en-US"/>
        </w:rPr>
        <w:t>will help states</w:t>
      </w:r>
      <w:r w:rsidR="1C980E9A" w:rsidRPr="4210A455">
        <w:rPr>
          <w:lang w:val="en-US"/>
        </w:rPr>
        <w:t xml:space="preserve"> to </w:t>
      </w:r>
      <w:r w:rsidR="1C980E9A" w:rsidRPr="1AA2003A">
        <w:rPr>
          <w:lang w:val="en-US"/>
        </w:rPr>
        <w:t xml:space="preserve">pursue </w:t>
      </w:r>
      <w:r w:rsidR="133A43CC" w:rsidRPr="77D48452">
        <w:rPr>
          <w:lang w:val="en-US"/>
        </w:rPr>
        <w:t xml:space="preserve">state </w:t>
      </w:r>
      <w:r w:rsidR="133A43CC" w:rsidRPr="33985A68">
        <w:rPr>
          <w:lang w:val="en-US"/>
        </w:rPr>
        <w:t xml:space="preserve">innovation </w:t>
      </w:r>
      <w:r w:rsidR="1C980E9A" w:rsidRPr="1AA2003A">
        <w:rPr>
          <w:lang w:val="en-US"/>
        </w:rPr>
        <w:t xml:space="preserve">options that </w:t>
      </w:r>
      <w:r w:rsidR="1C980E9A" w:rsidRPr="61E32847">
        <w:rPr>
          <w:lang w:val="en-US"/>
        </w:rPr>
        <w:t xml:space="preserve">best </w:t>
      </w:r>
      <w:r w:rsidR="1C980E9A" w:rsidRPr="6C247AE7">
        <w:rPr>
          <w:lang w:val="en-US"/>
        </w:rPr>
        <w:t>meet</w:t>
      </w:r>
      <w:r w:rsidR="1C980E9A" w:rsidRPr="61E32847">
        <w:rPr>
          <w:lang w:val="en-US"/>
        </w:rPr>
        <w:t xml:space="preserve"> </w:t>
      </w:r>
      <w:r w:rsidR="1C980E9A" w:rsidRPr="4BE8C4A8">
        <w:rPr>
          <w:lang w:val="en-US"/>
        </w:rPr>
        <w:t xml:space="preserve">their </w:t>
      </w:r>
      <w:r w:rsidR="1C980E9A" w:rsidRPr="2F7D92F8">
        <w:rPr>
          <w:lang w:val="en-US"/>
        </w:rPr>
        <w:t xml:space="preserve">coverage </w:t>
      </w:r>
      <w:r w:rsidR="1C980E9A" w:rsidRPr="2F03585A">
        <w:rPr>
          <w:lang w:val="en-US"/>
        </w:rPr>
        <w:t>needs</w:t>
      </w:r>
      <w:r w:rsidR="1C980E9A" w:rsidRPr="3E629707">
        <w:rPr>
          <w:lang w:val="en-US"/>
        </w:rPr>
        <w:t xml:space="preserve">. </w:t>
      </w:r>
      <w:r w:rsidR="1C980E9A" w:rsidRPr="424CC80D">
        <w:rPr>
          <w:lang w:val="en-US"/>
        </w:rPr>
        <w:t xml:space="preserve"> </w:t>
      </w:r>
    </w:p>
    <w:p w14:paraId="413423FF" w14:textId="216648DF" w:rsidR="26BD94F8" w:rsidRDefault="26BD94F8" w:rsidP="26BD94F8">
      <w:pPr>
        <w:spacing w:after="200" w:line="276" w:lineRule="auto"/>
        <w:contextualSpacing/>
        <w:outlineLvl w:val="0"/>
        <w:rPr>
          <w:rStyle w:val="Heading1Char"/>
        </w:rPr>
      </w:pPr>
    </w:p>
    <w:p w14:paraId="72169B0C" w14:textId="22522A2F" w:rsidR="5F54E798" w:rsidRPr="002353E8" w:rsidRDefault="5F54E798" w:rsidP="002353E8"/>
    <w:sectPr w:rsidR="5F54E798" w:rsidRPr="002353E8" w:rsidSect="00B875F3">
      <w:headerReference w:type="default" r:id="rId15"/>
      <w:footerReference w:type="default" r:id="rId16"/>
      <w:headerReference w:type="first" r:id="rId17"/>
      <w:footerReference w:type="first" r:id="rId18"/>
      <w:pgSz w:w="12240" w:h="15840" w:code="1"/>
      <w:pgMar w:top="1080" w:right="1080" w:bottom="1080" w:left="108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26DA" w14:textId="77777777" w:rsidR="005779AB" w:rsidRDefault="005779AB" w:rsidP="00C17A1E">
      <w:pPr>
        <w:spacing w:line="240" w:lineRule="auto"/>
      </w:pPr>
      <w:r>
        <w:separator/>
      </w:r>
    </w:p>
  </w:endnote>
  <w:endnote w:type="continuationSeparator" w:id="0">
    <w:p w14:paraId="3FDEA701" w14:textId="77777777" w:rsidR="005779AB" w:rsidRDefault="005779AB" w:rsidP="00C17A1E">
      <w:pPr>
        <w:spacing w:line="240" w:lineRule="auto"/>
      </w:pPr>
      <w:r>
        <w:continuationSeparator/>
      </w:r>
    </w:p>
  </w:endnote>
  <w:endnote w:type="continuationNotice" w:id="1">
    <w:p w14:paraId="7EC6E617" w14:textId="77777777" w:rsidR="005779AB" w:rsidRDefault="005779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36C1" w14:textId="44B330A7" w:rsidR="00402212" w:rsidRPr="00FC6F3C" w:rsidRDefault="00B0340D" w:rsidP="530B2DF0">
    <w:pPr>
      <w:pStyle w:val="Footer"/>
      <w:tabs>
        <w:tab w:val="center" w:pos="5040"/>
      </w:tabs>
      <w:rPr>
        <w:rFonts w:ascii="Calibri" w:hAnsi="Calibri" w:cs="Calibri"/>
        <w:sz w:val="20"/>
      </w:rPr>
    </w:pPr>
    <w:sdt>
      <w:sdtPr>
        <w:rPr>
          <w:rFonts w:ascii="Calibri" w:hAnsi="Calibri" w:cs="Calibri"/>
        </w:rPr>
        <w:id w:val="599222781"/>
        <w:docPartObj>
          <w:docPartGallery w:val="Page Numbers (Bottom of Page)"/>
          <w:docPartUnique/>
        </w:docPartObj>
      </w:sdtPr>
      <w:sdtEndPr>
        <w:rPr>
          <w:noProof/>
          <w:sz w:val="20"/>
        </w:rPr>
      </w:sdtEndPr>
      <w:sdtContent>
        <w:r w:rsidR="00FC6F3C" w:rsidRPr="530B2DF0">
          <w:rPr>
            <w:rFonts w:ascii="Calibri" w:hAnsi="Calibri" w:cs="Calibri"/>
            <w:sz w:val="20"/>
          </w:rPr>
          <w:fldChar w:fldCharType="begin"/>
        </w:r>
        <w:r w:rsidR="00FC6F3C" w:rsidRPr="530B2DF0">
          <w:rPr>
            <w:rFonts w:ascii="Calibri" w:hAnsi="Calibri" w:cs="Calibri"/>
            <w:sz w:val="20"/>
          </w:rPr>
          <w:instrText xml:space="preserve"> PAGE   \* MERGEFORMAT </w:instrText>
        </w:r>
        <w:r w:rsidR="00FC6F3C" w:rsidRPr="530B2DF0">
          <w:rPr>
            <w:rFonts w:ascii="Calibri" w:hAnsi="Calibri" w:cs="Calibri"/>
            <w:sz w:val="20"/>
          </w:rPr>
          <w:fldChar w:fldCharType="separate"/>
        </w:r>
        <w:r w:rsidR="530B2DF0" w:rsidRPr="530B2DF0">
          <w:rPr>
            <w:rFonts w:ascii="Calibri" w:hAnsi="Calibri" w:cs="Calibri"/>
            <w:sz w:val="20"/>
          </w:rPr>
          <w:t>1</w:t>
        </w:r>
        <w:r w:rsidR="00FC6F3C" w:rsidRPr="530B2DF0">
          <w:rPr>
            <w:rFonts w:ascii="Calibri" w:hAnsi="Calibri" w:cs="Calibr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4988" w:type="pct"/>
      <w:tblBorders>
        <w:insideH w:val="single" w:sz="4" w:space="0" w:color="0F9ED5"/>
      </w:tblBorders>
      <w:tblLook w:val="04A0" w:firstRow="1" w:lastRow="0" w:firstColumn="1" w:lastColumn="0" w:noHBand="0" w:noVBand="1"/>
    </w:tblPr>
    <w:tblGrid>
      <w:gridCol w:w="8395"/>
      <w:gridCol w:w="1661"/>
    </w:tblGrid>
    <w:tr w:rsidR="004C1A57" w14:paraId="3EB104AE" w14:textId="77777777" w:rsidTr="00DB0483">
      <w:trPr>
        <w:cantSplit/>
      </w:trPr>
      <w:tc>
        <w:tcPr>
          <w:tcW w:w="7795" w:type="dxa"/>
          <w:vAlign w:val="center"/>
        </w:tcPr>
        <w:p w14:paraId="2ABD3300" w14:textId="09BFC730" w:rsidR="004C1A57" w:rsidRDefault="004C1A57" w:rsidP="009C2901">
          <w:pPr>
            <w:pStyle w:val="Template-Address"/>
          </w:pPr>
          <w:r w:rsidRPr="004C1A57">
            <w:rPr>
              <w:b/>
              <w:bCs/>
            </w:rPr>
            <w:t>Washington, DC</w:t>
          </w:r>
          <w:r>
            <w:t xml:space="preserve"> </w:t>
          </w:r>
          <w:r w:rsidR="00651F91">
            <w:t>1101</w:t>
          </w:r>
          <w:r>
            <w:t xml:space="preserve"> </w:t>
          </w:r>
          <w:r w:rsidR="00651F91">
            <w:t>K</w:t>
          </w:r>
          <w:r>
            <w:t xml:space="preserve"> Street NW, Suite </w:t>
          </w:r>
          <w:r w:rsidR="00651F91">
            <w:t>650</w:t>
          </w:r>
          <w:r>
            <w:t>, Washington</w:t>
          </w:r>
          <w:r w:rsidR="00441A99">
            <w:t>,</w:t>
          </w:r>
          <w:r>
            <w:t xml:space="preserve"> DC 2000</w:t>
          </w:r>
          <w:r w:rsidR="00235109">
            <w:t>5-7032</w:t>
          </w:r>
        </w:p>
      </w:tc>
      <w:tc>
        <w:tcPr>
          <w:tcW w:w="1542" w:type="dxa"/>
          <w:vAlign w:val="center"/>
        </w:tcPr>
        <w:p w14:paraId="406D5DB7" w14:textId="032B45AF" w:rsidR="004C1A57" w:rsidRDefault="004C1A57" w:rsidP="00777424">
          <w:pPr>
            <w:pStyle w:val="Template-Address"/>
            <w:jc w:val="right"/>
          </w:pPr>
          <w:r>
            <w:t xml:space="preserve">p </w:t>
          </w:r>
          <w:r w:rsidR="00420364">
            <w:rPr>
              <w:rFonts w:ascii="AvenirNext LT Pro Regular" w:hAnsi="AvenirNext LT Pro Regular"/>
            </w:rPr>
            <w:t>|</w:t>
          </w:r>
          <w:r>
            <w:t xml:space="preserve"> 202 471 3990</w:t>
          </w:r>
        </w:p>
      </w:tc>
    </w:tr>
    <w:tr w:rsidR="004C1A57" w14:paraId="29B40B49" w14:textId="77777777" w:rsidTr="00DB0483">
      <w:trPr>
        <w:cantSplit/>
      </w:trPr>
      <w:tc>
        <w:tcPr>
          <w:tcW w:w="7795" w:type="dxa"/>
          <w:vAlign w:val="center"/>
        </w:tcPr>
        <w:p w14:paraId="60B6BD9A" w14:textId="6902D557" w:rsidR="004C1A57" w:rsidRPr="004C1A57" w:rsidRDefault="530B2DF0" w:rsidP="009C2901">
          <w:pPr>
            <w:pStyle w:val="Template-Address"/>
          </w:pPr>
          <w:r w:rsidRPr="530B2DF0">
            <w:rPr>
              <w:b/>
              <w:bCs/>
            </w:rPr>
            <w:t xml:space="preserve">Kansas City </w:t>
          </w:r>
          <w:r>
            <w:t>1100 Walnut Street, Suite 1000, Kansas City, MO 64106-2197</w:t>
          </w:r>
        </w:p>
      </w:tc>
      <w:tc>
        <w:tcPr>
          <w:tcW w:w="1542" w:type="dxa"/>
          <w:vAlign w:val="center"/>
        </w:tcPr>
        <w:p w14:paraId="5D949F67" w14:textId="2D0A72D6" w:rsidR="004C1A57" w:rsidRDefault="004C1A57" w:rsidP="00777424">
          <w:pPr>
            <w:pStyle w:val="Template-Address"/>
            <w:jc w:val="right"/>
          </w:pPr>
          <w:r>
            <w:t xml:space="preserve">p </w:t>
          </w:r>
          <w:r w:rsidR="00420364">
            <w:rPr>
              <w:rFonts w:ascii="AvenirNext LT Pro Regular" w:hAnsi="AvenirNext LT Pro Regular"/>
            </w:rPr>
            <w:t>|</w:t>
          </w:r>
          <w:r>
            <w:t xml:space="preserve"> 816 842 3600</w:t>
          </w:r>
        </w:p>
      </w:tc>
    </w:tr>
    <w:tr w:rsidR="004C1A57" w14:paraId="344019E0" w14:textId="77777777" w:rsidTr="00DB0483">
      <w:trPr>
        <w:cantSplit/>
      </w:trPr>
      <w:tc>
        <w:tcPr>
          <w:tcW w:w="7795" w:type="dxa"/>
          <w:vAlign w:val="center"/>
        </w:tcPr>
        <w:p w14:paraId="445F88BA" w14:textId="6E4BE59F" w:rsidR="004C1A57" w:rsidRPr="004C1A57" w:rsidRDefault="004C1A57" w:rsidP="009C2901">
          <w:pPr>
            <w:pStyle w:val="Template-Address"/>
          </w:pPr>
          <w:r>
            <w:rPr>
              <w:b/>
              <w:bCs/>
            </w:rPr>
            <w:t xml:space="preserve">New York </w:t>
          </w:r>
          <w:r>
            <w:t xml:space="preserve">One New York Plaza, Suite 4210, New York, NY </w:t>
          </w:r>
          <w:r w:rsidR="007C0FBA">
            <w:t>1</w:t>
          </w:r>
          <w:r>
            <w:t>0004</w:t>
          </w:r>
        </w:p>
      </w:tc>
      <w:tc>
        <w:tcPr>
          <w:tcW w:w="1542" w:type="dxa"/>
          <w:vAlign w:val="center"/>
        </w:tcPr>
        <w:p w14:paraId="200D2B3A" w14:textId="704C41EB" w:rsidR="004C1A57" w:rsidRDefault="004C1A57" w:rsidP="00777424">
          <w:pPr>
            <w:pStyle w:val="Template-Address"/>
            <w:jc w:val="right"/>
          </w:pPr>
          <w:r>
            <w:t xml:space="preserve">p </w:t>
          </w:r>
          <w:r w:rsidR="00420364">
            <w:rPr>
              <w:rFonts w:ascii="AvenirNext LT Pro Regular" w:hAnsi="AvenirNext LT Pro Regular"/>
            </w:rPr>
            <w:t>|</w:t>
          </w:r>
          <w:r>
            <w:t xml:space="preserve"> 212 398 </w:t>
          </w:r>
          <w:r w:rsidR="00B74740">
            <w:t>9000</w:t>
          </w:r>
        </w:p>
      </w:tc>
    </w:tr>
  </w:tbl>
  <w:p w14:paraId="4A796C85" w14:textId="236802AB" w:rsidR="00131807" w:rsidRPr="00380163" w:rsidRDefault="530B2DF0" w:rsidP="530B2DF0">
    <w:pPr>
      <w:pStyle w:val="Webaddress"/>
      <w:ind w:left="-180"/>
    </w:pPr>
    <w:r>
      <w:t>www.naic.org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0DC8D" w14:textId="77777777" w:rsidR="005779AB" w:rsidRDefault="005779AB" w:rsidP="00C17A1E">
      <w:pPr>
        <w:spacing w:line="240" w:lineRule="auto"/>
      </w:pPr>
      <w:r>
        <w:separator/>
      </w:r>
    </w:p>
  </w:footnote>
  <w:footnote w:type="continuationSeparator" w:id="0">
    <w:p w14:paraId="14FB027D" w14:textId="77777777" w:rsidR="005779AB" w:rsidRDefault="005779AB" w:rsidP="00C17A1E">
      <w:pPr>
        <w:spacing w:line="240" w:lineRule="auto"/>
      </w:pPr>
      <w:r>
        <w:continuationSeparator/>
      </w:r>
    </w:p>
  </w:footnote>
  <w:footnote w:type="continuationNotice" w:id="1">
    <w:p w14:paraId="6A875B16" w14:textId="77777777" w:rsidR="005779AB" w:rsidRDefault="005779AB">
      <w:pPr>
        <w:spacing w:line="240" w:lineRule="auto"/>
      </w:pPr>
    </w:p>
  </w:footnote>
  <w:footnote w:id="2">
    <w:p w14:paraId="2C0F02D5" w14:textId="277A872E" w:rsidR="67927A30" w:rsidRPr="00D0114A" w:rsidRDefault="67927A30" w:rsidP="67927A30">
      <w:pPr>
        <w:pStyle w:val="FootnoteText"/>
        <w:rPr>
          <w:i/>
          <w:iCs/>
          <w:sz w:val="20"/>
          <w:szCs w:val="20"/>
        </w:rPr>
      </w:pPr>
      <w:r w:rsidRPr="67927A30">
        <w:rPr>
          <w:rStyle w:val="FootnoteReference"/>
        </w:rPr>
        <w:footnoteRef/>
      </w:r>
      <w:r>
        <w:t xml:space="preserve"> </w:t>
      </w:r>
      <w:r w:rsidRPr="00D0114A">
        <w:rPr>
          <w:sz w:val="20"/>
          <w:szCs w:val="20"/>
        </w:rPr>
        <w:t xml:space="preserve">Center for Medicare and Medicaid Services, </w:t>
      </w:r>
      <w:r w:rsidRPr="00D0114A">
        <w:rPr>
          <w:i/>
          <w:iCs/>
          <w:sz w:val="20"/>
          <w:szCs w:val="20"/>
        </w:rPr>
        <w:t xml:space="preserve">Basic Health Program, </w:t>
      </w:r>
      <w:hyperlink r:id="rId1">
        <w:r w:rsidRPr="00D0114A">
          <w:rPr>
            <w:rStyle w:val="Hyperlink"/>
            <w:sz w:val="20"/>
            <w:szCs w:val="20"/>
          </w:rPr>
          <w:t>https://www.medicaid.gov/basic-health-program</w:t>
        </w:r>
      </w:hyperlink>
      <w:r w:rsidRPr="00D0114A">
        <w:rPr>
          <w:sz w:val="20"/>
          <w:szCs w:val="20"/>
        </w:rPr>
        <w:t xml:space="preserve">, accessed September 28, 2025. </w:t>
      </w:r>
    </w:p>
  </w:footnote>
  <w:footnote w:id="3">
    <w:p w14:paraId="5346AC2D" w14:textId="134D461B" w:rsidR="67927A30" w:rsidRDefault="67927A30" w:rsidP="67927A30">
      <w:pPr>
        <w:pStyle w:val="FootnoteText"/>
      </w:pPr>
      <w:r w:rsidRPr="00D0114A">
        <w:rPr>
          <w:rStyle w:val="FootnoteReference"/>
          <w:sz w:val="20"/>
          <w:szCs w:val="20"/>
        </w:rPr>
        <w:footnoteRef/>
      </w:r>
      <w:r w:rsidRPr="00D0114A">
        <w:rPr>
          <w:sz w:val="20"/>
          <w:szCs w:val="20"/>
        </w:rPr>
        <w:t xml:space="preserve"> Id. </w:t>
      </w:r>
      <w:r w:rsidR="004F7AC3" w:rsidRPr="00D0114A">
        <w:rPr>
          <w:sz w:val="20"/>
          <w:szCs w:val="20"/>
        </w:rPr>
        <w:t xml:space="preserve">States </w:t>
      </w:r>
      <w:r w:rsidR="00B36B0A" w:rsidRPr="00D0114A">
        <w:rPr>
          <w:sz w:val="20"/>
          <w:szCs w:val="20"/>
        </w:rPr>
        <w:t>also receive 95% of any payments the federal government would have made for cost-sharing reductions</w:t>
      </w:r>
      <w:r w:rsidR="00D763E4" w:rsidRPr="00D0114A">
        <w:rPr>
          <w:sz w:val="20"/>
          <w:szCs w:val="20"/>
        </w:rPr>
        <w:t xml:space="preserve"> if the individuals were enrolled in Qualified Health Plans.</w:t>
      </w:r>
    </w:p>
  </w:footnote>
  <w:footnote w:id="4">
    <w:p w14:paraId="73008F28" w14:textId="450413DB" w:rsidR="67927A30" w:rsidRPr="00A17733" w:rsidRDefault="67927A30" w:rsidP="67927A30">
      <w:pPr>
        <w:pStyle w:val="FootnoteText"/>
        <w:rPr>
          <w:i/>
          <w:iCs/>
          <w:sz w:val="20"/>
          <w:szCs w:val="20"/>
        </w:rPr>
      </w:pPr>
      <w:r w:rsidRPr="00A17733">
        <w:rPr>
          <w:rStyle w:val="FootnoteReference"/>
          <w:sz w:val="20"/>
          <w:szCs w:val="20"/>
        </w:rPr>
        <w:footnoteRef/>
      </w:r>
      <w:r w:rsidRPr="00A17733">
        <w:rPr>
          <w:sz w:val="20"/>
          <w:szCs w:val="20"/>
        </w:rPr>
        <w:t xml:space="preserve"> Id. </w:t>
      </w:r>
    </w:p>
  </w:footnote>
  <w:footnote w:id="5">
    <w:p w14:paraId="03BA27E3" w14:textId="7520D686" w:rsidR="00FE20FA" w:rsidRPr="00525530" w:rsidRDefault="00FE20FA" w:rsidP="00FE20FA">
      <w:pPr>
        <w:pStyle w:val="Bibliography"/>
        <w:ind w:left="720" w:hanging="720"/>
        <w:rPr>
          <w:noProof/>
          <w:sz w:val="20"/>
          <w:szCs w:val="20"/>
        </w:rPr>
      </w:pPr>
      <w:r w:rsidRPr="00525530">
        <w:rPr>
          <w:rStyle w:val="FootnoteReference"/>
          <w:sz w:val="20"/>
          <w:szCs w:val="20"/>
        </w:rPr>
        <w:footnoteRef/>
      </w:r>
      <w:r w:rsidRPr="00525530">
        <w:rPr>
          <w:sz w:val="20"/>
          <w:szCs w:val="20"/>
        </w:rPr>
        <w:t xml:space="preserve"> </w:t>
      </w:r>
      <w:r w:rsidRPr="00525530">
        <w:rPr>
          <w:noProof/>
          <w:sz w:val="20"/>
          <w:szCs w:val="20"/>
        </w:rPr>
        <w:t xml:space="preserve">Minnesota Management and Budget. "BHP Trust Fund - February 2025 Forecast." 2025. </w:t>
      </w:r>
      <w:hyperlink r:id="rId2" w:history="1">
        <w:r w:rsidRPr="00525530">
          <w:rPr>
            <w:rStyle w:val="Hyperlink"/>
            <w:noProof/>
            <w:sz w:val="20"/>
            <w:szCs w:val="20"/>
          </w:rPr>
          <w:t>https://mn.gov/dhs/assets/BHP_Trust_Fund_Feb25_tcm1053-671717.pdf</w:t>
        </w:r>
      </w:hyperlink>
      <w:r w:rsidRPr="00525530">
        <w:rPr>
          <w:noProof/>
          <w:sz w:val="20"/>
          <w:szCs w:val="20"/>
        </w:rPr>
        <w:t>.</w:t>
      </w:r>
    </w:p>
  </w:footnote>
  <w:footnote w:id="6">
    <w:p w14:paraId="72954C14" w14:textId="7D7AA0A5" w:rsidR="00D83DBE" w:rsidRPr="00525530" w:rsidRDefault="00D4354D" w:rsidP="00D83DBE">
      <w:pPr>
        <w:pStyle w:val="Bibliography"/>
        <w:ind w:left="720" w:hanging="720"/>
        <w:rPr>
          <w:rFonts w:ascii="Aptos" w:eastAsia="MS Mincho" w:hAnsi="Aptos" w:cs="Arial"/>
          <w:noProof/>
          <w:sz w:val="20"/>
          <w:szCs w:val="20"/>
          <w:lang w:val="en-US" w:eastAsia="ja-JP"/>
        </w:rPr>
      </w:pPr>
      <w:r w:rsidRPr="00525530">
        <w:rPr>
          <w:rStyle w:val="FootnoteReference"/>
          <w:sz w:val="20"/>
          <w:szCs w:val="20"/>
        </w:rPr>
        <w:footnoteRef/>
      </w:r>
      <w:r w:rsidRPr="00525530">
        <w:rPr>
          <w:sz w:val="20"/>
          <w:szCs w:val="20"/>
        </w:rPr>
        <w:t xml:space="preserve"> </w:t>
      </w:r>
      <w:r w:rsidR="007E4A8B" w:rsidRPr="00525530">
        <w:rPr>
          <w:rFonts w:ascii="Aptos" w:eastAsia="MS Mincho" w:hAnsi="Aptos" w:cs="Arial"/>
          <w:noProof/>
          <w:sz w:val="20"/>
          <w:szCs w:val="20"/>
          <w:lang w:val="en-US" w:eastAsia="ja-JP"/>
        </w:rPr>
        <w:t xml:space="preserve">Minnesota Department of Human Services. </w:t>
      </w:r>
      <w:r w:rsidR="00D83DBE" w:rsidRPr="00525530">
        <w:rPr>
          <w:rFonts w:ascii="Aptos" w:eastAsia="MS Mincho" w:hAnsi="Aptos" w:cs="Arial"/>
          <w:noProof/>
          <w:sz w:val="20"/>
          <w:szCs w:val="20"/>
          <w:lang w:val="en-US" w:eastAsia="ja-JP"/>
        </w:rPr>
        <w:t xml:space="preserve">"Minnesota Health Care Programs Eligibility Policy Manual." 2025. </w:t>
      </w:r>
      <w:hyperlink r:id="rId3" w:history="1">
        <w:r w:rsidR="00D83DBE" w:rsidRPr="00525530">
          <w:rPr>
            <w:rStyle w:val="Hyperlink"/>
            <w:rFonts w:ascii="Aptos" w:eastAsia="MS Mincho" w:hAnsi="Aptos" w:cs="Arial"/>
            <w:noProof/>
            <w:sz w:val="20"/>
            <w:szCs w:val="20"/>
            <w:lang w:val="en-US" w:eastAsia="ja-JP"/>
          </w:rPr>
          <w:t>https://hcopub.dhs.state.mn.us/epm/3.htm</w:t>
        </w:r>
      </w:hyperlink>
      <w:r w:rsidR="00D83DBE" w:rsidRPr="00525530">
        <w:rPr>
          <w:rFonts w:ascii="Aptos" w:eastAsia="MS Mincho" w:hAnsi="Aptos" w:cs="Arial"/>
          <w:noProof/>
          <w:sz w:val="20"/>
          <w:szCs w:val="20"/>
          <w:lang w:val="en-US" w:eastAsia="ja-JP"/>
        </w:rPr>
        <w:t>.</w:t>
      </w:r>
    </w:p>
    <w:p w14:paraId="2B8554B7" w14:textId="64948450" w:rsidR="00D4354D" w:rsidRPr="00D4354D" w:rsidRDefault="00D4354D" w:rsidP="00D4354D">
      <w:pPr>
        <w:pStyle w:val="Bibliography"/>
        <w:ind w:left="720" w:hanging="720"/>
        <w:rPr>
          <w:rFonts w:ascii="Aptos" w:eastAsia="MS Mincho" w:hAnsi="Aptos" w:cs="Arial"/>
          <w:noProof/>
          <w:lang w:val="en-US" w:eastAsia="ja-JP"/>
        </w:rPr>
      </w:pPr>
      <w:r w:rsidRPr="00D4354D">
        <w:rPr>
          <w:rFonts w:ascii="Aptos" w:eastAsia="MS Mincho" w:hAnsi="Aptos" w:cs="Arial"/>
          <w:noProof/>
          <w:lang w:val="en-US" w:eastAsia="ja-JP"/>
        </w:rPr>
        <w:t>.</w:t>
      </w:r>
    </w:p>
    <w:p w14:paraId="3EF5AD7A" w14:textId="350FB710" w:rsidR="00D4354D" w:rsidRPr="00D4354D" w:rsidRDefault="00D4354D">
      <w:pPr>
        <w:pStyle w:val="FootnoteText"/>
        <w:rPr>
          <w:lang w:val="en-US"/>
        </w:rPr>
      </w:pPr>
    </w:p>
  </w:footnote>
  <w:footnote w:id="7">
    <w:p w14:paraId="49999CDD" w14:textId="0ECDAB34" w:rsidR="001219F3" w:rsidRPr="001219F3" w:rsidRDefault="001219F3">
      <w:pPr>
        <w:pStyle w:val="FootnoteText"/>
        <w:rPr>
          <w:sz w:val="20"/>
          <w:szCs w:val="20"/>
          <w:lang w:val="en-US"/>
        </w:rPr>
      </w:pPr>
      <w:r w:rsidRPr="001219F3">
        <w:rPr>
          <w:rStyle w:val="FootnoteReference"/>
          <w:sz w:val="20"/>
          <w:szCs w:val="20"/>
        </w:rPr>
        <w:footnoteRef/>
      </w:r>
      <w:r w:rsidRPr="001219F3">
        <w:rPr>
          <w:sz w:val="20"/>
          <w:szCs w:val="20"/>
        </w:rPr>
        <w:t xml:space="preserve"> </w:t>
      </w:r>
      <w:r w:rsidRPr="001219F3">
        <w:rPr>
          <w:sz w:val="20"/>
          <w:szCs w:val="20"/>
          <w:lang w:val="en-US"/>
        </w:rPr>
        <w:t>Id.</w:t>
      </w:r>
    </w:p>
  </w:footnote>
  <w:footnote w:id="8">
    <w:p w14:paraId="1305FAFE" w14:textId="7738267B" w:rsidR="00AA2C1C" w:rsidRPr="00525530" w:rsidRDefault="00AA2C1C" w:rsidP="00AA2C1C">
      <w:pPr>
        <w:pStyle w:val="Bibliography"/>
        <w:ind w:left="720" w:hanging="720"/>
        <w:rPr>
          <w:rFonts w:ascii="Aptos" w:eastAsia="MS Mincho" w:hAnsi="Aptos" w:cs="Arial"/>
          <w:noProof/>
          <w:sz w:val="20"/>
          <w:szCs w:val="20"/>
          <w:lang w:val="en-US" w:eastAsia="ja-JP"/>
        </w:rPr>
      </w:pPr>
      <w:r w:rsidRPr="00525530">
        <w:rPr>
          <w:rStyle w:val="FootnoteReference"/>
          <w:sz w:val="20"/>
          <w:szCs w:val="20"/>
        </w:rPr>
        <w:footnoteRef/>
      </w:r>
      <w:r w:rsidRPr="00525530">
        <w:rPr>
          <w:sz w:val="20"/>
          <w:szCs w:val="20"/>
        </w:rPr>
        <w:t xml:space="preserve"> </w:t>
      </w:r>
      <w:r w:rsidRPr="00525530">
        <w:rPr>
          <w:rFonts w:ascii="Aptos" w:eastAsia="MS Mincho" w:hAnsi="Aptos" w:cs="Arial"/>
          <w:noProof/>
          <w:sz w:val="20"/>
          <w:szCs w:val="20"/>
          <w:lang w:val="en-US" w:eastAsia="ja-JP"/>
        </w:rPr>
        <w:t xml:space="preserve">Minnesota Department of Human Services, Reports and Forecasts Division. "February 2025 Forecast." 2025. </w:t>
      </w:r>
      <w:hyperlink r:id="rId4" w:history="1">
        <w:r w:rsidRPr="00525530">
          <w:rPr>
            <w:rStyle w:val="Hyperlink"/>
            <w:rFonts w:ascii="Aptos" w:eastAsia="MS Mincho" w:hAnsi="Aptos" w:cs="Arial"/>
            <w:noProof/>
            <w:sz w:val="20"/>
            <w:szCs w:val="20"/>
            <w:lang w:val="en-US" w:eastAsia="ja-JP"/>
          </w:rPr>
          <w:t>https://mn.gov/dhs/assets/forecastDHS_202502_tcm1053-671523.pdf</w:t>
        </w:r>
      </w:hyperlink>
      <w:r w:rsidRPr="00525530">
        <w:rPr>
          <w:rFonts w:ascii="Aptos" w:eastAsia="MS Mincho" w:hAnsi="Aptos" w:cs="Arial"/>
          <w:noProof/>
          <w:sz w:val="20"/>
          <w:szCs w:val="20"/>
          <w:lang w:val="en-US" w:eastAsia="ja-JP"/>
        </w:rPr>
        <w:t>.</w:t>
      </w:r>
    </w:p>
  </w:footnote>
  <w:footnote w:id="9">
    <w:p w14:paraId="7A7F6BBF" w14:textId="309E98E5" w:rsidR="00525530" w:rsidRPr="00525530" w:rsidRDefault="00525530">
      <w:pPr>
        <w:pStyle w:val="FootnoteText"/>
        <w:rPr>
          <w:sz w:val="20"/>
          <w:szCs w:val="20"/>
          <w:lang w:val="en-US"/>
        </w:rPr>
      </w:pPr>
      <w:r w:rsidRPr="00525530">
        <w:rPr>
          <w:rStyle w:val="FootnoteReference"/>
          <w:sz w:val="20"/>
          <w:szCs w:val="20"/>
        </w:rPr>
        <w:footnoteRef/>
      </w:r>
      <w:r w:rsidRPr="00525530">
        <w:rPr>
          <w:sz w:val="20"/>
          <w:szCs w:val="20"/>
        </w:rPr>
        <w:t xml:space="preserve"> Minnesota Management and Budget</w:t>
      </w:r>
    </w:p>
  </w:footnote>
  <w:footnote w:id="10">
    <w:p w14:paraId="542A471B" w14:textId="457D8F93" w:rsidR="6853FBC6" w:rsidRDefault="6853FBC6" w:rsidP="6853FBC6">
      <w:pPr>
        <w:pStyle w:val="FootnoteText"/>
      </w:pPr>
      <w:r w:rsidRPr="6853FBC6">
        <w:rPr>
          <w:rStyle w:val="FootnoteReference"/>
        </w:rPr>
        <w:footnoteRef/>
      </w:r>
      <w:r>
        <w:t xml:space="preserve"> </w:t>
      </w:r>
      <w:r w:rsidRPr="001A2F8E">
        <w:rPr>
          <w:rFonts w:eastAsia="Times New Roman" w:cs="Times New Roman"/>
          <w:sz w:val="20"/>
          <w:szCs w:val="20"/>
        </w:rPr>
        <w:t xml:space="preserve">42 U.S.C. </w:t>
      </w:r>
      <w:r w:rsidRPr="001A2F8E">
        <w:rPr>
          <w:rFonts w:eastAsia="Times New Roman" w:cs="Times New Roman"/>
          <w:color w:val="1F1F1F"/>
          <w:sz w:val="20"/>
          <w:szCs w:val="20"/>
        </w:rPr>
        <w:t xml:space="preserve">§ </w:t>
      </w:r>
      <w:r w:rsidRPr="001A2F8E">
        <w:rPr>
          <w:sz w:val="20"/>
          <w:szCs w:val="20"/>
        </w:rPr>
        <w:t xml:space="preserve">18052, available at </w:t>
      </w:r>
      <w:hyperlink r:id="rId5" w:history="1">
        <w:r w:rsidR="001A2F8E" w:rsidRPr="004C01D4">
          <w:rPr>
            <w:rStyle w:val="Hyperlink"/>
            <w:sz w:val="20"/>
            <w:szCs w:val="20"/>
          </w:rPr>
          <w:t>https://www.law.cornell.edu/uscode/text/42/18052</w:t>
        </w:r>
      </w:hyperlink>
      <w:r w:rsidR="001A2F8E">
        <w:rPr>
          <w:sz w:val="20"/>
          <w:szCs w:val="20"/>
        </w:rPr>
        <w:t xml:space="preserve">. </w:t>
      </w:r>
    </w:p>
  </w:footnote>
  <w:footnote w:id="11">
    <w:p w14:paraId="00999532" w14:textId="4AE913C9" w:rsidR="6853FBC6" w:rsidRDefault="6853FBC6" w:rsidP="6853FBC6">
      <w:pPr>
        <w:pStyle w:val="FootnoteText"/>
      </w:pPr>
      <w:r w:rsidRPr="6853FBC6">
        <w:rPr>
          <w:rStyle w:val="FootnoteReference"/>
        </w:rPr>
        <w:footnoteRef/>
      </w:r>
      <w:r>
        <w:t xml:space="preserve"> </w:t>
      </w:r>
      <w:r w:rsidRPr="6853FBC6">
        <w:rPr>
          <w:sz w:val="20"/>
        </w:rPr>
        <w:t xml:space="preserve">See United States of Care, Using 1332 Waivers to Promote Access to Affordable Coverage, updated February 2025, available at: </w:t>
      </w:r>
      <w:hyperlink r:id="rId6">
        <w:r w:rsidRPr="6853FBC6">
          <w:rPr>
            <w:rStyle w:val="Hyperlink"/>
            <w:color w:val="0563C1"/>
            <w:sz w:val="20"/>
          </w:rPr>
          <w:t>https://unitedstatesofcare.org/wp-content/uploads/2023/05/1332-Chart.pdf</w:t>
        </w:r>
      </w:hyperlink>
      <w:r w:rsidRPr="6853FBC6">
        <w:rPr>
          <w:sz w:val="20"/>
        </w:rPr>
        <w:t>.</w:t>
      </w:r>
    </w:p>
  </w:footnote>
  <w:footnote w:id="12">
    <w:p w14:paraId="20B42C54" w14:textId="363E0BAE" w:rsidR="684BAE8A" w:rsidRPr="004B2860" w:rsidRDefault="684BAE8A" w:rsidP="684BAE8A">
      <w:pPr>
        <w:pStyle w:val="FootnoteText"/>
        <w:rPr>
          <w:sz w:val="20"/>
          <w:szCs w:val="20"/>
        </w:rPr>
      </w:pPr>
      <w:r w:rsidRPr="004B2860">
        <w:rPr>
          <w:rStyle w:val="FootnoteReference"/>
          <w:sz w:val="20"/>
          <w:szCs w:val="20"/>
        </w:rPr>
        <w:footnoteRef/>
      </w:r>
      <w:r w:rsidRPr="004B2860">
        <w:rPr>
          <w:sz w:val="20"/>
          <w:szCs w:val="20"/>
        </w:rPr>
        <w:t xml:space="preserve"> CCIO Data Brief on State Innovation Waviers: Section 1332 Waivers, April 2024, available at </w:t>
      </w:r>
      <w:hyperlink r:id="rId7">
        <w:r w:rsidRPr="004B2860">
          <w:rPr>
            <w:rStyle w:val="Hyperlink"/>
            <w:sz w:val="20"/>
            <w:szCs w:val="20"/>
          </w:rPr>
          <w:t>https://www.cms.gov/files/document/cciio-data-brief-042024-508-final.pdf</w:t>
        </w:r>
      </w:hyperlink>
      <w:r w:rsidRPr="004B2860">
        <w:rPr>
          <w:sz w:val="20"/>
          <w:szCs w:val="20"/>
        </w:rPr>
        <w:t xml:space="preserve">. </w:t>
      </w:r>
    </w:p>
  </w:footnote>
  <w:footnote w:id="13">
    <w:p w14:paraId="3816F522" w14:textId="2749E8F1" w:rsidR="684BAE8A" w:rsidRPr="00276945" w:rsidRDefault="684BAE8A" w:rsidP="684BAE8A">
      <w:pPr>
        <w:pStyle w:val="FootnoteText"/>
        <w:rPr>
          <w:sz w:val="20"/>
          <w:szCs w:val="20"/>
        </w:rPr>
      </w:pPr>
      <w:r w:rsidRPr="684BAE8A">
        <w:rPr>
          <w:rStyle w:val="FootnoteReference"/>
        </w:rPr>
        <w:footnoteRef/>
      </w:r>
      <w:r>
        <w:t xml:space="preserve"> </w:t>
      </w:r>
      <w:r w:rsidRPr="00276945">
        <w:rPr>
          <w:sz w:val="20"/>
          <w:szCs w:val="20"/>
        </w:rPr>
        <w:t xml:space="preserve">Maine also used a hybrid program from plan years 2019-2021, </w:t>
      </w:r>
      <w:r w:rsidRPr="00276945">
        <w:rPr>
          <w:i/>
          <w:iCs/>
          <w:sz w:val="20"/>
          <w:szCs w:val="20"/>
        </w:rPr>
        <w:t>see id</w:t>
      </w:r>
      <w:r w:rsidRPr="00276945">
        <w:rPr>
          <w:sz w:val="20"/>
          <w:szCs w:val="20"/>
        </w:rPr>
        <w:t xml:space="preserve">. </w:t>
      </w:r>
    </w:p>
  </w:footnote>
  <w:footnote w:id="14">
    <w:p w14:paraId="27DDF8A8" w14:textId="3E6ABFB6" w:rsidR="684BAE8A" w:rsidRPr="00276945" w:rsidRDefault="684BAE8A" w:rsidP="00276945">
      <w:pPr>
        <w:pStyle w:val="FootnoteText"/>
        <w:shd w:val="clear" w:color="auto" w:fill="FFFFFF" w:themeFill="background2"/>
        <w:spacing w:after="240"/>
        <w:rPr>
          <w:sz w:val="20"/>
          <w:szCs w:val="20"/>
        </w:rPr>
      </w:pPr>
      <w:r w:rsidRPr="00276945">
        <w:rPr>
          <w:rStyle w:val="FootnoteReference"/>
          <w:sz w:val="20"/>
          <w:szCs w:val="20"/>
        </w:rPr>
        <w:footnoteRef/>
      </w:r>
      <w:r w:rsidRPr="00276945">
        <w:rPr>
          <w:rFonts w:eastAsia="Cambria" w:cs="Cambria"/>
          <w:sz w:val="20"/>
          <w:szCs w:val="20"/>
        </w:rPr>
        <w:t xml:space="preserve"> </w:t>
      </w:r>
      <w:r w:rsidR="0029495E" w:rsidRPr="00276945">
        <w:rPr>
          <w:rFonts w:eastAsia="Cambria" w:cs="Cambria"/>
          <w:sz w:val="20"/>
          <w:szCs w:val="20"/>
        </w:rPr>
        <w:t>Daniel Meuse, Section 1332 Innovation Waivers inthe New Federal Paradigm</w:t>
      </w:r>
      <w:r w:rsidR="00566123" w:rsidRPr="00276945">
        <w:rPr>
          <w:rFonts w:eastAsia="Cambria" w:cs="Cambria"/>
          <w:sz w:val="20"/>
          <w:szCs w:val="20"/>
        </w:rPr>
        <w:t xml:space="preserve">, presentation to NAIC Health Innovations Working Group, </w:t>
      </w:r>
      <w:r w:rsidR="00540D8B" w:rsidRPr="00276945">
        <w:rPr>
          <w:rFonts w:eastAsia="Cambria" w:cs="Cambria"/>
          <w:sz w:val="20"/>
          <w:szCs w:val="20"/>
        </w:rPr>
        <w:t xml:space="preserve">April 22, 2025. </w:t>
      </w:r>
      <w:r w:rsidRPr="00276945">
        <w:rPr>
          <w:rFonts w:eastAsia="Cambria" w:cs="Cambria"/>
          <w:sz w:val="20"/>
          <w:szCs w:val="20"/>
        </w:rPr>
        <w:t>A</w:t>
      </w:r>
      <w:r w:rsidR="00540D8B" w:rsidRPr="00276945">
        <w:rPr>
          <w:rFonts w:eastAsia="Cambria" w:cs="Cambria"/>
          <w:sz w:val="20"/>
          <w:szCs w:val="20"/>
        </w:rPr>
        <w:t>nother</w:t>
      </w:r>
      <w:r w:rsidRPr="00276945">
        <w:rPr>
          <w:rFonts w:eastAsia="Cambria" w:cs="Cambria"/>
          <w:sz w:val="20"/>
          <w:szCs w:val="20"/>
        </w:rPr>
        <w:t xml:space="preserve"> source for further summaries and analysis of state reinsurance waivers is </w:t>
      </w:r>
      <w:r w:rsidRPr="00276945">
        <w:rPr>
          <w:rFonts w:eastAsia="Cambria" w:cs="Cambria"/>
          <w:color w:val="000000" w:themeColor="text1"/>
          <w:sz w:val="20"/>
          <w:szCs w:val="20"/>
          <w:lang w:val="en-US"/>
        </w:rPr>
        <w:t xml:space="preserve">State Health Access Data Assistance Center (SHADAC). Resource: 1332 State Innovation Waivers for State-Based Reinsurance [Internet]. University of Minnesota, Minneapolis (MN) [cited November 8, 2025]. Available from: </w:t>
      </w:r>
      <w:hyperlink r:id="rId8">
        <w:r w:rsidRPr="00276945">
          <w:rPr>
            <w:rStyle w:val="Hyperlink"/>
            <w:rFonts w:eastAsia="Cambria" w:cs="Cambria"/>
            <w:color w:val="2D7988"/>
            <w:sz w:val="20"/>
            <w:szCs w:val="20"/>
            <w:lang w:val="en-US"/>
          </w:rPr>
          <w:t>https://www.shadac.org/publications/1332-state-innovation-waivers</w:t>
        </w:r>
      </w:hyperlink>
      <w:r w:rsidR="00276945">
        <w:rPr>
          <w:sz w:val="20"/>
          <w:szCs w:val="20"/>
        </w:rPr>
        <w:t>.</w:t>
      </w:r>
    </w:p>
  </w:footnote>
  <w:footnote w:id="15">
    <w:p w14:paraId="2AAB585D" w14:textId="128FE5BD" w:rsidR="684BAE8A" w:rsidRDefault="684BAE8A" w:rsidP="684BAE8A">
      <w:pPr>
        <w:pStyle w:val="FootnoteText"/>
      </w:pPr>
      <w:r w:rsidRPr="00276945">
        <w:rPr>
          <w:rStyle w:val="FootnoteReference"/>
          <w:sz w:val="20"/>
          <w:szCs w:val="20"/>
        </w:rPr>
        <w:footnoteRef/>
      </w:r>
      <w:r w:rsidRPr="00276945">
        <w:rPr>
          <w:sz w:val="20"/>
          <w:szCs w:val="20"/>
        </w:rPr>
        <w:t xml:space="preserve"> See </w:t>
      </w:r>
      <w:hyperlink r:id="rId9">
        <w:r w:rsidRPr="00276945">
          <w:rPr>
            <w:rStyle w:val="Hyperlink"/>
            <w:sz w:val="20"/>
            <w:szCs w:val="20"/>
          </w:rPr>
          <w:t>https://www.cms.gov/files/document/cciio-data-brief-042024-508-final.pdf</w:t>
        </w:r>
      </w:hyperlink>
      <w:r w:rsidRPr="00276945">
        <w:rPr>
          <w:sz w:val="20"/>
          <w:szCs w:val="20"/>
        </w:rPr>
        <w:t>.</w:t>
      </w:r>
      <w:r>
        <w:t xml:space="preserve"> </w:t>
      </w:r>
    </w:p>
  </w:footnote>
  <w:footnote w:id="16">
    <w:p w14:paraId="6E593DDF" w14:textId="0715D26D" w:rsidR="00984F63" w:rsidRPr="00655EE4" w:rsidRDefault="00984F63">
      <w:pPr>
        <w:pStyle w:val="FootnoteText"/>
        <w:rPr>
          <w:sz w:val="20"/>
          <w:szCs w:val="20"/>
          <w:lang w:val="en-US"/>
        </w:rPr>
      </w:pPr>
      <w:r w:rsidRPr="00655EE4">
        <w:rPr>
          <w:rStyle w:val="FootnoteReference"/>
          <w:sz w:val="20"/>
          <w:szCs w:val="20"/>
        </w:rPr>
        <w:footnoteRef/>
      </w:r>
      <w:r w:rsidRPr="00655EE4">
        <w:rPr>
          <w:sz w:val="20"/>
          <w:szCs w:val="20"/>
        </w:rPr>
        <w:t xml:space="preserve"> </w:t>
      </w:r>
      <w:r w:rsidR="00467521" w:rsidRPr="00655EE4">
        <w:rPr>
          <w:sz w:val="20"/>
          <w:szCs w:val="20"/>
        </w:rPr>
        <w:t xml:space="preserve">Colorado Division of </w:t>
      </w:r>
      <w:r w:rsidR="00467521" w:rsidRPr="00655EE4">
        <w:rPr>
          <w:sz w:val="20"/>
          <w:szCs w:val="20"/>
        </w:rPr>
        <w:t xml:space="preserve">Insurance, </w:t>
      </w:r>
      <w:hyperlink r:id="rId10" w:history="1">
        <w:r w:rsidR="00467521" w:rsidRPr="00655EE4">
          <w:rPr>
            <w:rStyle w:val="Hyperlink"/>
            <w:sz w:val="20"/>
            <w:szCs w:val="20"/>
          </w:rPr>
          <w:t>ACA Section 1332 Waiver Reinsurance &amp; Colorado Option Programs</w:t>
        </w:r>
      </w:hyperlink>
      <w:r w:rsidR="00467521" w:rsidRPr="00655EE4">
        <w:rPr>
          <w:sz w:val="20"/>
          <w:szCs w:val="20"/>
        </w:rPr>
        <w:t>, December 12, 2024.</w:t>
      </w:r>
    </w:p>
  </w:footnote>
  <w:footnote w:id="17">
    <w:p w14:paraId="07345C6D" w14:textId="6E8370F0" w:rsidR="684BAE8A" w:rsidRPr="005863D3" w:rsidRDefault="684BAE8A" w:rsidP="005863D3">
      <w:pPr>
        <w:pStyle w:val="FootnoteText"/>
        <w:spacing w:before="240" w:after="240"/>
        <w:rPr>
          <w:sz w:val="20"/>
          <w:szCs w:val="20"/>
        </w:rPr>
      </w:pPr>
      <w:r w:rsidRPr="005863D3">
        <w:rPr>
          <w:rStyle w:val="FootnoteReference"/>
          <w:sz w:val="20"/>
          <w:szCs w:val="20"/>
        </w:rPr>
        <w:footnoteRef/>
      </w:r>
      <w:r w:rsidRPr="005863D3">
        <w:rPr>
          <w:sz w:val="20"/>
          <w:szCs w:val="20"/>
        </w:rPr>
        <w:t xml:space="preserve"> Fact Sheet – Georgia: State Innovation Waiver under Section 1332 of the PPACA, November 1, 2020, available at </w:t>
      </w:r>
      <w:hyperlink r:id="rId11">
        <w:r w:rsidRPr="005863D3">
          <w:rPr>
            <w:rStyle w:val="Hyperlink"/>
            <w:sz w:val="20"/>
            <w:szCs w:val="20"/>
            <w:lang w:val="en-US"/>
          </w:rPr>
          <w:t>https://www.cms.gov/cciio/programs-and-initiatives/state-innovation-waivers/section_1332_state_innovation_waivers-/1332-ga-fact-sheet.pdf</w:t>
        </w:r>
      </w:hyperlink>
      <w:r w:rsidR="005863D3">
        <w:rPr>
          <w:sz w:val="20"/>
          <w:szCs w:val="20"/>
        </w:rPr>
        <w:t>.</w:t>
      </w:r>
    </w:p>
  </w:footnote>
  <w:footnote w:id="18">
    <w:p w14:paraId="6E96734E" w14:textId="39AEAD0D" w:rsidR="684BAE8A" w:rsidRDefault="684BAE8A" w:rsidP="684BAE8A">
      <w:pPr>
        <w:pStyle w:val="FootnoteText"/>
        <w:rPr>
          <w:sz w:val="20"/>
        </w:rPr>
      </w:pPr>
      <w:r w:rsidRPr="005863D3">
        <w:rPr>
          <w:rStyle w:val="FootnoteReference"/>
          <w:sz w:val="20"/>
          <w:szCs w:val="20"/>
        </w:rPr>
        <w:footnoteRef/>
      </w:r>
      <w:r w:rsidRPr="005863D3">
        <w:rPr>
          <w:sz w:val="20"/>
          <w:szCs w:val="20"/>
        </w:rPr>
        <w:t xml:space="preserve"> </w:t>
      </w:r>
      <w:r w:rsidRPr="005863D3">
        <w:rPr>
          <w:rFonts w:eastAsia="Cambria" w:cs="Cambria"/>
          <w:color w:val="2D2B19"/>
          <w:sz w:val="20"/>
          <w:szCs w:val="20"/>
          <w:lang w:val="en-US"/>
        </w:rPr>
        <w:t>Nowak, Sarah A., Preethi Rao, Jodi L. Liu, and Christine Eibner, The Effects of Iowa's Proposed Stopgap Measure on Health Insurance Costs and Coverage. Santa Monica, CA: RAND Corporation, 2017. https://www.rand.org/pubs/research_reports/RR2228.html.</w:t>
      </w:r>
    </w:p>
  </w:footnote>
  <w:footnote w:id="19">
    <w:p w14:paraId="4BC3DDE1" w14:textId="07D1428C" w:rsidR="684BAE8A" w:rsidRDefault="684BAE8A" w:rsidP="684BAE8A">
      <w:pPr>
        <w:pStyle w:val="FootnoteText"/>
      </w:pPr>
      <w:r w:rsidRPr="005863D3">
        <w:rPr>
          <w:rStyle w:val="FootnoteReference"/>
          <w:sz w:val="20"/>
          <w:szCs w:val="20"/>
        </w:rPr>
        <w:footnoteRef/>
      </w:r>
      <w:r w:rsidRPr="005863D3">
        <w:rPr>
          <w:sz w:val="20"/>
          <w:szCs w:val="20"/>
        </w:rPr>
        <w:t xml:space="preserve"> Letter available at </w:t>
      </w:r>
      <w:hyperlink r:id="rId12" w:history="1">
        <w:r w:rsidR="00EA1DCD" w:rsidRPr="004C01D4">
          <w:rPr>
            <w:rStyle w:val="Hyperlink"/>
            <w:sz w:val="20"/>
            <w:szCs w:val="20"/>
          </w:rPr>
          <w:t>https://www.cms.gov/cciio/programs-and-initiatives/state-innovation-waivers/downloads/ia-letter-withdraw-1332-waiver.pdf</w:t>
        </w:r>
      </w:hyperlink>
      <w:r w:rsidRPr="005863D3">
        <w:rPr>
          <w:sz w:val="20"/>
          <w:szCs w:val="20"/>
        </w:rPr>
        <w:t>.</w:t>
      </w:r>
      <w:r>
        <w:t xml:space="preserve"> </w:t>
      </w:r>
    </w:p>
  </w:footnote>
  <w:footnote w:id="20">
    <w:p w14:paraId="786D3C26" w14:textId="15CF994D" w:rsidR="7EB38FF3" w:rsidRPr="00F72F06" w:rsidRDefault="7EB38FF3" w:rsidP="00F72F06">
      <w:pPr>
        <w:rPr>
          <w:sz w:val="20"/>
          <w:szCs w:val="20"/>
          <w:lang w:val="en-US"/>
        </w:rPr>
      </w:pPr>
      <w:r w:rsidRPr="00F72F06">
        <w:rPr>
          <w:rStyle w:val="FootnoteReference"/>
          <w:sz w:val="20"/>
          <w:szCs w:val="20"/>
          <w:lang w:val="en-US"/>
        </w:rPr>
        <w:footnoteRef/>
      </w:r>
      <w:r w:rsidRPr="00F72F06">
        <w:rPr>
          <w:sz w:val="20"/>
          <w:szCs w:val="20"/>
          <w:lang w:val="en-US"/>
        </w:rPr>
        <w:t xml:space="preserve"> CSG National Center for Interstate Compacts, ”Frequently Asked Questions,” available at https://compacts.csg.org/faq/</w:t>
      </w:r>
      <w:r w:rsidR="00F72F06">
        <w:rPr>
          <w:sz w:val="20"/>
          <w:szCs w:val="20"/>
          <w:lang w:val="en-US"/>
        </w:rPr>
        <w:t>.</w:t>
      </w:r>
    </w:p>
  </w:footnote>
  <w:footnote w:id="21">
    <w:p w14:paraId="0F54AD5E" w14:textId="74FF851A" w:rsidR="004E35A7" w:rsidRPr="004E35A7" w:rsidRDefault="004E35A7">
      <w:pPr>
        <w:pStyle w:val="FootnoteText"/>
        <w:rPr>
          <w:lang w:val="en-US"/>
        </w:rPr>
      </w:pPr>
      <w:r>
        <w:rPr>
          <w:rStyle w:val="FootnoteReference"/>
        </w:rPr>
        <w:footnoteRef/>
      </w:r>
      <w:r>
        <w:t xml:space="preserve"> </w:t>
      </w:r>
      <w:r w:rsidR="008C5A03" w:rsidRPr="000379B8">
        <w:rPr>
          <w:sz w:val="20"/>
          <w:szCs w:val="20"/>
        </w:rPr>
        <w:t xml:space="preserve">Interstate Compacts and the Insurance Compact, </w:t>
      </w:r>
      <w:hyperlink r:id="rId13" w:history="1">
        <w:r w:rsidR="000379B8" w:rsidRPr="000379B8">
          <w:rPr>
            <w:rStyle w:val="Hyperlink"/>
            <w:sz w:val="20"/>
            <w:szCs w:val="20"/>
          </w:rPr>
          <w:t>https://www.insurancecompact.org/about/faq</w:t>
        </w:r>
      </w:hyperlink>
      <w:r w:rsidR="000379B8" w:rsidRPr="000379B8">
        <w:rPr>
          <w:sz w:val="20"/>
          <w:szCs w:val="20"/>
        </w:rPr>
        <w:t>.</w:t>
      </w:r>
      <w:r w:rsidR="000379B8">
        <w:t xml:space="preserve"> </w:t>
      </w:r>
    </w:p>
  </w:footnote>
  <w:footnote w:id="22">
    <w:p w14:paraId="2D19506A" w14:textId="3DFC00B7" w:rsidR="0E146399" w:rsidRPr="00CE0B48" w:rsidRDefault="0E146399" w:rsidP="0E146399">
      <w:pPr>
        <w:pStyle w:val="FootnoteText"/>
        <w:rPr>
          <w:sz w:val="20"/>
          <w:szCs w:val="20"/>
        </w:rPr>
      </w:pPr>
      <w:r w:rsidRPr="00CE0B48">
        <w:rPr>
          <w:rStyle w:val="FootnoteReference"/>
          <w:sz w:val="20"/>
          <w:szCs w:val="20"/>
        </w:rPr>
        <w:footnoteRef/>
      </w:r>
      <w:r w:rsidRPr="00CE0B48">
        <w:rPr>
          <w:sz w:val="20"/>
          <w:szCs w:val="20"/>
        </w:rPr>
        <w:t xml:space="preserve"> </w:t>
      </w:r>
      <w:r w:rsidR="00FD0800" w:rsidRPr="00CE0B48">
        <w:rPr>
          <w:sz w:val="20"/>
          <w:szCs w:val="20"/>
        </w:rPr>
        <w:t>Health Care Co</w:t>
      </w:r>
      <w:r w:rsidR="007A3425" w:rsidRPr="00CE0B48">
        <w:rPr>
          <w:sz w:val="20"/>
          <w:szCs w:val="20"/>
        </w:rPr>
        <w:t>mpact,</w:t>
      </w:r>
      <w:r w:rsidR="00E43DF1" w:rsidRPr="00CE0B48">
        <w:rPr>
          <w:sz w:val="20"/>
          <w:szCs w:val="20"/>
        </w:rPr>
        <w:t xml:space="preserve">website, </w:t>
      </w:r>
      <w:r w:rsidR="007A3425" w:rsidRPr="00CE0B48">
        <w:rPr>
          <w:sz w:val="20"/>
          <w:szCs w:val="20"/>
        </w:rPr>
        <w:t xml:space="preserve">available at </w:t>
      </w:r>
      <w:hyperlink r:id="rId14">
        <w:r w:rsidRPr="00CE0B48">
          <w:rPr>
            <w:rStyle w:val="Hyperlink"/>
            <w:sz w:val="20"/>
            <w:szCs w:val="20"/>
          </w:rPr>
          <w:t>https://www.healthcarecompact.org/about.html</w:t>
        </w:r>
      </w:hyperlink>
      <w:r w:rsidR="003974D3">
        <w:rPr>
          <w:sz w:val="20"/>
          <w:szCs w:val="20"/>
        </w:rPr>
        <w:t>.</w:t>
      </w:r>
      <w:r w:rsidRPr="00CE0B48">
        <w:rPr>
          <w:sz w:val="20"/>
          <w:szCs w:val="20"/>
        </w:rPr>
        <w:t xml:space="preserve"> </w:t>
      </w:r>
    </w:p>
  </w:footnote>
  <w:footnote w:id="23">
    <w:p w14:paraId="6DEC7FD9" w14:textId="0B5DE03C" w:rsidR="009C7451" w:rsidRPr="008A6690" w:rsidRDefault="009C7451" w:rsidP="000B0F0A">
      <w:pPr>
        <w:pStyle w:val="FootnoteText"/>
        <w:rPr>
          <w:sz w:val="20"/>
          <w:szCs w:val="20"/>
          <w:lang w:val="en-US"/>
        </w:rPr>
      </w:pPr>
      <w:r w:rsidRPr="00CE0B48">
        <w:rPr>
          <w:rStyle w:val="FootnoteReference"/>
          <w:sz w:val="20"/>
          <w:szCs w:val="20"/>
        </w:rPr>
        <w:footnoteRef/>
      </w:r>
      <w:r w:rsidRPr="00CE0B48">
        <w:rPr>
          <w:sz w:val="20"/>
          <w:szCs w:val="20"/>
        </w:rPr>
        <w:t xml:space="preserve"> </w:t>
      </w:r>
      <w:r w:rsidR="007A3425" w:rsidRPr="00CE0B48">
        <w:rPr>
          <w:sz w:val="20"/>
          <w:szCs w:val="20"/>
          <w:lang w:val="en-US"/>
        </w:rPr>
        <w:t>CSG National Center for Interstate Compacts,</w:t>
      </w:r>
      <w:r w:rsidR="00524D58">
        <w:rPr>
          <w:sz w:val="20"/>
          <w:szCs w:val="20"/>
          <w:lang w:val="en-US"/>
        </w:rPr>
        <w:t xml:space="preserve"> </w:t>
      </w:r>
      <w:r w:rsidR="007A3425" w:rsidRPr="00CE0B48">
        <w:rPr>
          <w:sz w:val="20"/>
          <w:szCs w:val="20"/>
          <w:lang w:val="en-US"/>
        </w:rPr>
        <w:t>”</w:t>
      </w:r>
      <w:r w:rsidR="009109D9" w:rsidRPr="00CE0B48">
        <w:rPr>
          <w:sz w:val="20"/>
          <w:szCs w:val="20"/>
          <w:lang w:val="en-US"/>
        </w:rPr>
        <w:t>Health Care Compact</w:t>
      </w:r>
      <w:r w:rsidR="00C60F03" w:rsidRPr="00CE0B48">
        <w:rPr>
          <w:sz w:val="20"/>
          <w:szCs w:val="20"/>
          <w:lang w:val="en-US"/>
        </w:rPr>
        <w:t>.</w:t>
      </w:r>
      <w:r w:rsidR="009109D9" w:rsidRPr="00CE0B48">
        <w:rPr>
          <w:sz w:val="20"/>
          <w:szCs w:val="20"/>
          <w:lang w:val="en-US"/>
        </w:rPr>
        <w:t>”</w:t>
      </w:r>
      <w:r w:rsidR="007A3425" w:rsidRPr="00CE0B48">
        <w:rPr>
          <w:sz w:val="20"/>
          <w:szCs w:val="20"/>
          <w:lang w:val="en-US"/>
        </w:rPr>
        <w:t xml:space="preserve"> available at </w:t>
      </w:r>
      <w:hyperlink r:id="rId15" w:history="1">
        <w:r w:rsidR="000B0F0A" w:rsidRPr="004C01D4">
          <w:rPr>
            <w:rStyle w:val="Hyperlink"/>
            <w:sz w:val="20"/>
            <w:szCs w:val="20"/>
            <w:lang w:val="en-US"/>
          </w:rPr>
          <w:t>https://compacts.csg.org/faq/</w:t>
        </w:r>
      </w:hyperlink>
      <w:r w:rsidR="003974D3">
        <w:rPr>
          <w:sz w:val="20"/>
          <w:szCs w:val="20"/>
          <w:lang w:val="en-US"/>
        </w:rPr>
        <w:t>.</w:t>
      </w:r>
    </w:p>
  </w:footnote>
  <w:footnote w:id="24">
    <w:p w14:paraId="544C611D" w14:textId="271D2678" w:rsidR="004A06E0" w:rsidRPr="008A6690" w:rsidRDefault="004A06E0">
      <w:pPr>
        <w:pStyle w:val="FootnoteText"/>
        <w:rPr>
          <w:sz w:val="20"/>
          <w:szCs w:val="20"/>
          <w:lang w:val="en-US"/>
        </w:rPr>
      </w:pPr>
      <w:r w:rsidRPr="008A6690">
        <w:rPr>
          <w:rStyle w:val="FootnoteReference"/>
          <w:sz w:val="20"/>
          <w:szCs w:val="20"/>
        </w:rPr>
        <w:footnoteRef/>
      </w:r>
      <w:r w:rsidRPr="008A6690">
        <w:rPr>
          <w:sz w:val="20"/>
          <w:szCs w:val="20"/>
        </w:rPr>
        <w:t xml:space="preserve"> </w:t>
      </w:r>
      <w:r w:rsidR="004E76DB" w:rsidRPr="008A6690">
        <w:rPr>
          <w:sz w:val="20"/>
          <w:szCs w:val="20"/>
          <w:lang w:val="en-US"/>
        </w:rPr>
        <w:t>Health Care Compact website, “</w:t>
      </w:r>
      <w:r w:rsidR="009439C1" w:rsidRPr="008A6690">
        <w:rPr>
          <w:sz w:val="20"/>
          <w:szCs w:val="20"/>
          <w:lang w:val="en-US"/>
        </w:rPr>
        <w:t xml:space="preserve">The Problem &amp; Siolution” available at </w:t>
      </w:r>
      <w:hyperlink r:id="rId16">
        <w:r w:rsidR="009439C1" w:rsidRPr="008A6690">
          <w:rPr>
            <w:rStyle w:val="Hyperlink"/>
            <w:sz w:val="20"/>
            <w:szCs w:val="20"/>
          </w:rPr>
          <w:t>https://www.healthcarecompact.org/about.html</w:t>
        </w:r>
      </w:hyperlink>
    </w:p>
  </w:footnote>
  <w:footnote w:id="25">
    <w:p w14:paraId="4495D741" w14:textId="7159202F" w:rsidR="00873B1C" w:rsidRPr="008A6690" w:rsidRDefault="001D04EA" w:rsidP="008A6690">
      <w:pPr>
        <w:pStyle w:val="FootnoteText"/>
        <w:rPr>
          <w:sz w:val="20"/>
          <w:szCs w:val="20"/>
          <w:lang w:val="en-US"/>
        </w:rPr>
      </w:pPr>
      <w:r w:rsidRPr="008A6690">
        <w:rPr>
          <w:rStyle w:val="FootnoteReference"/>
          <w:sz w:val="20"/>
          <w:szCs w:val="20"/>
        </w:rPr>
        <w:footnoteRef/>
      </w:r>
      <w:r w:rsidRPr="008A6690">
        <w:rPr>
          <w:sz w:val="20"/>
          <w:szCs w:val="20"/>
        </w:rPr>
        <w:t xml:space="preserve"> </w:t>
      </w:r>
      <w:r w:rsidR="00C54563" w:rsidRPr="008A6690">
        <w:rPr>
          <w:sz w:val="20"/>
          <w:szCs w:val="20"/>
        </w:rPr>
        <w:t xml:space="preserve">CSG National Center for Interstate Compacts, </w:t>
      </w:r>
      <w:r w:rsidR="00D22FF3" w:rsidRPr="008A6690">
        <w:rPr>
          <w:sz w:val="20"/>
          <w:szCs w:val="20"/>
        </w:rPr>
        <w:t xml:space="preserve">“Health Care Compact” </w:t>
      </w:r>
      <w:r w:rsidR="00873B1C" w:rsidRPr="008A6690">
        <w:rPr>
          <w:sz w:val="20"/>
          <w:szCs w:val="20"/>
          <w:lang w:val="en-US"/>
        </w:rPr>
        <w:t xml:space="preserve">available at </w:t>
      </w:r>
      <w:hyperlink r:id="rId17" w:history="1">
        <w:r w:rsidR="006F419D" w:rsidRPr="004C01D4">
          <w:rPr>
            <w:rStyle w:val="Hyperlink"/>
            <w:sz w:val="20"/>
            <w:szCs w:val="20"/>
            <w:lang w:val="en-US"/>
          </w:rPr>
          <w:t>https://compacts.csg.org/faq/</w:t>
        </w:r>
      </w:hyperlink>
      <w:r w:rsidR="006F419D">
        <w:rPr>
          <w:sz w:val="20"/>
          <w:szCs w:val="20"/>
          <w:lang w:val="en-US"/>
        </w:rPr>
        <w:t>.</w:t>
      </w:r>
    </w:p>
    <w:p w14:paraId="650DE800" w14:textId="436FC316" w:rsidR="001D04EA" w:rsidRPr="001D04EA" w:rsidRDefault="001D04EA">
      <w:pPr>
        <w:pStyle w:val="FootnoteText"/>
        <w:rPr>
          <w:lang w:val="en-US"/>
        </w:rPr>
      </w:pPr>
    </w:p>
  </w:footnote>
  <w:footnote w:id="26">
    <w:p w14:paraId="15D9EF9F" w14:textId="09407916" w:rsidR="4CFAC269" w:rsidRPr="00C4523B" w:rsidRDefault="4CFAC269" w:rsidP="4CFAC269">
      <w:pPr>
        <w:pStyle w:val="FootnoteText"/>
        <w:rPr>
          <w:i/>
          <w:iCs/>
          <w:sz w:val="20"/>
          <w:szCs w:val="20"/>
          <w:lang w:val="en-US"/>
        </w:rPr>
      </w:pPr>
      <w:r w:rsidRPr="00C4523B">
        <w:rPr>
          <w:rStyle w:val="FootnoteReference"/>
          <w:sz w:val="20"/>
          <w:szCs w:val="20"/>
          <w:lang w:val="en-US"/>
        </w:rPr>
        <w:footnoteRef/>
      </w:r>
      <w:r w:rsidRPr="00C4523B">
        <w:rPr>
          <w:sz w:val="20"/>
          <w:szCs w:val="20"/>
          <w:lang w:val="en-US"/>
        </w:rPr>
        <w:t xml:space="preserve"> </w:t>
      </w:r>
      <w:r w:rsidRPr="00C4523B">
        <w:rPr>
          <w:i/>
          <w:iCs/>
          <w:sz w:val="20"/>
          <w:szCs w:val="20"/>
          <w:lang w:val="en-US"/>
        </w:rPr>
        <w:t xml:space="preserve">See </w:t>
      </w:r>
      <w:r w:rsidRPr="00C4523B">
        <w:rPr>
          <w:sz w:val="20"/>
          <w:szCs w:val="20"/>
          <w:lang w:val="en-US"/>
        </w:rPr>
        <w:t xml:space="preserve">”Section 1333 Health Care Chocie Compacts: Opportunities for States to improve the individual health insurance market through state compacts under the Affordable Care Act”, by Peter J. Nelson, July 2024,  available at </w:t>
      </w:r>
      <w:hyperlink r:id="rId18">
        <w:r w:rsidRPr="00C4523B">
          <w:rPr>
            <w:rStyle w:val="Hyperlink"/>
            <w:sz w:val="20"/>
            <w:szCs w:val="20"/>
            <w:lang w:val="en-US"/>
          </w:rPr>
          <w:t>https://files.americanexperiment.org/wp-content/uploads/2024/07/Health-Care-Choice-Compacts.pdf</w:t>
        </w:r>
      </w:hyperlink>
      <w:r w:rsidRPr="00C4523B">
        <w:rPr>
          <w:sz w:val="20"/>
          <w:szCs w:val="20"/>
          <w:lang w:val="en-US"/>
        </w:rPr>
        <w:t xml:space="preserve">. </w:t>
      </w:r>
    </w:p>
  </w:footnote>
  <w:footnote w:id="27">
    <w:p w14:paraId="3D35935A" w14:textId="77EB84A0" w:rsidR="7EB42423" w:rsidRDefault="7EB42423" w:rsidP="7EB42423">
      <w:pPr>
        <w:pStyle w:val="FootnoteText"/>
        <w:rPr>
          <w:lang w:val="en-US"/>
        </w:rPr>
      </w:pPr>
      <w:r w:rsidRPr="00C4523B">
        <w:rPr>
          <w:rStyle w:val="FootnoteReference"/>
          <w:sz w:val="20"/>
          <w:szCs w:val="20"/>
          <w:lang w:val="en-US"/>
        </w:rPr>
        <w:footnoteRef/>
      </w:r>
      <w:r w:rsidR="049DA5FE" w:rsidRPr="00C4523B">
        <w:rPr>
          <w:sz w:val="20"/>
          <w:szCs w:val="20"/>
          <w:lang w:val="en-US"/>
        </w:rPr>
        <w:t xml:space="preserve"> See ”A blast from the past: Dusting off ACA Section 1333 Compacts”, Stacey Pogue, March 2025, available at </w:t>
      </w:r>
      <w:hyperlink r:id="rId19">
        <w:r w:rsidR="049DA5FE" w:rsidRPr="00C4523B">
          <w:rPr>
            <w:rStyle w:val="Hyperlink"/>
            <w:sz w:val="20"/>
            <w:szCs w:val="20"/>
            <w:lang w:val="en-US"/>
          </w:rPr>
          <w:t>https://chir.georgetown.edu/a-blast-from-the-past-dusting-off-aca-section-1333-compacts/</w:t>
        </w:r>
      </w:hyperlink>
      <w:r w:rsidR="049DA5FE" w:rsidRPr="00C4523B">
        <w:rPr>
          <w:sz w:val="20"/>
          <w:szCs w:val="20"/>
          <w:lang w:val="en-US"/>
        </w:rPr>
        <w:t>.</w:t>
      </w:r>
      <w:r w:rsidR="049DA5FE" w:rsidRPr="049DA5FE">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5215493" w14:paraId="4878E39D" w14:textId="77777777" w:rsidTr="75215493">
      <w:trPr>
        <w:trHeight w:val="300"/>
      </w:trPr>
      <w:tc>
        <w:tcPr>
          <w:tcW w:w="3360" w:type="dxa"/>
        </w:tcPr>
        <w:p w14:paraId="73AB08B5" w14:textId="5BFA68C0" w:rsidR="75215493" w:rsidRDefault="75215493" w:rsidP="75215493">
          <w:pPr>
            <w:pStyle w:val="Header"/>
            <w:ind w:left="-115"/>
          </w:pPr>
        </w:p>
      </w:tc>
      <w:tc>
        <w:tcPr>
          <w:tcW w:w="3360" w:type="dxa"/>
        </w:tcPr>
        <w:p w14:paraId="18CFCE93" w14:textId="3498A24C" w:rsidR="75215493" w:rsidRDefault="75215493" w:rsidP="75215493">
          <w:pPr>
            <w:pStyle w:val="Header"/>
            <w:jc w:val="center"/>
          </w:pPr>
        </w:p>
      </w:tc>
      <w:tc>
        <w:tcPr>
          <w:tcW w:w="3360" w:type="dxa"/>
        </w:tcPr>
        <w:p w14:paraId="7826C6A1" w14:textId="1B5CD6FF" w:rsidR="75215493" w:rsidRDefault="75215493" w:rsidP="75215493">
          <w:pPr>
            <w:pStyle w:val="Header"/>
            <w:ind w:right="-115"/>
            <w:jc w:val="right"/>
          </w:pPr>
        </w:p>
      </w:tc>
    </w:tr>
  </w:tbl>
  <w:sdt>
    <w:sdtPr>
      <w:id w:val="952136601"/>
      <w:docPartObj>
        <w:docPartGallery w:val="Watermarks"/>
        <w:docPartUnique/>
      </w:docPartObj>
    </w:sdtPr>
    <w:sdtEndPr/>
    <w:sdtContent>
      <w:p w14:paraId="04029B24" w14:textId="535FC6F4" w:rsidR="75215493" w:rsidRDefault="00B0340D" w:rsidP="75215493">
        <w:pPr>
          <w:pStyle w:val="Header"/>
        </w:pPr>
        <w:r>
          <w:rPr>
            <w:noProof/>
          </w:rPr>
          <w:pict w14:anchorId="2E3D0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8EEB" w14:textId="02DC12D2" w:rsidR="00402212" w:rsidRDefault="530B2DF0" w:rsidP="00B96627">
    <w:pPr>
      <w:pStyle w:val="Header"/>
    </w:pPr>
    <w:r>
      <w:rPr>
        <w:noProof/>
      </w:rPr>
      <w:drawing>
        <wp:inline distT="0" distB="0" distL="0" distR="0" wp14:anchorId="24B4967F" wp14:editId="616435E5">
          <wp:extent cx="3124200" cy="371475"/>
          <wp:effectExtent l="0" t="0" r="0" b="0"/>
          <wp:docPr id="1252158080" name="Picture 125215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124200" cy="371475"/>
                  </a:xfrm>
                  <a:prstGeom prst="rect">
                    <a:avLst/>
                  </a:prstGeom>
                </pic:spPr>
              </pic:pic>
            </a:graphicData>
          </a:graphic>
        </wp:inline>
      </w:drawing>
    </w:r>
  </w:p>
  <w:p w14:paraId="2C28C830" w14:textId="4F2D7CBF" w:rsidR="530B2DF0" w:rsidRDefault="530B2DF0" w:rsidP="530B2DF0">
    <w:pPr>
      <w:pStyle w:val="HeaderSpacer"/>
    </w:pPr>
  </w:p>
</w:hdr>
</file>

<file path=word/intelligence2.xml><?xml version="1.0" encoding="utf-8"?>
<int2:intelligence xmlns:int2="http://schemas.microsoft.com/office/intelligence/2020/intelligence" xmlns:oel="http://schemas.microsoft.com/office/2019/extlst">
  <int2:observations>
    <int2:textHash int2:hashCode="+CSOEnJ3EMlG9z" int2:id="9fvm7qya">
      <int2:state int2:value="Rejected" int2:type="spell"/>
    </int2:textHash>
    <int2:textHash int2:hashCode="aouOEA9WhPObuN" int2:id="Nf3Vaf0C">
      <int2:state int2:value="Rejected" int2:type="spell"/>
    </int2:textHash>
    <int2:textHash int2:hashCode="WJ0jCo0A8RW7iH" int2:id="Ug1R0Dop">
      <int2:state int2:value="Rejected" int2:type="spell"/>
    </int2:textHash>
    <int2:textHash int2:hashCode="H3j6+7Hz6OEZhg" int2:id="YZfWh7eT">
      <int2:state int2:value="Rejected" int2:type="spell"/>
    </int2:textHash>
    <int2:textHash int2:hashCode="SMNon23V6elS+S" int2:id="Zzu5B0gt">
      <int2:state int2:value="Rejected" int2:type="spell"/>
    </int2:textHash>
    <int2:textHash int2:hashCode="FRxeHB5O2QnA2n" int2:id="bw3at6ua">
      <int2:state int2:value="Rejected" int2:type="spell"/>
    </int2:textHash>
    <int2:textHash int2:hashCode="RPZxOCLh9Tc0fX" int2:id="gMZW7n7c">
      <int2:state int2:value="Rejected" int2:type="spell"/>
    </int2:textHash>
    <int2:textHash int2:hashCode="frYFDQUgrITknG" int2:id="hYtuNkI4">
      <int2:state int2:value="Rejected" int2:type="spell"/>
    </int2:textHash>
    <int2:textHash int2:hashCode="bKsH/EZLObaSFs" int2:id="hhwpIaYm">
      <int2:state int2:value="Rejected" int2:type="spell"/>
    </int2:textHash>
    <int2:textHash int2:hashCode="XJ9zr3MzT/41DG" int2:id="lKZAw8mE">
      <int2:state int2:value="Rejected" int2:type="spell"/>
    </int2:textHash>
    <int2:textHash int2:hashCode="UQyxdRrGwtq7g0" int2:id="x76U1JU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F898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F402A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EDC08C86"/>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AE4231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Theme="minorHAnsi" w:hAnsiTheme="minorHAnsi"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5" w15:restartNumberingAfterBreak="0">
    <w:nsid w:val="101E0D26"/>
    <w:multiLevelType w:val="multilevel"/>
    <w:tmpl w:val="0406001D"/>
    <w:styleLink w:val="1ai"/>
    <w:lvl w:ilvl="0">
      <w:start w:val="1"/>
      <w:numFmt w:val="decimal"/>
      <w:lvlText w:val="%1)"/>
      <w:lvlJc w:val="left"/>
      <w:pPr>
        <w:ind w:left="360" w:hanging="360"/>
      </w:pPr>
      <w:rPr>
        <w:rFonts w:ascii="AvenirNext LT Pro Regular" w:hAnsi="AvenirNext LT Pro Regular"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837254"/>
    <w:multiLevelType w:val="multilevel"/>
    <w:tmpl w:val="6BD40C76"/>
    <w:numStyleLink w:val="ListStyle-ListAlphabet"/>
  </w:abstractNum>
  <w:abstractNum w:abstractNumId="7" w15:restartNumberingAfterBreak="0">
    <w:nsid w:val="11EB237C"/>
    <w:multiLevelType w:val="multilevel"/>
    <w:tmpl w:val="E9086F02"/>
    <w:styleLink w:val="Liststyle-TableListBullet"/>
    <w:lvl w:ilvl="0">
      <w:start w:val="1"/>
      <w:numFmt w:val="bullet"/>
      <w:lvlText w:val="•"/>
      <w:lvlJc w:val="left"/>
      <w:pPr>
        <w:ind w:left="284" w:hanging="171"/>
      </w:pPr>
      <w:rPr>
        <w:rFonts w:ascii="AvenirNext LT Pro Regular" w:hAnsi="AvenirNext LT Pro Regular"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8" w15:restartNumberingAfterBreak="0">
    <w:nsid w:val="12476F5C"/>
    <w:multiLevelType w:val="multilevel"/>
    <w:tmpl w:val="0EE49C78"/>
    <w:numStyleLink w:val="ListStyle-FactBoxListBullet"/>
  </w:abstractNum>
  <w:abstractNum w:abstractNumId="9" w15:restartNumberingAfterBreak="0">
    <w:nsid w:val="197C6BC6"/>
    <w:multiLevelType w:val="multilevel"/>
    <w:tmpl w:val="6BD40C76"/>
    <w:styleLink w:val="ListStyle-ListAlphabet"/>
    <w:lvl w:ilvl="0">
      <w:start w:val="1"/>
      <w:numFmt w:val="lowerLetter"/>
      <w:pStyle w:val="ListAlphabet"/>
      <w:lvlText w:val="%1."/>
      <w:lvlJc w:val="left"/>
      <w:pPr>
        <w:ind w:left="284" w:hanging="284"/>
      </w:pPr>
      <w:rPr>
        <w:rFonts w:asciiTheme="minorHAnsi" w:hAnsiTheme="minorHAnsi" w:hint="default"/>
      </w:rPr>
    </w:lvl>
    <w:lvl w:ilvl="1">
      <w:start w:val="1"/>
      <w:numFmt w:val="lowerRoman"/>
      <w:pStyle w:val="ListAlphabet2"/>
      <w:lvlText w:val="%2."/>
      <w:lvlJc w:val="left"/>
      <w:pPr>
        <w:ind w:left="568" w:hanging="284"/>
      </w:pPr>
      <w:rPr>
        <w:rFonts w:asciiTheme="minorHAnsi" w:hAnsiTheme="minorHAnsi" w:hint="default"/>
      </w:rPr>
    </w:lvl>
    <w:lvl w:ilvl="2">
      <w:start w:val="1"/>
      <w:numFmt w:val="decimal"/>
      <w:pStyle w:val="ListAlphabet3"/>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10" w15:restartNumberingAfterBreak="0">
    <w:nsid w:val="1A8B7476"/>
    <w:multiLevelType w:val="hybridMultilevel"/>
    <w:tmpl w:val="282E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B3059"/>
    <w:multiLevelType w:val="multilevel"/>
    <w:tmpl w:val="EEAE20B6"/>
    <w:styleLink w:val="ListStyle-ListNumber"/>
    <w:lvl w:ilvl="0">
      <w:start w:val="1"/>
      <w:numFmt w:val="decimal"/>
      <w:pStyle w:val="ListNumber"/>
      <w:lvlText w:val="%1."/>
      <w:lvlJc w:val="left"/>
      <w:pPr>
        <w:ind w:left="340" w:hanging="340"/>
      </w:pPr>
      <w:rPr>
        <w:rFonts w:ascii="AvenirNext LT Pro Regular" w:hAnsi="AvenirNext LT Pro Regular"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2" w15:restartNumberingAfterBreak="0">
    <w:nsid w:val="2019191E"/>
    <w:multiLevelType w:val="multilevel"/>
    <w:tmpl w:val="F0800074"/>
    <w:styleLink w:val="ListStyle-AppendixHeading"/>
    <w:lvl w:ilvl="0">
      <w:start w:val="1"/>
      <w:numFmt w:val="decimal"/>
      <w:pStyle w:val="AppendixHeading"/>
      <w:suff w:val="space"/>
      <w:lvlText w:val="Appendix %1 -"/>
      <w:lvlJc w:val="left"/>
      <w:pPr>
        <w:ind w:left="0" w:firstLine="0"/>
      </w:pPr>
      <w:rPr>
        <w:rFonts w:asciiTheme="minorHAnsi" w:hAnsiTheme="minorHAnsi"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6735618"/>
    <w:multiLevelType w:val="multilevel"/>
    <w:tmpl w:val="EEAE20B6"/>
    <w:numStyleLink w:val="ListStyle-ListNumber"/>
  </w:abstractNum>
  <w:abstractNum w:abstractNumId="14" w15:restartNumberingAfterBreak="0">
    <w:nsid w:val="2EAD7215"/>
    <w:multiLevelType w:val="multilevel"/>
    <w:tmpl w:val="F0800074"/>
    <w:numStyleLink w:val="ListStyle-AppendixHeading"/>
  </w:abstractNum>
  <w:abstractNum w:abstractNumId="15" w15:restartNumberingAfterBreak="0">
    <w:nsid w:val="35611890"/>
    <w:multiLevelType w:val="hybridMultilevel"/>
    <w:tmpl w:val="25F4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D194B"/>
    <w:multiLevelType w:val="hybridMultilevel"/>
    <w:tmpl w:val="F4F87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9CEAB"/>
    <w:multiLevelType w:val="hybridMultilevel"/>
    <w:tmpl w:val="73422922"/>
    <w:lvl w:ilvl="0" w:tplc="4FB67BBA">
      <w:start w:val="1"/>
      <w:numFmt w:val="bullet"/>
      <w:lvlText w:val=""/>
      <w:lvlJc w:val="left"/>
      <w:pPr>
        <w:ind w:left="720" w:hanging="360"/>
      </w:pPr>
      <w:rPr>
        <w:rFonts w:ascii="Symbol" w:hAnsi="Symbol" w:hint="default"/>
      </w:rPr>
    </w:lvl>
    <w:lvl w:ilvl="1" w:tplc="0ED455F8">
      <w:start w:val="1"/>
      <w:numFmt w:val="bullet"/>
      <w:lvlText w:val="o"/>
      <w:lvlJc w:val="left"/>
      <w:pPr>
        <w:ind w:left="1440" w:hanging="360"/>
      </w:pPr>
      <w:rPr>
        <w:rFonts w:ascii="Courier New" w:hAnsi="Courier New" w:hint="default"/>
      </w:rPr>
    </w:lvl>
    <w:lvl w:ilvl="2" w:tplc="7452D510">
      <w:start w:val="1"/>
      <w:numFmt w:val="bullet"/>
      <w:lvlText w:val=""/>
      <w:lvlJc w:val="left"/>
      <w:pPr>
        <w:ind w:left="2160" w:hanging="360"/>
      </w:pPr>
      <w:rPr>
        <w:rFonts w:ascii="Wingdings" w:hAnsi="Wingdings" w:hint="default"/>
      </w:rPr>
    </w:lvl>
    <w:lvl w:ilvl="3" w:tplc="50CAACF8">
      <w:start w:val="1"/>
      <w:numFmt w:val="bullet"/>
      <w:lvlText w:val=""/>
      <w:lvlJc w:val="left"/>
      <w:pPr>
        <w:ind w:left="2880" w:hanging="360"/>
      </w:pPr>
      <w:rPr>
        <w:rFonts w:ascii="Symbol" w:hAnsi="Symbol" w:hint="default"/>
      </w:rPr>
    </w:lvl>
    <w:lvl w:ilvl="4" w:tplc="1B6670B0">
      <w:start w:val="1"/>
      <w:numFmt w:val="bullet"/>
      <w:lvlText w:val="o"/>
      <w:lvlJc w:val="left"/>
      <w:pPr>
        <w:ind w:left="3600" w:hanging="360"/>
      </w:pPr>
      <w:rPr>
        <w:rFonts w:ascii="Courier New" w:hAnsi="Courier New" w:hint="default"/>
      </w:rPr>
    </w:lvl>
    <w:lvl w:ilvl="5" w:tplc="6EFEA918">
      <w:start w:val="1"/>
      <w:numFmt w:val="bullet"/>
      <w:lvlText w:val=""/>
      <w:lvlJc w:val="left"/>
      <w:pPr>
        <w:ind w:left="4320" w:hanging="360"/>
      </w:pPr>
      <w:rPr>
        <w:rFonts w:ascii="Wingdings" w:hAnsi="Wingdings" w:hint="default"/>
      </w:rPr>
    </w:lvl>
    <w:lvl w:ilvl="6" w:tplc="93B04094">
      <w:start w:val="1"/>
      <w:numFmt w:val="bullet"/>
      <w:lvlText w:val=""/>
      <w:lvlJc w:val="left"/>
      <w:pPr>
        <w:ind w:left="5040" w:hanging="360"/>
      </w:pPr>
      <w:rPr>
        <w:rFonts w:ascii="Symbol" w:hAnsi="Symbol" w:hint="default"/>
      </w:rPr>
    </w:lvl>
    <w:lvl w:ilvl="7" w:tplc="E94A3A9A">
      <w:start w:val="1"/>
      <w:numFmt w:val="bullet"/>
      <w:lvlText w:val="o"/>
      <w:lvlJc w:val="left"/>
      <w:pPr>
        <w:ind w:left="5760" w:hanging="360"/>
      </w:pPr>
      <w:rPr>
        <w:rFonts w:ascii="Courier New" w:hAnsi="Courier New" w:hint="default"/>
      </w:rPr>
    </w:lvl>
    <w:lvl w:ilvl="8" w:tplc="AB6E49EE">
      <w:start w:val="1"/>
      <w:numFmt w:val="bullet"/>
      <w:lvlText w:val=""/>
      <w:lvlJc w:val="left"/>
      <w:pPr>
        <w:ind w:left="6480" w:hanging="360"/>
      </w:pPr>
      <w:rPr>
        <w:rFonts w:ascii="Wingdings" w:hAnsi="Wingdings" w:hint="default"/>
      </w:rPr>
    </w:lvl>
  </w:abstractNum>
  <w:abstractNum w:abstractNumId="18" w15:restartNumberingAfterBreak="0">
    <w:nsid w:val="3AAA41FB"/>
    <w:multiLevelType w:val="multilevel"/>
    <w:tmpl w:val="1C24E15A"/>
    <w:numStyleLink w:val="ListStyle-FactBoxListNumber"/>
  </w:abstractNum>
  <w:abstractNum w:abstractNumId="19" w15:restartNumberingAfterBreak="0">
    <w:nsid w:val="3BEB798E"/>
    <w:multiLevelType w:val="multilevel"/>
    <w:tmpl w:val="1F207F06"/>
    <w:numStyleLink w:val="ListStyle-TableListBullet0"/>
  </w:abstractNum>
  <w:abstractNum w:abstractNumId="20" w15:restartNumberingAfterBreak="0">
    <w:nsid w:val="45E92F63"/>
    <w:multiLevelType w:val="hybridMultilevel"/>
    <w:tmpl w:val="685268E8"/>
    <w:lvl w:ilvl="0" w:tplc="4ABC6120">
      <w:start w:val="1"/>
      <w:numFmt w:val="bullet"/>
      <w:pStyle w:val="Not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F0B62"/>
    <w:multiLevelType w:val="multilevel"/>
    <w:tmpl w:val="8AC65032"/>
    <w:styleLink w:val="ListStyle-ListBullet"/>
    <w:lvl w:ilvl="0">
      <w:start w:val="1"/>
      <w:numFmt w:val="bullet"/>
      <w:pStyle w:val="ListBullet"/>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22" w15:restartNumberingAfterBreak="0">
    <w:nsid w:val="48EF4CE5"/>
    <w:multiLevelType w:val="hybridMultilevel"/>
    <w:tmpl w:val="EA9E369E"/>
    <w:lvl w:ilvl="0" w:tplc="D856FCC4">
      <w:start w:val="1"/>
      <w:numFmt w:val="bullet"/>
      <w:lvlText w:val=""/>
      <w:lvlJc w:val="left"/>
      <w:pPr>
        <w:ind w:left="720" w:hanging="360"/>
      </w:pPr>
      <w:rPr>
        <w:rFonts w:ascii="Symbol" w:hAnsi="Symbol" w:hint="default"/>
      </w:rPr>
    </w:lvl>
    <w:lvl w:ilvl="1" w:tplc="6EA8BDCA">
      <w:start w:val="1"/>
      <w:numFmt w:val="bullet"/>
      <w:lvlText w:val="o"/>
      <w:lvlJc w:val="left"/>
      <w:pPr>
        <w:ind w:left="1440" w:hanging="360"/>
      </w:pPr>
      <w:rPr>
        <w:rFonts w:ascii="Courier New" w:hAnsi="Courier New" w:hint="default"/>
      </w:rPr>
    </w:lvl>
    <w:lvl w:ilvl="2" w:tplc="85D8418E">
      <w:start w:val="1"/>
      <w:numFmt w:val="bullet"/>
      <w:lvlText w:val=""/>
      <w:lvlJc w:val="left"/>
      <w:pPr>
        <w:ind w:left="2160" w:hanging="360"/>
      </w:pPr>
      <w:rPr>
        <w:rFonts w:ascii="Wingdings" w:hAnsi="Wingdings" w:hint="default"/>
      </w:rPr>
    </w:lvl>
    <w:lvl w:ilvl="3" w:tplc="32DA2DDA">
      <w:start w:val="1"/>
      <w:numFmt w:val="bullet"/>
      <w:lvlText w:val=""/>
      <w:lvlJc w:val="left"/>
      <w:pPr>
        <w:ind w:left="2880" w:hanging="360"/>
      </w:pPr>
      <w:rPr>
        <w:rFonts w:ascii="Symbol" w:hAnsi="Symbol" w:hint="default"/>
      </w:rPr>
    </w:lvl>
    <w:lvl w:ilvl="4" w:tplc="4A2C0A7C">
      <w:start w:val="1"/>
      <w:numFmt w:val="bullet"/>
      <w:lvlText w:val="o"/>
      <w:lvlJc w:val="left"/>
      <w:pPr>
        <w:ind w:left="3600" w:hanging="360"/>
      </w:pPr>
      <w:rPr>
        <w:rFonts w:ascii="Courier New" w:hAnsi="Courier New" w:hint="default"/>
      </w:rPr>
    </w:lvl>
    <w:lvl w:ilvl="5" w:tplc="B8761740">
      <w:start w:val="1"/>
      <w:numFmt w:val="bullet"/>
      <w:lvlText w:val=""/>
      <w:lvlJc w:val="left"/>
      <w:pPr>
        <w:ind w:left="4320" w:hanging="360"/>
      </w:pPr>
      <w:rPr>
        <w:rFonts w:ascii="Wingdings" w:hAnsi="Wingdings" w:hint="default"/>
      </w:rPr>
    </w:lvl>
    <w:lvl w:ilvl="6" w:tplc="4420F9B4">
      <w:start w:val="1"/>
      <w:numFmt w:val="bullet"/>
      <w:lvlText w:val=""/>
      <w:lvlJc w:val="left"/>
      <w:pPr>
        <w:ind w:left="5040" w:hanging="360"/>
      </w:pPr>
      <w:rPr>
        <w:rFonts w:ascii="Symbol" w:hAnsi="Symbol" w:hint="default"/>
      </w:rPr>
    </w:lvl>
    <w:lvl w:ilvl="7" w:tplc="07DCF1F6">
      <w:start w:val="1"/>
      <w:numFmt w:val="bullet"/>
      <w:lvlText w:val="o"/>
      <w:lvlJc w:val="left"/>
      <w:pPr>
        <w:ind w:left="5760" w:hanging="360"/>
      </w:pPr>
      <w:rPr>
        <w:rFonts w:ascii="Courier New" w:hAnsi="Courier New" w:hint="default"/>
      </w:rPr>
    </w:lvl>
    <w:lvl w:ilvl="8" w:tplc="0218A4A6">
      <w:start w:val="1"/>
      <w:numFmt w:val="bullet"/>
      <w:lvlText w:val=""/>
      <w:lvlJc w:val="left"/>
      <w:pPr>
        <w:ind w:left="6480" w:hanging="360"/>
      </w:pPr>
      <w:rPr>
        <w:rFonts w:ascii="Wingdings" w:hAnsi="Wingdings" w:hint="default"/>
      </w:rPr>
    </w:lvl>
  </w:abstractNum>
  <w:abstractNum w:abstractNumId="23" w15:restartNumberingAfterBreak="0">
    <w:nsid w:val="512D6CE8"/>
    <w:multiLevelType w:val="hybridMultilevel"/>
    <w:tmpl w:val="E926DD00"/>
    <w:lvl w:ilvl="0" w:tplc="D4DA511C">
      <w:start w:val="1"/>
      <w:numFmt w:val="decimal"/>
      <w:pStyle w:val="Note-Number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B2A68"/>
    <w:multiLevelType w:val="multilevel"/>
    <w:tmpl w:val="8AC65032"/>
    <w:numStyleLink w:val="ListStyle-ListBullet"/>
  </w:abstractNum>
  <w:abstractNum w:abstractNumId="25" w15:restartNumberingAfterBreak="0">
    <w:nsid w:val="55560836"/>
    <w:multiLevelType w:val="multilevel"/>
    <w:tmpl w:val="1F207F06"/>
    <w:styleLink w:val="ListStyle-TableListBullet0"/>
    <w:lvl w:ilvl="0">
      <w:start w:val="1"/>
      <w:numFmt w:val="bullet"/>
      <w:pStyle w:val="Table-ListBullet"/>
      <w:lvlText w:val=""/>
      <w:lvlJc w:val="left"/>
      <w:pPr>
        <w:ind w:left="284" w:hanging="171"/>
      </w:pPr>
      <w:rPr>
        <w:rFonts w:ascii="Wingdings" w:hAnsi="Wingdings"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6"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Theme="minorHAnsi" w:hAnsiTheme="minorHAnsi"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27" w15:restartNumberingAfterBreak="0">
    <w:nsid w:val="5D90306E"/>
    <w:multiLevelType w:val="multilevel"/>
    <w:tmpl w:val="02584F62"/>
    <w:styleLink w:val="ListStyle-TableListNumber"/>
    <w:lvl w:ilvl="0">
      <w:start w:val="1"/>
      <w:numFmt w:val="decimal"/>
      <w:lvlText w:val="%1."/>
      <w:lvlJc w:val="left"/>
      <w:pPr>
        <w:ind w:left="340" w:hanging="227"/>
      </w:pPr>
      <w:rPr>
        <w:rFonts w:ascii="AvenirNext LT Pro Regular" w:hAnsi="AvenirNext LT Pro Regular"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28" w15:restartNumberingAfterBreak="0">
    <w:nsid w:val="7F216990"/>
    <w:multiLevelType w:val="multilevel"/>
    <w:tmpl w:val="0406001F"/>
    <w:styleLink w:val="111111"/>
    <w:lvl w:ilvl="0">
      <w:start w:val="1"/>
      <w:numFmt w:val="decimal"/>
      <w:lvlText w:val="%1."/>
      <w:lvlJc w:val="left"/>
      <w:pPr>
        <w:ind w:left="360" w:hanging="360"/>
      </w:pPr>
      <w:rPr>
        <w:rFonts w:ascii="AvenirNext LT Pro Regular" w:hAnsi="AvenirNext LT Pro Regular"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4885840">
    <w:abstractNumId w:val="22"/>
  </w:num>
  <w:num w:numId="2" w16cid:durableId="1409038319">
    <w:abstractNumId w:val="17"/>
  </w:num>
  <w:num w:numId="3" w16cid:durableId="1120413546">
    <w:abstractNumId w:val="28"/>
  </w:num>
  <w:num w:numId="4" w16cid:durableId="191114983">
    <w:abstractNumId w:val="5"/>
  </w:num>
  <w:num w:numId="5" w16cid:durableId="1960916168">
    <w:abstractNumId w:val="3"/>
  </w:num>
  <w:num w:numId="6" w16cid:durableId="2087142076">
    <w:abstractNumId w:val="2"/>
  </w:num>
  <w:num w:numId="7" w16cid:durableId="1212231152">
    <w:abstractNumId w:val="1"/>
  </w:num>
  <w:num w:numId="8" w16cid:durableId="667052860">
    <w:abstractNumId w:val="0"/>
  </w:num>
  <w:num w:numId="9" w16cid:durableId="533272025">
    <w:abstractNumId w:val="7"/>
  </w:num>
  <w:num w:numId="10" w16cid:durableId="1455902874">
    <w:abstractNumId w:val="27"/>
  </w:num>
  <w:num w:numId="11" w16cid:durableId="1548756971">
    <w:abstractNumId w:val="12"/>
  </w:num>
  <w:num w:numId="12" w16cid:durableId="1208031318">
    <w:abstractNumId w:val="4"/>
  </w:num>
  <w:num w:numId="13" w16cid:durableId="396129691">
    <w:abstractNumId w:val="26"/>
  </w:num>
  <w:num w:numId="14" w16cid:durableId="293102456">
    <w:abstractNumId w:val="9"/>
  </w:num>
  <w:num w:numId="15" w16cid:durableId="470173005">
    <w:abstractNumId w:val="21"/>
  </w:num>
  <w:num w:numId="16" w16cid:durableId="425922010">
    <w:abstractNumId w:val="11"/>
  </w:num>
  <w:num w:numId="17" w16cid:durableId="564997447">
    <w:abstractNumId w:val="25"/>
  </w:num>
  <w:num w:numId="18" w16cid:durableId="826047149">
    <w:abstractNumId w:val="14"/>
  </w:num>
  <w:num w:numId="19" w16cid:durableId="415826183">
    <w:abstractNumId w:val="8"/>
  </w:num>
  <w:num w:numId="20" w16cid:durableId="1381902928">
    <w:abstractNumId w:val="18"/>
  </w:num>
  <w:num w:numId="21" w16cid:durableId="917373555">
    <w:abstractNumId w:val="6"/>
  </w:num>
  <w:num w:numId="22" w16cid:durableId="424232137">
    <w:abstractNumId w:val="13"/>
  </w:num>
  <w:num w:numId="23" w16cid:durableId="1120802674">
    <w:abstractNumId w:val="24"/>
  </w:num>
  <w:num w:numId="24" w16cid:durableId="1757358157">
    <w:abstractNumId w:val="19"/>
  </w:num>
  <w:num w:numId="25" w16cid:durableId="2051345038">
    <w:abstractNumId w:val="23"/>
  </w:num>
  <w:num w:numId="26" w16cid:durableId="332419702">
    <w:abstractNumId w:val="20"/>
  </w:num>
  <w:num w:numId="27" w16cid:durableId="1687294226">
    <w:abstractNumId w:val="10"/>
  </w:num>
  <w:num w:numId="28" w16cid:durableId="680202205">
    <w:abstractNumId w:val="16"/>
  </w:num>
  <w:num w:numId="29" w16cid:durableId="799805615">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1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FC"/>
    <w:rsid w:val="000015B5"/>
    <w:rsid w:val="00002A9C"/>
    <w:rsid w:val="00003099"/>
    <w:rsid w:val="00003C86"/>
    <w:rsid w:val="000043B2"/>
    <w:rsid w:val="00005BC0"/>
    <w:rsid w:val="00006541"/>
    <w:rsid w:val="00006781"/>
    <w:rsid w:val="00006AF5"/>
    <w:rsid w:val="00007A46"/>
    <w:rsid w:val="00007E4F"/>
    <w:rsid w:val="000105B7"/>
    <w:rsid w:val="00011B6B"/>
    <w:rsid w:val="00012A90"/>
    <w:rsid w:val="0001382A"/>
    <w:rsid w:val="00014006"/>
    <w:rsid w:val="0001415B"/>
    <w:rsid w:val="0001419A"/>
    <w:rsid w:val="0001575B"/>
    <w:rsid w:val="000158CE"/>
    <w:rsid w:val="00015F94"/>
    <w:rsid w:val="00016A7D"/>
    <w:rsid w:val="00016E55"/>
    <w:rsid w:val="0001764E"/>
    <w:rsid w:val="00020B97"/>
    <w:rsid w:val="000214E2"/>
    <w:rsid w:val="000218BB"/>
    <w:rsid w:val="00021CC3"/>
    <w:rsid w:val="00023071"/>
    <w:rsid w:val="00023839"/>
    <w:rsid w:val="000256E7"/>
    <w:rsid w:val="00025CA3"/>
    <w:rsid w:val="0002736E"/>
    <w:rsid w:val="00027A93"/>
    <w:rsid w:val="00030FB5"/>
    <w:rsid w:val="000317E7"/>
    <w:rsid w:val="00032B7C"/>
    <w:rsid w:val="00033512"/>
    <w:rsid w:val="000339AA"/>
    <w:rsid w:val="00033CB8"/>
    <w:rsid w:val="000346C9"/>
    <w:rsid w:val="0003525C"/>
    <w:rsid w:val="0003544D"/>
    <w:rsid w:val="00035A9E"/>
    <w:rsid w:val="00035AE4"/>
    <w:rsid w:val="00037936"/>
    <w:rsid w:val="000379B8"/>
    <w:rsid w:val="000379BD"/>
    <w:rsid w:val="0004076C"/>
    <w:rsid w:val="00040C2F"/>
    <w:rsid w:val="0004289D"/>
    <w:rsid w:val="00042B21"/>
    <w:rsid w:val="00044356"/>
    <w:rsid w:val="00044DEB"/>
    <w:rsid w:val="00045B05"/>
    <w:rsid w:val="00045E99"/>
    <w:rsid w:val="0004695C"/>
    <w:rsid w:val="0004796B"/>
    <w:rsid w:val="000500C9"/>
    <w:rsid w:val="00051051"/>
    <w:rsid w:val="00051525"/>
    <w:rsid w:val="00051696"/>
    <w:rsid w:val="00054761"/>
    <w:rsid w:val="0005571D"/>
    <w:rsid w:val="000561E8"/>
    <w:rsid w:val="0005620F"/>
    <w:rsid w:val="000562E3"/>
    <w:rsid w:val="000568E8"/>
    <w:rsid w:val="00057681"/>
    <w:rsid w:val="0005789E"/>
    <w:rsid w:val="000603A1"/>
    <w:rsid w:val="00060821"/>
    <w:rsid w:val="00060F95"/>
    <w:rsid w:val="000611DA"/>
    <w:rsid w:val="00065778"/>
    <w:rsid w:val="00065933"/>
    <w:rsid w:val="0006725A"/>
    <w:rsid w:val="000676F6"/>
    <w:rsid w:val="00067B66"/>
    <w:rsid w:val="0007108C"/>
    <w:rsid w:val="000713B6"/>
    <w:rsid w:val="000734EE"/>
    <w:rsid w:val="000735DF"/>
    <w:rsid w:val="0007384C"/>
    <w:rsid w:val="00073F2E"/>
    <w:rsid w:val="00074910"/>
    <w:rsid w:val="00074F3A"/>
    <w:rsid w:val="000773B5"/>
    <w:rsid w:val="000817F8"/>
    <w:rsid w:val="000834B6"/>
    <w:rsid w:val="00084907"/>
    <w:rsid w:val="00086D62"/>
    <w:rsid w:val="00086F80"/>
    <w:rsid w:val="00087924"/>
    <w:rsid w:val="00090086"/>
    <w:rsid w:val="000902B9"/>
    <w:rsid w:val="0009081F"/>
    <w:rsid w:val="00091F12"/>
    <w:rsid w:val="00092D0C"/>
    <w:rsid w:val="0009358F"/>
    <w:rsid w:val="000952F2"/>
    <w:rsid w:val="00095682"/>
    <w:rsid w:val="00096049"/>
    <w:rsid w:val="000963B2"/>
    <w:rsid w:val="00096D70"/>
    <w:rsid w:val="000A168D"/>
    <w:rsid w:val="000A1CDE"/>
    <w:rsid w:val="000A2173"/>
    <w:rsid w:val="000A3531"/>
    <w:rsid w:val="000A3B91"/>
    <w:rsid w:val="000A4A95"/>
    <w:rsid w:val="000A4D09"/>
    <w:rsid w:val="000A4EA7"/>
    <w:rsid w:val="000A50E8"/>
    <w:rsid w:val="000A5F6B"/>
    <w:rsid w:val="000A6041"/>
    <w:rsid w:val="000B0F0A"/>
    <w:rsid w:val="000B1D76"/>
    <w:rsid w:val="000B353E"/>
    <w:rsid w:val="000B36F4"/>
    <w:rsid w:val="000B44B5"/>
    <w:rsid w:val="000B4515"/>
    <w:rsid w:val="000B4D14"/>
    <w:rsid w:val="000B58B8"/>
    <w:rsid w:val="000B68C7"/>
    <w:rsid w:val="000B6E69"/>
    <w:rsid w:val="000C000F"/>
    <w:rsid w:val="000C2D69"/>
    <w:rsid w:val="000C3B1A"/>
    <w:rsid w:val="000C44DD"/>
    <w:rsid w:val="000C4BCC"/>
    <w:rsid w:val="000C5C10"/>
    <w:rsid w:val="000C73D1"/>
    <w:rsid w:val="000D074F"/>
    <w:rsid w:val="000D16C0"/>
    <w:rsid w:val="000D2193"/>
    <w:rsid w:val="000D4366"/>
    <w:rsid w:val="000D4944"/>
    <w:rsid w:val="000D4D88"/>
    <w:rsid w:val="000D4EF0"/>
    <w:rsid w:val="000D5931"/>
    <w:rsid w:val="000D5AA0"/>
    <w:rsid w:val="000D5E2E"/>
    <w:rsid w:val="000D62F0"/>
    <w:rsid w:val="000D6C98"/>
    <w:rsid w:val="000D7754"/>
    <w:rsid w:val="000E141B"/>
    <w:rsid w:val="000E1A51"/>
    <w:rsid w:val="000E1FFB"/>
    <w:rsid w:val="000E4C2E"/>
    <w:rsid w:val="000E5E3E"/>
    <w:rsid w:val="000E5EDA"/>
    <w:rsid w:val="000E628C"/>
    <w:rsid w:val="000E687A"/>
    <w:rsid w:val="000E6C17"/>
    <w:rsid w:val="000E7225"/>
    <w:rsid w:val="000E7BF0"/>
    <w:rsid w:val="000F1418"/>
    <w:rsid w:val="000F1933"/>
    <w:rsid w:val="000F1A2D"/>
    <w:rsid w:val="000F1D54"/>
    <w:rsid w:val="000F2E53"/>
    <w:rsid w:val="000F3C4C"/>
    <w:rsid w:val="000F4DED"/>
    <w:rsid w:val="000F5DAB"/>
    <w:rsid w:val="00100E10"/>
    <w:rsid w:val="00102E70"/>
    <w:rsid w:val="001030DF"/>
    <w:rsid w:val="00105306"/>
    <w:rsid w:val="00105D35"/>
    <w:rsid w:val="001073A8"/>
    <w:rsid w:val="001077D4"/>
    <w:rsid w:val="001078A4"/>
    <w:rsid w:val="00107F10"/>
    <w:rsid w:val="00110785"/>
    <w:rsid w:val="001116EA"/>
    <w:rsid w:val="00111F5A"/>
    <w:rsid w:val="001128FC"/>
    <w:rsid w:val="00112CD2"/>
    <w:rsid w:val="00113240"/>
    <w:rsid w:val="0011482C"/>
    <w:rsid w:val="00115894"/>
    <w:rsid w:val="00115B92"/>
    <w:rsid w:val="00116761"/>
    <w:rsid w:val="0011738E"/>
    <w:rsid w:val="00117C51"/>
    <w:rsid w:val="00121504"/>
    <w:rsid w:val="001219F3"/>
    <w:rsid w:val="00121AEB"/>
    <w:rsid w:val="001227FA"/>
    <w:rsid w:val="00122BC6"/>
    <w:rsid w:val="001238D7"/>
    <w:rsid w:val="00123C63"/>
    <w:rsid w:val="0012481A"/>
    <w:rsid w:val="001249BA"/>
    <w:rsid w:val="0012540B"/>
    <w:rsid w:val="001254D5"/>
    <w:rsid w:val="00126C8A"/>
    <w:rsid w:val="001279A6"/>
    <w:rsid w:val="00127CA8"/>
    <w:rsid w:val="0013074F"/>
    <w:rsid w:val="00131807"/>
    <w:rsid w:val="00131ED7"/>
    <w:rsid w:val="00132088"/>
    <w:rsid w:val="00133B7E"/>
    <w:rsid w:val="00133EC9"/>
    <w:rsid w:val="00135346"/>
    <w:rsid w:val="001364E5"/>
    <w:rsid w:val="0013751D"/>
    <w:rsid w:val="001375BC"/>
    <w:rsid w:val="00140F6A"/>
    <w:rsid w:val="001418D4"/>
    <w:rsid w:val="00142163"/>
    <w:rsid w:val="00142BCD"/>
    <w:rsid w:val="00142D89"/>
    <w:rsid w:val="00142E7C"/>
    <w:rsid w:val="00142E9B"/>
    <w:rsid w:val="0014548D"/>
    <w:rsid w:val="0014756E"/>
    <w:rsid w:val="00147605"/>
    <w:rsid w:val="00147963"/>
    <w:rsid w:val="00147C40"/>
    <w:rsid w:val="0015038C"/>
    <w:rsid w:val="00151009"/>
    <w:rsid w:val="0015143C"/>
    <w:rsid w:val="0015144A"/>
    <w:rsid w:val="00152618"/>
    <w:rsid w:val="00152729"/>
    <w:rsid w:val="00152D7A"/>
    <w:rsid w:val="00152E51"/>
    <w:rsid w:val="0015317E"/>
    <w:rsid w:val="0015344D"/>
    <w:rsid w:val="0015351F"/>
    <w:rsid w:val="00153905"/>
    <w:rsid w:val="00153A27"/>
    <w:rsid w:val="001540BC"/>
    <w:rsid w:val="0015543B"/>
    <w:rsid w:val="001557DD"/>
    <w:rsid w:val="001559C1"/>
    <w:rsid w:val="0015749F"/>
    <w:rsid w:val="00157979"/>
    <w:rsid w:val="001605B7"/>
    <w:rsid w:val="00160CDD"/>
    <w:rsid w:val="00161A63"/>
    <w:rsid w:val="00161D56"/>
    <w:rsid w:val="00162EB5"/>
    <w:rsid w:val="00163C32"/>
    <w:rsid w:val="00163E2E"/>
    <w:rsid w:val="00164DF5"/>
    <w:rsid w:val="00165001"/>
    <w:rsid w:val="001654DC"/>
    <w:rsid w:val="00165F4D"/>
    <w:rsid w:val="0016659E"/>
    <w:rsid w:val="0016694B"/>
    <w:rsid w:val="00166D08"/>
    <w:rsid w:val="00167C98"/>
    <w:rsid w:val="00173325"/>
    <w:rsid w:val="0017358C"/>
    <w:rsid w:val="00174A3E"/>
    <w:rsid w:val="00175366"/>
    <w:rsid w:val="00176C66"/>
    <w:rsid w:val="00176D71"/>
    <w:rsid w:val="001773DA"/>
    <w:rsid w:val="00177C76"/>
    <w:rsid w:val="00180CFC"/>
    <w:rsid w:val="00183314"/>
    <w:rsid w:val="00183A92"/>
    <w:rsid w:val="00183D82"/>
    <w:rsid w:val="00184BAD"/>
    <w:rsid w:val="001854EA"/>
    <w:rsid w:val="0018571D"/>
    <w:rsid w:val="00185C51"/>
    <w:rsid w:val="00186134"/>
    <w:rsid w:val="0018684F"/>
    <w:rsid w:val="00186D62"/>
    <w:rsid w:val="001876DD"/>
    <w:rsid w:val="00187800"/>
    <w:rsid w:val="00187DF3"/>
    <w:rsid w:val="001907A4"/>
    <w:rsid w:val="00191670"/>
    <w:rsid w:val="00192C9A"/>
    <w:rsid w:val="001938AA"/>
    <w:rsid w:val="00193F68"/>
    <w:rsid w:val="00194F2D"/>
    <w:rsid w:val="001952EE"/>
    <w:rsid w:val="001953BA"/>
    <w:rsid w:val="00196B0D"/>
    <w:rsid w:val="00197540"/>
    <w:rsid w:val="001976B2"/>
    <w:rsid w:val="00197B3C"/>
    <w:rsid w:val="00197ECB"/>
    <w:rsid w:val="001A1502"/>
    <w:rsid w:val="001A1570"/>
    <w:rsid w:val="001A24BB"/>
    <w:rsid w:val="001A2D0C"/>
    <w:rsid w:val="001A2F8E"/>
    <w:rsid w:val="001A366E"/>
    <w:rsid w:val="001A3B79"/>
    <w:rsid w:val="001A4955"/>
    <w:rsid w:val="001A4E65"/>
    <w:rsid w:val="001A576D"/>
    <w:rsid w:val="001A635C"/>
    <w:rsid w:val="001A69A2"/>
    <w:rsid w:val="001B1A5F"/>
    <w:rsid w:val="001B1B18"/>
    <w:rsid w:val="001B1D50"/>
    <w:rsid w:val="001B2C58"/>
    <w:rsid w:val="001B4855"/>
    <w:rsid w:val="001B6745"/>
    <w:rsid w:val="001B67A0"/>
    <w:rsid w:val="001B6B70"/>
    <w:rsid w:val="001B74D2"/>
    <w:rsid w:val="001C088B"/>
    <w:rsid w:val="001C1127"/>
    <w:rsid w:val="001C14F5"/>
    <w:rsid w:val="001C24B3"/>
    <w:rsid w:val="001C2CAD"/>
    <w:rsid w:val="001C40A5"/>
    <w:rsid w:val="001C4787"/>
    <w:rsid w:val="001C4C44"/>
    <w:rsid w:val="001D04C0"/>
    <w:rsid w:val="001D04EA"/>
    <w:rsid w:val="001D09F5"/>
    <w:rsid w:val="001D12B9"/>
    <w:rsid w:val="001D14B4"/>
    <w:rsid w:val="001D2839"/>
    <w:rsid w:val="001D2F30"/>
    <w:rsid w:val="001D3A08"/>
    <w:rsid w:val="001D3AB7"/>
    <w:rsid w:val="001D4304"/>
    <w:rsid w:val="001D466D"/>
    <w:rsid w:val="001D4ED9"/>
    <w:rsid w:val="001D5097"/>
    <w:rsid w:val="001D6565"/>
    <w:rsid w:val="001D7163"/>
    <w:rsid w:val="001E0CE5"/>
    <w:rsid w:val="001E2558"/>
    <w:rsid w:val="001E2B03"/>
    <w:rsid w:val="001E3986"/>
    <w:rsid w:val="001E4D7D"/>
    <w:rsid w:val="001E5867"/>
    <w:rsid w:val="001F0908"/>
    <w:rsid w:val="001F0AE4"/>
    <w:rsid w:val="001F16A7"/>
    <w:rsid w:val="001F2675"/>
    <w:rsid w:val="001F2EF8"/>
    <w:rsid w:val="001F47F7"/>
    <w:rsid w:val="001F4F65"/>
    <w:rsid w:val="001F5C06"/>
    <w:rsid w:val="001F629E"/>
    <w:rsid w:val="001F6B2D"/>
    <w:rsid w:val="0020050B"/>
    <w:rsid w:val="00203E3B"/>
    <w:rsid w:val="00204382"/>
    <w:rsid w:val="002043A8"/>
    <w:rsid w:val="002048CA"/>
    <w:rsid w:val="00206E24"/>
    <w:rsid w:val="00206E29"/>
    <w:rsid w:val="00207C8B"/>
    <w:rsid w:val="00211217"/>
    <w:rsid w:val="00211339"/>
    <w:rsid w:val="002119EB"/>
    <w:rsid w:val="0021275E"/>
    <w:rsid w:val="002132C2"/>
    <w:rsid w:val="00213F9D"/>
    <w:rsid w:val="00214770"/>
    <w:rsid w:val="00214FB3"/>
    <w:rsid w:val="0021587F"/>
    <w:rsid w:val="002160A3"/>
    <w:rsid w:val="002170D0"/>
    <w:rsid w:val="00217C72"/>
    <w:rsid w:val="002206EE"/>
    <w:rsid w:val="0022117B"/>
    <w:rsid w:val="002227B1"/>
    <w:rsid w:val="00223702"/>
    <w:rsid w:val="00224559"/>
    <w:rsid w:val="00224629"/>
    <w:rsid w:val="00225210"/>
    <w:rsid w:val="00225ABE"/>
    <w:rsid w:val="00230BD1"/>
    <w:rsid w:val="00231FB2"/>
    <w:rsid w:val="0023251A"/>
    <w:rsid w:val="002325AD"/>
    <w:rsid w:val="00232B81"/>
    <w:rsid w:val="00233223"/>
    <w:rsid w:val="00233DBC"/>
    <w:rsid w:val="00234E52"/>
    <w:rsid w:val="00235109"/>
    <w:rsid w:val="002353E8"/>
    <w:rsid w:val="00235B02"/>
    <w:rsid w:val="00236875"/>
    <w:rsid w:val="0023726D"/>
    <w:rsid w:val="0024052B"/>
    <w:rsid w:val="00240BBF"/>
    <w:rsid w:val="0024184F"/>
    <w:rsid w:val="00241888"/>
    <w:rsid w:val="00242153"/>
    <w:rsid w:val="00242AF1"/>
    <w:rsid w:val="00243DED"/>
    <w:rsid w:val="0024463F"/>
    <w:rsid w:val="002454D1"/>
    <w:rsid w:val="0024561C"/>
    <w:rsid w:val="0024621C"/>
    <w:rsid w:val="0024622C"/>
    <w:rsid w:val="00251AC9"/>
    <w:rsid w:val="00254BE9"/>
    <w:rsid w:val="002557D5"/>
    <w:rsid w:val="0025714B"/>
    <w:rsid w:val="00257772"/>
    <w:rsid w:val="00257BEF"/>
    <w:rsid w:val="00260EAA"/>
    <w:rsid w:val="00262E41"/>
    <w:rsid w:val="00262ECB"/>
    <w:rsid w:val="0026380C"/>
    <w:rsid w:val="00264506"/>
    <w:rsid w:val="00264CF9"/>
    <w:rsid w:val="00264E7A"/>
    <w:rsid w:val="00265802"/>
    <w:rsid w:val="002709BD"/>
    <w:rsid w:val="00270BA5"/>
    <w:rsid w:val="00270D00"/>
    <w:rsid w:val="0027131A"/>
    <w:rsid w:val="002719BA"/>
    <w:rsid w:val="00271A6B"/>
    <w:rsid w:val="002731E3"/>
    <w:rsid w:val="0027328B"/>
    <w:rsid w:val="00273A00"/>
    <w:rsid w:val="0027448B"/>
    <w:rsid w:val="00275759"/>
    <w:rsid w:val="00276945"/>
    <w:rsid w:val="0028029A"/>
    <w:rsid w:val="0028126B"/>
    <w:rsid w:val="00281A61"/>
    <w:rsid w:val="00282538"/>
    <w:rsid w:val="002827AD"/>
    <w:rsid w:val="0028465E"/>
    <w:rsid w:val="00285BDF"/>
    <w:rsid w:val="00285F05"/>
    <w:rsid w:val="0028659F"/>
    <w:rsid w:val="00287839"/>
    <w:rsid w:val="0028788E"/>
    <w:rsid w:val="00290328"/>
    <w:rsid w:val="00290B05"/>
    <w:rsid w:val="0029111C"/>
    <w:rsid w:val="0029495E"/>
    <w:rsid w:val="00294E98"/>
    <w:rsid w:val="00294EBA"/>
    <w:rsid w:val="00294FF8"/>
    <w:rsid w:val="002968BA"/>
    <w:rsid w:val="00297540"/>
    <w:rsid w:val="00297E32"/>
    <w:rsid w:val="002A245E"/>
    <w:rsid w:val="002A2826"/>
    <w:rsid w:val="002A2A2B"/>
    <w:rsid w:val="002A2A98"/>
    <w:rsid w:val="002B0118"/>
    <w:rsid w:val="002B2708"/>
    <w:rsid w:val="002B2CA1"/>
    <w:rsid w:val="002B2F06"/>
    <w:rsid w:val="002B4A51"/>
    <w:rsid w:val="002B4CBA"/>
    <w:rsid w:val="002B52C3"/>
    <w:rsid w:val="002B5ECE"/>
    <w:rsid w:val="002B5F68"/>
    <w:rsid w:val="002B67B2"/>
    <w:rsid w:val="002B718C"/>
    <w:rsid w:val="002C0A43"/>
    <w:rsid w:val="002C1165"/>
    <w:rsid w:val="002C14D4"/>
    <w:rsid w:val="002C2CDD"/>
    <w:rsid w:val="002C2EE0"/>
    <w:rsid w:val="002C421D"/>
    <w:rsid w:val="002C473E"/>
    <w:rsid w:val="002C5B55"/>
    <w:rsid w:val="002C5CF9"/>
    <w:rsid w:val="002C5D79"/>
    <w:rsid w:val="002C6D9A"/>
    <w:rsid w:val="002D244F"/>
    <w:rsid w:val="002D3AF9"/>
    <w:rsid w:val="002D4314"/>
    <w:rsid w:val="002D60D7"/>
    <w:rsid w:val="002D621E"/>
    <w:rsid w:val="002D640D"/>
    <w:rsid w:val="002D7492"/>
    <w:rsid w:val="002E044A"/>
    <w:rsid w:val="002E2C4A"/>
    <w:rsid w:val="002E3702"/>
    <w:rsid w:val="002E6188"/>
    <w:rsid w:val="002E6768"/>
    <w:rsid w:val="002E68DE"/>
    <w:rsid w:val="002E6F05"/>
    <w:rsid w:val="002E7288"/>
    <w:rsid w:val="002E7CE0"/>
    <w:rsid w:val="002F2A96"/>
    <w:rsid w:val="002F34F2"/>
    <w:rsid w:val="002F3F1D"/>
    <w:rsid w:val="002F4119"/>
    <w:rsid w:val="002F5074"/>
    <w:rsid w:val="002F64F2"/>
    <w:rsid w:val="002F6891"/>
    <w:rsid w:val="002F7CAC"/>
    <w:rsid w:val="00300AB4"/>
    <w:rsid w:val="00300D79"/>
    <w:rsid w:val="00300DFB"/>
    <w:rsid w:val="0030125B"/>
    <w:rsid w:val="00303E28"/>
    <w:rsid w:val="0030441E"/>
    <w:rsid w:val="0030457E"/>
    <w:rsid w:val="00304750"/>
    <w:rsid w:val="00305914"/>
    <w:rsid w:val="003073F7"/>
    <w:rsid w:val="0030749F"/>
    <w:rsid w:val="00307506"/>
    <w:rsid w:val="00310DE6"/>
    <w:rsid w:val="00310E75"/>
    <w:rsid w:val="00311A09"/>
    <w:rsid w:val="00311A30"/>
    <w:rsid w:val="003151CC"/>
    <w:rsid w:val="00316ACF"/>
    <w:rsid w:val="00317C2D"/>
    <w:rsid w:val="003200C3"/>
    <w:rsid w:val="003225F8"/>
    <w:rsid w:val="00322D4D"/>
    <w:rsid w:val="0032354C"/>
    <w:rsid w:val="003243B6"/>
    <w:rsid w:val="003244E8"/>
    <w:rsid w:val="003252D2"/>
    <w:rsid w:val="00326F0E"/>
    <w:rsid w:val="00327EF3"/>
    <w:rsid w:val="00327F70"/>
    <w:rsid w:val="003326BB"/>
    <w:rsid w:val="003335CD"/>
    <w:rsid w:val="0033534A"/>
    <w:rsid w:val="003358F9"/>
    <w:rsid w:val="00337237"/>
    <w:rsid w:val="00340570"/>
    <w:rsid w:val="00340D29"/>
    <w:rsid w:val="003429E8"/>
    <w:rsid w:val="00342FC6"/>
    <w:rsid w:val="0034367C"/>
    <w:rsid w:val="00343D8B"/>
    <w:rsid w:val="00343FA9"/>
    <w:rsid w:val="0034426F"/>
    <w:rsid w:val="003442FA"/>
    <w:rsid w:val="003453E0"/>
    <w:rsid w:val="00345B76"/>
    <w:rsid w:val="00345D33"/>
    <w:rsid w:val="00345F03"/>
    <w:rsid w:val="003514BA"/>
    <w:rsid w:val="0035166A"/>
    <w:rsid w:val="00352893"/>
    <w:rsid w:val="00356E46"/>
    <w:rsid w:val="003601F7"/>
    <w:rsid w:val="003613AC"/>
    <w:rsid w:val="00364C98"/>
    <w:rsid w:val="00364EB5"/>
    <w:rsid w:val="00367FEE"/>
    <w:rsid w:val="003702B7"/>
    <w:rsid w:val="00370AEB"/>
    <w:rsid w:val="00370FD3"/>
    <w:rsid w:val="0037189B"/>
    <w:rsid w:val="003728EE"/>
    <w:rsid w:val="003733F5"/>
    <w:rsid w:val="00373C34"/>
    <w:rsid w:val="00374C47"/>
    <w:rsid w:val="00380163"/>
    <w:rsid w:val="0038179F"/>
    <w:rsid w:val="00383265"/>
    <w:rsid w:val="00384B5F"/>
    <w:rsid w:val="003856C5"/>
    <w:rsid w:val="00390763"/>
    <w:rsid w:val="003909B9"/>
    <w:rsid w:val="0039153B"/>
    <w:rsid w:val="0039159C"/>
    <w:rsid w:val="00391E3E"/>
    <w:rsid w:val="00392625"/>
    <w:rsid w:val="00396951"/>
    <w:rsid w:val="00396B21"/>
    <w:rsid w:val="003974D3"/>
    <w:rsid w:val="003A0558"/>
    <w:rsid w:val="003A0653"/>
    <w:rsid w:val="003A0A29"/>
    <w:rsid w:val="003A0C05"/>
    <w:rsid w:val="003A0EBC"/>
    <w:rsid w:val="003A1E78"/>
    <w:rsid w:val="003A43C5"/>
    <w:rsid w:val="003A463D"/>
    <w:rsid w:val="003A4A52"/>
    <w:rsid w:val="003B29D9"/>
    <w:rsid w:val="003B3541"/>
    <w:rsid w:val="003B3A3D"/>
    <w:rsid w:val="003B454C"/>
    <w:rsid w:val="003B5949"/>
    <w:rsid w:val="003B5D2F"/>
    <w:rsid w:val="003B667F"/>
    <w:rsid w:val="003B7275"/>
    <w:rsid w:val="003B7B1D"/>
    <w:rsid w:val="003C3044"/>
    <w:rsid w:val="003C6055"/>
    <w:rsid w:val="003C6499"/>
    <w:rsid w:val="003C6A41"/>
    <w:rsid w:val="003C6AF4"/>
    <w:rsid w:val="003C6D75"/>
    <w:rsid w:val="003C6E75"/>
    <w:rsid w:val="003C77D5"/>
    <w:rsid w:val="003C7C4B"/>
    <w:rsid w:val="003D0B70"/>
    <w:rsid w:val="003D18A9"/>
    <w:rsid w:val="003D1D03"/>
    <w:rsid w:val="003D1DB1"/>
    <w:rsid w:val="003D22E2"/>
    <w:rsid w:val="003D2ADC"/>
    <w:rsid w:val="003D2C28"/>
    <w:rsid w:val="003D2D7A"/>
    <w:rsid w:val="003D3CE4"/>
    <w:rsid w:val="003D567E"/>
    <w:rsid w:val="003D5DC9"/>
    <w:rsid w:val="003D60F9"/>
    <w:rsid w:val="003D64AE"/>
    <w:rsid w:val="003D64D2"/>
    <w:rsid w:val="003D6AC2"/>
    <w:rsid w:val="003D6FB2"/>
    <w:rsid w:val="003D73B9"/>
    <w:rsid w:val="003D77A1"/>
    <w:rsid w:val="003E0614"/>
    <w:rsid w:val="003E0BDF"/>
    <w:rsid w:val="003E1E6A"/>
    <w:rsid w:val="003E4A6A"/>
    <w:rsid w:val="003E614B"/>
    <w:rsid w:val="003E639C"/>
    <w:rsid w:val="003E63AC"/>
    <w:rsid w:val="003E6FCB"/>
    <w:rsid w:val="003E71AB"/>
    <w:rsid w:val="003E7A91"/>
    <w:rsid w:val="003F18F9"/>
    <w:rsid w:val="003F1B44"/>
    <w:rsid w:val="003F467A"/>
    <w:rsid w:val="003F5BE9"/>
    <w:rsid w:val="003F5E38"/>
    <w:rsid w:val="003F6851"/>
    <w:rsid w:val="003F69A4"/>
    <w:rsid w:val="003F7835"/>
    <w:rsid w:val="003F7A07"/>
    <w:rsid w:val="003F7F6F"/>
    <w:rsid w:val="00400535"/>
    <w:rsid w:val="00400AD6"/>
    <w:rsid w:val="00400C20"/>
    <w:rsid w:val="00400D10"/>
    <w:rsid w:val="00400DE6"/>
    <w:rsid w:val="00402212"/>
    <w:rsid w:val="00403068"/>
    <w:rsid w:val="00403388"/>
    <w:rsid w:val="00403874"/>
    <w:rsid w:val="004038AE"/>
    <w:rsid w:val="00405D7A"/>
    <w:rsid w:val="00405F31"/>
    <w:rsid w:val="00406FE0"/>
    <w:rsid w:val="00407CFB"/>
    <w:rsid w:val="00407E8D"/>
    <w:rsid w:val="00411FEC"/>
    <w:rsid w:val="00412441"/>
    <w:rsid w:val="004134B0"/>
    <w:rsid w:val="004134DE"/>
    <w:rsid w:val="00413C27"/>
    <w:rsid w:val="00414116"/>
    <w:rsid w:val="004148D4"/>
    <w:rsid w:val="0041579D"/>
    <w:rsid w:val="0041594D"/>
    <w:rsid w:val="00415DDF"/>
    <w:rsid w:val="00416216"/>
    <w:rsid w:val="004171DC"/>
    <w:rsid w:val="0041764E"/>
    <w:rsid w:val="00420364"/>
    <w:rsid w:val="00420B34"/>
    <w:rsid w:val="00420D99"/>
    <w:rsid w:val="004229E4"/>
    <w:rsid w:val="00423998"/>
    <w:rsid w:val="00423D12"/>
    <w:rsid w:val="00425348"/>
    <w:rsid w:val="00425A9B"/>
    <w:rsid w:val="004272C6"/>
    <w:rsid w:val="0042794D"/>
    <w:rsid w:val="004279C8"/>
    <w:rsid w:val="00430D94"/>
    <w:rsid w:val="00431052"/>
    <w:rsid w:val="00431697"/>
    <w:rsid w:val="00432036"/>
    <w:rsid w:val="00432CC2"/>
    <w:rsid w:val="00434200"/>
    <w:rsid w:val="00434B36"/>
    <w:rsid w:val="00436338"/>
    <w:rsid w:val="00437504"/>
    <w:rsid w:val="0044010B"/>
    <w:rsid w:val="0044192D"/>
    <w:rsid w:val="00441A99"/>
    <w:rsid w:val="00441F54"/>
    <w:rsid w:val="00444478"/>
    <w:rsid w:val="0044508A"/>
    <w:rsid w:val="00446741"/>
    <w:rsid w:val="0044781A"/>
    <w:rsid w:val="00447B14"/>
    <w:rsid w:val="00447B63"/>
    <w:rsid w:val="0045000D"/>
    <w:rsid w:val="004502A6"/>
    <w:rsid w:val="00450609"/>
    <w:rsid w:val="004514B5"/>
    <w:rsid w:val="00451FBE"/>
    <w:rsid w:val="00453241"/>
    <w:rsid w:val="00454F37"/>
    <w:rsid w:val="00455634"/>
    <w:rsid w:val="0045606D"/>
    <w:rsid w:val="004568C1"/>
    <w:rsid w:val="00457538"/>
    <w:rsid w:val="00460E64"/>
    <w:rsid w:val="004628E4"/>
    <w:rsid w:val="004629BC"/>
    <w:rsid w:val="004648DE"/>
    <w:rsid w:val="004651F0"/>
    <w:rsid w:val="00465512"/>
    <w:rsid w:val="00466E83"/>
    <w:rsid w:val="00467521"/>
    <w:rsid w:val="0047123E"/>
    <w:rsid w:val="004716E5"/>
    <w:rsid w:val="004720FC"/>
    <w:rsid w:val="00472B35"/>
    <w:rsid w:val="0047660A"/>
    <w:rsid w:val="004769ED"/>
    <w:rsid w:val="004806FC"/>
    <w:rsid w:val="00483C63"/>
    <w:rsid w:val="0048533C"/>
    <w:rsid w:val="0048575F"/>
    <w:rsid w:val="00485994"/>
    <w:rsid w:val="004860D7"/>
    <w:rsid w:val="004863EE"/>
    <w:rsid w:val="004904F1"/>
    <w:rsid w:val="00490997"/>
    <w:rsid w:val="00490DF1"/>
    <w:rsid w:val="00491022"/>
    <w:rsid w:val="00492A9E"/>
    <w:rsid w:val="00492AA1"/>
    <w:rsid w:val="00492E69"/>
    <w:rsid w:val="004930C5"/>
    <w:rsid w:val="00493475"/>
    <w:rsid w:val="00493DB2"/>
    <w:rsid w:val="004940A5"/>
    <w:rsid w:val="00494ABD"/>
    <w:rsid w:val="00494D87"/>
    <w:rsid w:val="004958AF"/>
    <w:rsid w:val="00495996"/>
    <w:rsid w:val="004962E3"/>
    <w:rsid w:val="004A06E0"/>
    <w:rsid w:val="004A0789"/>
    <w:rsid w:val="004A0D47"/>
    <w:rsid w:val="004A1396"/>
    <w:rsid w:val="004A2CD8"/>
    <w:rsid w:val="004A2EB7"/>
    <w:rsid w:val="004A341E"/>
    <w:rsid w:val="004A356A"/>
    <w:rsid w:val="004A3C02"/>
    <w:rsid w:val="004A4603"/>
    <w:rsid w:val="004A4F10"/>
    <w:rsid w:val="004A6FF7"/>
    <w:rsid w:val="004A7785"/>
    <w:rsid w:val="004A7F7E"/>
    <w:rsid w:val="004B0EA5"/>
    <w:rsid w:val="004B0FC5"/>
    <w:rsid w:val="004B1F48"/>
    <w:rsid w:val="004B2860"/>
    <w:rsid w:val="004B35C9"/>
    <w:rsid w:val="004B36FC"/>
    <w:rsid w:val="004B3D56"/>
    <w:rsid w:val="004B49B9"/>
    <w:rsid w:val="004B4C57"/>
    <w:rsid w:val="004B5397"/>
    <w:rsid w:val="004B53CB"/>
    <w:rsid w:val="004B5754"/>
    <w:rsid w:val="004B6884"/>
    <w:rsid w:val="004B75A0"/>
    <w:rsid w:val="004C1A57"/>
    <w:rsid w:val="004C4992"/>
    <w:rsid w:val="004C72EB"/>
    <w:rsid w:val="004D04FD"/>
    <w:rsid w:val="004D34F2"/>
    <w:rsid w:val="004D3BFF"/>
    <w:rsid w:val="004D4569"/>
    <w:rsid w:val="004D5F8B"/>
    <w:rsid w:val="004E0F02"/>
    <w:rsid w:val="004E11EA"/>
    <w:rsid w:val="004E1720"/>
    <w:rsid w:val="004E2ED9"/>
    <w:rsid w:val="004E302C"/>
    <w:rsid w:val="004E35A7"/>
    <w:rsid w:val="004E57CE"/>
    <w:rsid w:val="004E67A4"/>
    <w:rsid w:val="004E76DB"/>
    <w:rsid w:val="004E7C9C"/>
    <w:rsid w:val="004F0B6C"/>
    <w:rsid w:val="004F1E2B"/>
    <w:rsid w:val="004F1E9E"/>
    <w:rsid w:val="004F3754"/>
    <w:rsid w:val="004F4540"/>
    <w:rsid w:val="004F6D20"/>
    <w:rsid w:val="004F7AC3"/>
    <w:rsid w:val="00500725"/>
    <w:rsid w:val="00500CA1"/>
    <w:rsid w:val="00503771"/>
    <w:rsid w:val="00503AE3"/>
    <w:rsid w:val="00503D90"/>
    <w:rsid w:val="005046E2"/>
    <w:rsid w:val="0050571F"/>
    <w:rsid w:val="00505AD1"/>
    <w:rsid w:val="005065C4"/>
    <w:rsid w:val="00506AA0"/>
    <w:rsid w:val="0050700B"/>
    <w:rsid w:val="005133CC"/>
    <w:rsid w:val="00513BF2"/>
    <w:rsid w:val="00513F44"/>
    <w:rsid w:val="0051575A"/>
    <w:rsid w:val="005167E3"/>
    <w:rsid w:val="00520D63"/>
    <w:rsid w:val="00520F09"/>
    <w:rsid w:val="005214C9"/>
    <w:rsid w:val="0052219A"/>
    <w:rsid w:val="0052239B"/>
    <w:rsid w:val="0052367E"/>
    <w:rsid w:val="00523BE9"/>
    <w:rsid w:val="00524D58"/>
    <w:rsid w:val="005252A1"/>
    <w:rsid w:val="005252B4"/>
    <w:rsid w:val="00525530"/>
    <w:rsid w:val="00525A4B"/>
    <w:rsid w:val="00526127"/>
    <w:rsid w:val="00526E65"/>
    <w:rsid w:val="00527426"/>
    <w:rsid w:val="00527C44"/>
    <w:rsid w:val="0053034B"/>
    <w:rsid w:val="00530CE0"/>
    <w:rsid w:val="00531472"/>
    <w:rsid w:val="00533428"/>
    <w:rsid w:val="0053346D"/>
    <w:rsid w:val="00534076"/>
    <w:rsid w:val="0053433D"/>
    <w:rsid w:val="005345D9"/>
    <w:rsid w:val="00534B44"/>
    <w:rsid w:val="005375BA"/>
    <w:rsid w:val="00537BC7"/>
    <w:rsid w:val="00540199"/>
    <w:rsid w:val="00540D8B"/>
    <w:rsid w:val="005426D3"/>
    <w:rsid w:val="005446DB"/>
    <w:rsid w:val="0054733C"/>
    <w:rsid w:val="0055009D"/>
    <w:rsid w:val="00550820"/>
    <w:rsid w:val="00552C19"/>
    <w:rsid w:val="005536CB"/>
    <w:rsid w:val="00553F82"/>
    <w:rsid w:val="00555BA3"/>
    <w:rsid w:val="00555FBB"/>
    <w:rsid w:val="00556967"/>
    <w:rsid w:val="005570CE"/>
    <w:rsid w:val="0056064A"/>
    <w:rsid w:val="00560D6C"/>
    <w:rsid w:val="00561A1D"/>
    <w:rsid w:val="00561A1F"/>
    <w:rsid w:val="0056331D"/>
    <w:rsid w:val="005647F1"/>
    <w:rsid w:val="0056487D"/>
    <w:rsid w:val="00565E3A"/>
    <w:rsid w:val="00566123"/>
    <w:rsid w:val="0056668D"/>
    <w:rsid w:val="00566D99"/>
    <w:rsid w:val="00567066"/>
    <w:rsid w:val="0057134C"/>
    <w:rsid w:val="0057157C"/>
    <w:rsid w:val="005722CB"/>
    <w:rsid w:val="0057243E"/>
    <w:rsid w:val="005735EE"/>
    <w:rsid w:val="00573F8E"/>
    <w:rsid w:val="005767E5"/>
    <w:rsid w:val="005779AB"/>
    <w:rsid w:val="0058009F"/>
    <w:rsid w:val="00581229"/>
    <w:rsid w:val="00581BC0"/>
    <w:rsid w:val="0058213A"/>
    <w:rsid w:val="00585140"/>
    <w:rsid w:val="005855F6"/>
    <w:rsid w:val="00585AD1"/>
    <w:rsid w:val="005862E0"/>
    <w:rsid w:val="005863D3"/>
    <w:rsid w:val="0058793E"/>
    <w:rsid w:val="005900BC"/>
    <w:rsid w:val="005903DC"/>
    <w:rsid w:val="00590595"/>
    <w:rsid w:val="00590764"/>
    <w:rsid w:val="0059090B"/>
    <w:rsid w:val="005925E5"/>
    <w:rsid w:val="00592A49"/>
    <w:rsid w:val="005934DF"/>
    <w:rsid w:val="005968A8"/>
    <w:rsid w:val="005979DD"/>
    <w:rsid w:val="00597E2D"/>
    <w:rsid w:val="00597E7B"/>
    <w:rsid w:val="00597F55"/>
    <w:rsid w:val="005A01E5"/>
    <w:rsid w:val="005A0349"/>
    <w:rsid w:val="005A05A6"/>
    <w:rsid w:val="005A155F"/>
    <w:rsid w:val="005A1D2D"/>
    <w:rsid w:val="005A3464"/>
    <w:rsid w:val="005A3C3F"/>
    <w:rsid w:val="005A5292"/>
    <w:rsid w:val="005A5812"/>
    <w:rsid w:val="005A6429"/>
    <w:rsid w:val="005B1309"/>
    <w:rsid w:val="005B1F55"/>
    <w:rsid w:val="005B2964"/>
    <w:rsid w:val="005B3EE5"/>
    <w:rsid w:val="005B4DC3"/>
    <w:rsid w:val="005B5358"/>
    <w:rsid w:val="005B5A33"/>
    <w:rsid w:val="005B6205"/>
    <w:rsid w:val="005B65F5"/>
    <w:rsid w:val="005B6B75"/>
    <w:rsid w:val="005B799D"/>
    <w:rsid w:val="005C0557"/>
    <w:rsid w:val="005C239D"/>
    <w:rsid w:val="005C2418"/>
    <w:rsid w:val="005C25B6"/>
    <w:rsid w:val="005C28D1"/>
    <w:rsid w:val="005C2E06"/>
    <w:rsid w:val="005C3110"/>
    <w:rsid w:val="005C337D"/>
    <w:rsid w:val="005C40F4"/>
    <w:rsid w:val="005C4687"/>
    <w:rsid w:val="005C486B"/>
    <w:rsid w:val="005C5DEC"/>
    <w:rsid w:val="005C729C"/>
    <w:rsid w:val="005C73BC"/>
    <w:rsid w:val="005D007B"/>
    <w:rsid w:val="005D08C8"/>
    <w:rsid w:val="005D09C2"/>
    <w:rsid w:val="005D142A"/>
    <w:rsid w:val="005D1C12"/>
    <w:rsid w:val="005D21FA"/>
    <w:rsid w:val="005D2D53"/>
    <w:rsid w:val="005D4F5C"/>
    <w:rsid w:val="005D501A"/>
    <w:rsid w:val="005D5C87"/>
    <w:rsid w:val="005D6420"/>
    <w:rsid w:val="005D7B4A"/>
    <w:rsid w:val="005D7CC5"/>
    <w:rsid w:val="005E1330"/>
    <w:rsid w:val="005E1BB4"/>
    <w:rsid w:val="005E2577"/>
    <w:rsid w:val="005E2E04"/>
    <w:rsid w:val="005E5522"/>
    <w:rsid w:val="005E6E58"/>
    <w:rsid w:val="005F091B"/>
    <w:rsid w:val="005F0A9C"/>
    <w:rsid w:val="005F11D9"/>
    <w:rsid w:val="005F16D2"/>
    <w:rsid w:val="005F22C5"/>
    <w:rsid w:val="005F2512"/>
    <w:rsid w:val="005F2A36"/>
    <w:rsid w:val="005F3602"/>
    <w:rsid w:val="005F422B"/>
    <w:rsid w:val="005F5149"/>
    <w:rsid w:val="005F51D7"/>
    <w:rsid w:val="005F5563"/>
    <w:rsid w:val="005F708C"/>
    <w:rsid w:val="005F71B4"/>
    <w:rsid w:val="00600C83"/>
    <w:rsid w:val="0060137C"/>
    <w:rsid w:val="0060195D"/>
    <w:rsid w:val="00601B1F"/>
    <w:rsid w:val="00601E23"/>
    <w:rsid w:val="006025B7"/>
    <w:rsid w:val="006040CE"/>
    <w:rsid w:val="00604C91"/>
    <w:rsid w:val="00605C02"/>
    <w:rsid w:val="006063FE"/>
    <w:rsid w:val="0060651E"/>
    <w:rsid w:val="00606D91"/>
    <w:rsid w:val="006070FC"/>
    <w:rsid w:val="00607312"/>
    <w:rsid w:val="00607483"/>
    <w:rsid w:val="006074F7"/>
    <w:rsid w:val="006101DF"/>
    <w:rsid w:val="0061027D"/>
    <w:rsid w:val="0061080C"/>
    <w:rsid w:val="006109FC"/>
    <w:rsid w:val="00610D7E"/>
    <w:rsid w:val="00610E3A"/>
    <w:rsid w:val="00612494"/>
    <w:rsid w:val="00612FCF"/>
    <w:rsid w:val="00613794"/>
    <w:rsid w:val="00613B6E"/>
    <w:rsid w:val="006149BA"/>
    <w:rsid w:val="00615628"/>
    <w:rsid w:val="006156F9"/>
    <w:rsid w:val="006163C0"/>
    <w:rsid w:val="0061684F"/>
    <w:rsid w:val="00620505"/>
    <w:rsid w:val="00620A71"/>
    <w:rsid w:val="0062136B"/>
    <w:rsid w:val="0062151D"/>
    <w:rsid w:val="00621A9C"/>
    <w:rsid w:val="00622D6E"/>
    <w:rsid w:val="00622E65"/>
    <w:rsid w:val="006268A9"/>
    <w:rsid w:val="0062705A"/>
    <w:rsid w:val="006276DE"/>
    <w:rsid w:val="00632438"/>
    <w:rsid w:val="00634848"/>
    <w:rsid w:val="00635FBC"/>
    <w:rsid w:val="006361EF"/>
    <w:rsid w:val="00636710"/>
    <w:rsid w:val="00636CFD"/>
    <w:rsid w:val="00636FA5"/>
    <w:rsid w:val="0063753F"/>
    <w:rsid w:val="0064350B"/>
    <w:rsid w:val="00643778"/>
    <w:rsid w:val="00643962"/>
    <w:rsid w:val="00644130"/>
    <w:rsid w:val="00644296"/>
    <w:rsid w:val="00645617"/>
    <w:rsid w:val="00645E4F"/>
    <w:rsid w:val="00646C60"/>
    <w:rsid w:val="00650CAC"/>
    <w:rsid w:val="00651465"/>
    <w:rsid w:val="00651CF0"/>
    <w:rsid w:val="00651F91"/>
    <w:rsid w:val="00652653"/>
    <w:rsid w:val="00652AD7"/>
    <w:rsid w:val="00653479"/>
    <w:rsid w:val="00654B2B"/>
    <w:rsid w:val="00654D8B"/>
    <w:rsid w:val="00655EE4"/>
    <w:rsid w:val="00657B46"/>
    <w:rsid w:val="00657C5D"/>
    <w:rsid w:val="00657F4B"/>
    <w:rsid w:val="00660951"/>
    <w:rsid w:val="00660FE1"/>
    <w:rsid w:val="006613E3"/>
    <w:rsid w:val="00661471"/>
    <w:rsid w:val="006636BA"/>
    <w:rsid w:val="00663B61"/>
    <w:rsid w:val="00663DE4"/>
    <w:rsid w:val="006640CD"/>
    <w:rsid w:val="0066453F"/>
    <w:rsid w:val="00664AC3"/>
    <w:rsid w:val="00665617"/>
    <w:rsid w:val="00666672"/>
    <w:rsid w:val="0066764B"/>
    <w:rsid w:val="00667B5B"/>
    <w:rsid w:val="00670A10"/>
    <w:rsid w:val="00670E91"/>
    <w:rsid w:val="00671665"/>
    <w:rsid w:val="0067260A"/>
    <w:rsid w:val="00672C8B"/>
    <w:rsid w:val="00674381"/>
    <w:rsid w:val="00674F49"/>
    <w:rsid w:val="00676E31"/>
    <w:rsid w:val="006804D3"/>
    <w:rsid w:val="00681BDD"/>
    <w:rsid w:val="00681F75"/>
    <w:rsid w:val="00683153"/>
    <w:rsid w:val="00683366"/>
    <w:rsid w:val="006833F4"/>
    <w:rsid w:val="00683501"/>
    <w:rsid w:val="00683C1B"/>
    <w:rsid w:val="00683C48"/>
    <w:rsid w:val="006841BE"/>
    <w:rsid w:val="00685252"/>
    <w:rsid w:val="006857C8"/>
    <w:rsid w:val="00685C66"/>
    <w:rsid w:val="00686C13"/>
    <w:rsid w:val="00686C81"/>
    <w:rsid w:val="00690AD9"/>
    <w:rsid w:val="00690EE1"/>
    <w:rsid w:val="00691324"/>
    <w:rsid w:val="00691391"/>
    <w:rsid w:val="00691ACB"/>
    <w:rsid w:val="006927F1"/>
    <w:rsid w:val="006943CA"/>
    <w:rsid w:val="00694926"/>
    <w:rsid w:val="0069547D"/>
    <w:rsid w:val="00695B49"/>
    <w:rsid w:val="00696C42"/>
    <w:rsid w:val="00697C2B"/>
    <w:rsid w:val="006A08BE"/>
    <w:rsid w:val="006A22FB"/>
    <w:rsid w:val="006A24DE"/>
    <w:rsid w:val="006A2901"/>
    <w:rsid w:val="006A4651"/>
    <w:rsid w:val="006A52CB"/>
    <w:rsid w:val="006A5C44"/>
    <w:rsid w:val="006A646D"/>
    <w:rsid w:val="006A688C"/>
    <w:rsid w:val="006B1006"/>
    <w:rsid w:val="006B10EC"/>
    <w:rsid w:val="006B1C82"/>
    <w:rsid w:val="006B283C"/>
    <w:rsid w:val="006B50FF"/>
    <w:rsid w:val="006B5502"/>
    <w:rsid w:val="006B65DA"/>
    <w:rsid w:val="006C0117"/>
    <w:rsid w:val="006C20CD"/>
    <w:rsid w:val="006C2203"/>
    <w:rsid w:val="006C2233"/>
    <w:rsid w:val="006C242C"/>
    <w:rsid w:val="006C2E60"/>
    <w:rsid w:val="006C391D"/>
    <w:rsid w:val="006C4004"/>
    <w:rsid w:val="006C45CA"/>
    <w:rsid w:val="006C4775"/>
    <w:rsid w:val="006C4948"/>
    <w:rsid w:val="006C62EC"/>
    <w:rsid w:val="006C637C"/>
    <w:rsid w:val="006C69D5"/>
    <w:rsid w:val="006C6BDD"/>
    <w:rsid w:val="006C73BB"/>
    <w:rsid w:val="006D0CA6"/>
    <w:rsid w:val="006D10A9"/>
    <w:rsid w:val="006D2190"/>
    <w:rsid w:val="006D221A"/>
    <w:rsid w:val="006D2331"/>
    <w:rsid w:val="006D2C3D"/>
    <w:rsid w:val="006D31AB"/>
    <w:rsid w:val="006D3FA0"/>
    <w:rsid w:val="006D401F"/>
    <w:rsid w:val="006D4095"/>
    <w:rsid w:val="006D6FF6"/>
    <w:rsid w:val="006D76B9"/>
    <w:rsid w:val="006E0414"/>
    <w:rsid w:val="006E23A0"/>
    <w:rsid w:val="006E28A9"/>
    <w:rsid w:val="006E2DA3"/>
    <w:rsid w:val="006E4A91"/>
    <w:rsid w:val="006E639B"/>
    <w:rsid w:val="006E7DA5"/>
    <w:rsid w:val="006F0B93"/>
    <w:rsid w:val="006F185C"/>
    <w:rsid w:val="006F1E09"/>
    <w:rsid w:val="006F27CF"/>
    <w:rsid w:val="006F2EEE"/>
    <w:rsid w:val="006F419D"/>
    <w:rsid w:val="006F46BD"/>
    <w:rsid w:val="006F49B5"/>
    <w:rsid w:val="006F53C5"/>
    <w:rsid w:val="006F6446"/>
    <w:rsid w:val="006F7CD5"/>
    <w:rsid w:val="007004C7"/>
    <w:rsid w:val="00701928"/>
    <w:rsid w:val="00701940"/>
    <w:rsid w:val="0070293A"/>
    <w:rsid w:val="007041E8"/>
    <w:rsid w:val="0070421B"/>
    <w:rsid w:val="0070433D"/>
    <w:rsid w:val="007048C9"/>
    <w:rsid w:val="00704D41"/>
    <w:rsid w:val="007056E3"/>
    <w:rsid w:val="007065C3"/>
    <w:rsid w:val="007065FE"/>
    <w:rsid w:val="00706AF8"/>
    <w:rsid w:val="00706CF8"/>
    <w:rsid w:val="007074EB"/>
    <w:rsid w:val="007076D5"/>
    <w:rsid w:val="007101A2"/>
    <w:rsid w:val="00710F1D"/>
    <w:rsid w:val="0071110F"/>
    <w:rsid w:val="0071198A"/>
    <w:rsid w:val="00712A29"/>
    <w:rsid w:val="00712BF4"/>
    <w:rsid w:val="007132B7"/>
    <w:rsid w:val="00713335"/>
    <w:rsid w:val="007146E7"/>
    <w:rsid w:val="00715C95"/>
    <w:rsid w:val="00715FAA"/>
    <w:rsid w:val="00716143"/>
    <w:rsid w:val="00716AF8"/>
    <w:rsid w:val="0071770C"/>
    <w:rsid w:val="00717F49"/>
    <w:rsid w:val="00720138"/>
    <w:rsid w:val="00720583"/>
    <w:rsid w:val="007206D1"/>
    <w:rsid w:val="00720797"/>
    <w:rsid w:val="00720828"/>
    <w:rsid w:val="00720AEB"/>
    <w:rsid w:val="0072211A"/>
    <w:rsid w:val="00722ED8"/>
    <w:rsid w:val="00722F8B"/>
    <w:rsid w:val="00723351"/>
    <w:rsid w:val="007243B4"/>
    <w:rsid w:val="00725B41"/>
    <w:rsid w:val="00727FB1"/>
    <w:rsid w:val="0073031E"/>
    <w:rsid w:val="00730ABD"/>
    <w:rsid w:val="00731202"/>
    <w:rsid w:val="00731CDA"/>
    <w:rsid w:val="007324DA"/>
    <w:rsid w:val="0073544A"/>
    <w:rsid w:val="00735554"/>
    <w:rsid w:val="007358E2"/>
    <w:rsid w:val="00735D1C"/>
    <w:rsid w:val="007360E6"/>
    <w:rsid w:val="007369C4"/>
    <w:rsid w:val="0073730F"/>
    <w:rsid w:val="00740DC7"/>
    <w:rsid w:val="0074161F"/>
    <w:rsid w:val="007420B2"/>
    <w:rsid w:val="00743A9A"/>
    <w:rsid w:val="00747A40"/>
    <w:rsid w:val="00747B37"/>
    <w:rsid w:val="0074CCCF"/>
    <w:rsid w:val="00750B59"/>
    <w:rsid w:val="00753D53"/>
    <w:rsid w:val="0075449C"/>
    <w:rsid w:val="0075457E"/>
    <w:rsid w:val="00755532"/>
    <w:rsid w:val="00756AD2"/>
    <w:rsid w:val="00757937"/>
    <w:rsid w:val="00757CCA"/>
    <w:rsid w:val="00757D12"/>
    <w:rsid w:val="00760349"/>
    <w:rsid w:val="007608A0"/>
    <w:rsid w:val="00761E73"/>
    <w:rsid w:val="0076242F"/>
    <w:rsid w:val="007630EC"/>
    <w:rsid w:val="007646A1"/>
    <w:rsid w:val="00766094"/>
    <w:rsid w:val="007661FC"/>
    <w:rsid w:val="00766D8B"/>
    <w:rsid w:val="00767159"/>
    <w:rsid w:val="00771AD4"/>
    <w:rsid w:val="007727B1"/>
    <w:rsid w:val="00774BE3"/>
    <w:rsid w:val="0077510D"/>
    <w:rsid w:val="00775684"/>
    <w:rsid w:val="0077695F"/>
    <w:rsid w:val="00777201"/>
    <w:rsid w:val="00777424"/>
    <w:rsid w:val="00777C78"/>
    <w:rsid w:val="0078016D"/>
    <w:rsid w:val="00780FF8"/>
    <w:rsid w:val="00781467"/>
    <w:rsid w:val="007814B7"/>
    <w:rsid w:val="00781FE0"/>
    <w:rsid w:val="00783757"/>
    <w:rsid w:val="007842AF"/>
    <w:rsid w:val="00784463"/>
    <w:rsid w:val="00786BE9"/>
    <w:rsid w:val="00787688"/>
    <w:rsid w:val="00792192"/>
    <w:rsid w:val="00793955"/>
    <w:rsid w:val="007941F5"/>
    <w:rsid w:val="00795510"/>
    <w:rsid w:val="007955D7"/>
    <w:rsid w:val="00796E90"/>
    <w:rsid w:val="00797C4F"/>
    <w:rsid w:val="007A04D0"/>
    <w:rsid w:val="007A29FB"/>
    <w:rsid w:val="007A3425"/>
    <w:rsid w:val="007A3E59"/>
    <w:rsid w:val="007A3EFF"/>
    <w:rsid w:val="007A4AD7"/>
    <w:rsid w:val="007A772A"/>
    <w:rsid w:val="007B0083"/>
    <w:rsid w:val="007B009A"/>
    <w:rsid w:val="007B02C1"/>
    <w:rsid w:val="007B0682"/>
    <w:rsid w:val="007B0ABD"/>
    <w:rsid w:val="007B10D0"/>
    <w:rsid w:val="007B18C0"/>
    <w:rsid w:val="007B1A39"/>
    <w:rsid w:val="007B1A9F"/>
    <w:rsid w:val="007B40EC"/>
    <w:rsid w:val="007B4169"/>
    <w:rsid w:val="007B41CD"/>
    <w:rsid w:val="007B4C3A"/>
    <w:rsid w:val="007B53CF"/>
    <w:rsid w:val="007B6249"/>
    <w:rsid w:val="007C0FBA"/>
    <w:rsid w:val="007C19BE"/>
    <w:rsid w:val="007C20F0"/>
    <w:rsid w:val="007C409E"/>
    <w:rsid w:val="007C4245"/>
    <w:rsid w:val="007C613C"/>
    <w:rsid w:val="007C665F"/>
    <w:rsid w:val="007C66C4"/>
    <w:rsid w:val="007C6C42"/>
    <w:rsid w:val="007D3311"/>
    <w:rsid w:val="007D39CA"/>
    <w:rsid w:val="007D42D3"/>
    <w:rsid w:val="007D4502"/>
    <w:rsid w:val="007D5119"/>
    <w:rsid w:val="007D5138"/>
    <w:rsid w:val="007D5F28"/>
    <w:rsid w:val="007D6366"/>
    <w:rsid w:val="007D6E03"/>
    <w:rsid w:val="007E0254"/>
    <w:rsid w:val="007E3E1B"/>
    <w:rsid w:val="007E4A8B"/>
    <w:rsid w:val="007E61A9"/>
    <w:rsid w:val="007E7812"/>
    <w:rsid w:val="007F06AE"/>
    <w:rsid w:val="007F0735"/>
    <w:rsid w:val="007F0CFF"/>
    <w:rsid w:val="007F12D0"/>
    <w:rsid w:val="007F26CB"/>
    <w:rsid w:val="007F2A17"/>
    <w:rsid w:val="007F3658"/>
    <w:rsid w:val="007F3B02"/>
    <w:rsid w:val="007F3FCC"/>
    <w:rsid w:val="007F4BD6"/>
    <w:rsid w:val="007F4E0D"/>
    <w:rsid w:val="007F66CD"/>
    <w:rsid w:val="007F7281"/>
    <w:rsid w:val="007F7297"/>
    <w:rsid w:val="007F757D"/>
    <w:rsid w:val="007F78CE"/>
    <w:rsid w:val="007F7921"/>
    <w:rsid w:val="007F7B53"/>
    <w:rsid w:val="007F7B60"/>
    <w:rsid w:val="0080061D"/>
    <w:rsid w:val="008006B5"/>
    <w:rsid w:val="00801485"/>
    <w:rsid w:val="00802410"/>
    <w:rsid w:val="00802BA3"/>
    <w:rsid w:val="008045B7"/>
    <w:rsid w:val="00804B4A"/>
    <w:rsid w:val="008051DC"/>
    <w:rsid w:val="00805848"/>
    <w:rsid w:val="00805B81"/>
    <w:rsid w:val="00806C87"/>
    <w:rsid w:val="00807E2C"/>
    <w:rsid w:val="008105F9"/>
    <w:rsid w:val="00810718"/>
    <w:rsid w:val="0081169B"/>
    <w:rsid w:val="00811A99"/>
    <w:rsid w:val="00812403"/>
    <w:rsid w:val="008126B1"/>
    <w:rsid w:val="00813EA9"/>
    <w:rsid w:val="00815BCF"/>
    <w:rsid w:val="008163B9"/>
    <w:rsid w:val="0081674F"/>
    <w:rsid w:val="00820093"/>
    <w:rsid w:val="00820306"/>
    <w:rsid w:val="00820748"/>
    <w:rsid w:val="008233F7"/>
    <w:rsid w:val="008236F7"/>
    <w:rsid w:val="00824C07"/>
    <w:rsid w:val="00824D7E"/>
    <w:rsid w:val="00825633"/>
    <w:rsid w:val="00825DAA"/>
    <w:rsid w:val="00826147"/>
    <w:rsid w:val="0082645A"/>
    <w:rsid w:val="00827818"/>
    <w:rsid w:val="00827C59"/>
    <w:rsid w:val="00827D3A"/>
    <w:rsid w:val="00827DED"/>
    <w:rsid w:val="00830A3B"/>
    <w:rsid w:val="00831891"/>
    <w:rsid w:val="00831FC5"/>
    <w:rsid w:val="00832BC9"/>
    <w:rsid w:val="008338B0"/>
    <w:rsid w:val="00834949"/>
    <w:rsid w:val="00834D29"/>
    <w:rsid w:val="008353DB"/>
    <w:rsid w:val="008356D7"/>
    <w:rsid w:val="00835CF9"/>
    <w:rsid w:val="00836BD0"/>
    <w:rsid w:val="008412EC"/>
    <w:rsid w:val="00842536"/>
    <w:rsid w:val="00843908"/>
    <w:rsid w:val="00843EC5"/>
    <w:rsid w:val="00844F4B"/>
    <w:rsid w:val="00845C8D"/>
    <w:rsid w:val="008462B7"/>
    <w:rsid w:val="0084664D"/>
    <w:rsid w:val="00846C94"/>
    <w:rsid w:val="00847018"/>
    <w:rsid w:val="008476A5"/>
    <w:rsid w:val="00847772"/>
    <w:rsid w:val="0085031C"/>
    <w:rsid w:val="00852195"/>
    <w:rsid w:val="00853FCB"/>
    <w:rsid w:val="0085544B"/>
    <w:rsid w:val="0085568E"/>
    <w:rsid w:val="00856E7A"/>
    <w:rsid w:val="0085710B"/>
    <w:rsid w:val="008573BD"/>
    <w:rsid w:val="00860290"/>
    <w:rsid w:val="008606EA"/>
    <w:rsid w:val="0086100F"/>
    <w:rsid w:val="008612A8"/>
    <w:rsid w:val="00861EF3"/>
    <w:rsid w:val="008620B0"/>
    <w:rsid w:val="008644AE"/>
    <w:rsid w:val="00866B27"/>
    <w:rsid w:val="008674A2"/>
    <w:rsid w:val="00867A80"/>
    <w:rsid w:val="00871220"/>
    <w:rsid w:val="00871E2B"/>
    <w:rsid w:val="00872A7A"/>
    <w:rsid w:val="00873B1C"/>
    <w:rsid w:val="00873D57"/>
    <w:rsid w:val="00874D04"/>
    <w:rsid w:val="008753B2"/>
    <w:rsid w:val="008779E3"/>
    <w:rsid w:val="00877F28"/>
    <w:rsid w:val="00877FA3"/>
    <w:rsid w:val="00880ED8"/>
    <w:rsid w:val="00880F86"/>
    <w:rsid w:val="008815BD"/>
    <w:rsid w:val="00882434"/>
    <w:rsid w:val="00883736"/>
    <w:rsid w:val="008839AF"/>
    <w:rsid w:val="00884771"/>
    <w:rsid w:val="008856E5"/>
    <w:rsid w:val="00885B99"/>
    <w:rsid w:val="00886406"/>
    <w:rsid w:val="00887579"/>
    <w:rsid w:val="008877FA"/>
    <w:rsid w:val="0089042C"/>
    <w:rsid w:val="0089169E"/>
    <w:rsid w:val="0089294F"/>
    <w:rsid w:val="00892B1A"/>
    <w:rsid w:val="00893C65"/>
    <w:rsid w:val="008941C1"/>
    <w:rsid w:val="00894A4A"/>
    <w:rsid w:val="00894A65"/>
    <w:rsid w:val="00895FBA"/>
    <w:rsid w:val="00896174"/>
    <w:rsid w:val="00896B0A"/>
    <w:rsid w:val="00896C63"/>
    <w:rsid w:val="0089741F"/>
    <w:rsid w:val="0089753B"/>
    <w:rsid w:val="008A1715"/>
    <w:rsid w:val="008A3013"/>
    <w:rsid w:val="008A3206"/>
    <w:rsid w:val="008A3846"/>
    <w:rsid w:val="008A40FA"/>
    <w:rsid w:val="008A4459"/>
    <w:rsid w:val="008A4999"/>
    <w:rsid w:val="008A656F"/>
    <w:rsid w:val="008A6676"/>
    <w:rsid w:val="008A6690"/>
    <w:rsid w:val="008A6AE3"/>
    <w:rsid w:val="008B296A"/>
    <w:rsid w:val="008B2AA8"/>
    <w:rsid w:val="008B2EA3"/>
    <w:rsid w:val="008B472A"/>
    <w:rsid w:val="008B49E2"/>
    <w:rsid w:val="008B56BB"/>
    <w:rsid w:val="008B6CA6"/>
    <w:rsid w:val="008B704E"/>
    <w:rsid w:val="008B7841"/>
    <w:rsid w:val="008C2256"/>
    <w:rsid w:val="008C27A0"/>
    <w:rsid w:val="008C2BCB"/>
    <w:rsid w:val="008C30FC"/>
    <w:rsid w:val="008C594E"/>
    <w:rsid w:val="008C5A03"/>
    <w:rsid w:val="008C5EBD"/>
    <w:rsid w:val="008C638A"/>
    <w:rsid w:val="008C71B6"/>
    <w:rsid w:val="008D117F"/>
    <w:rsid w:val="008D1860"/>
    <w:rsid w:val="008D1A18"/>
    <w:rsid w:val="008D1AE0"/>
    <w:rsid w:val="008D1B5B"/>
    <w:rsid w:val="008D2151"/>
    <w:rsid w:val="008D3B53"/>
    <w:rsid w:val="008D419C"/>
    <w:rsid w:val="008D4425"/>
    <w:rsid w:val="008D490F"/>
    <w:rsid w:val="008D51A9"/>
    <w:rsid w:val="008D629E"/>
    <w:rsid w:val="008D7677"/>
    <w:rsid w:val="008D7DBE"/>
    <w:rsid w:val="008E1D7A"/>
    <w:rsid w:val="008E2067"/>
    <w:rsid w:val="008E341D"/>
    <w:rsid w:val="008E3608"/>
    <w:rsid w:val="008E3EBF"/>
    <w:rsid w:val="008E43F0"/>
    <w:rsid w:val="008E453C"/>
    <w:rsid w:val="008E45DF"/>
    <w:rsid w:val="008E57DC"/>
    <w:rsid w:val="008E634B"/>
    <w:rsid w:val="008E7156"/>
    <w:rsid w:val="008E7948"/>
    <w:rsid w:val="008F0DF3"/>
    <w:rsid w:val="008F1284"/>
    <w:rsid w:val="008F194D"/>
    <w:rsid w:val="008F1E55"/>
    <w:rsid w:val="008F36A2"/>
    <w:rsid w:val="008F3708"/>
    <w:rsid w:val="008F5A61"/>
    <w:rsid w:val="008F613C"/>
    <w:rsid w:val="008F6901"/>
    <w:rsid w:val="008F6B4D"/>
    <w:rsid w:val="008F743F"/>
    <w:rsid w:val="008F760D"/>
    <w:rsid w:val="008F791F"/>
    <w:rsid w:val="00900284"/>
    <w:rsid w:val="00900A8E"/>
    <w:rsid w:val="009013D8"/>
    <w:rsid w:val="009017F0"/>
    <w:rsid w:val="009026A2"/>
    <w:rsid w:val="009030EE"/>
    <w:rsid w:val="00903228"/>
    <w:rsid w:val="00903E32"/>
    <w:rsid w:val="009050EA"/>
    <w:rsid w:val="009104C2"/>
    <w:rsid w:val="009109D9"/>
    <w:rsid w:val="00911713"/>
    <w:rsid w:val="00911DE3"/>
    <w:rsid w:val="00912C6B"/>
    <w:rsid w:val="00912EE8"/>
    <w:rsid w:val="00913235"/>
    <w:rsid w:val="00913D98"/>
    <w:rsid w:val="0091438D"/>
    <w:rsid w:val="009148B6"/>
    <w:rsid w:val="00915752"/>
    <w:rsid w:val="00921B34"/>
    <w:rsid w:val="00922A44"/>
    <w:rsid w:val="0092692A"/>
    <w:rsid w:val="0092D887"/>
    <w:rsid w:val="00933524"/>
    <w:rsid w:val="00933F95"/>
    <w:rsid w:val="009342BD"/>
    <w:rsid w:val="00935501"/>
    <w:rsid w:val="00935805"/>
    <w:rsid w:val="00935ADF"/>
    <w:rsid w:val="00935C8C"/>
    <w:rsid w:val="00936947"/>
    <w:rsid w:val="00936DF1"/>
    <w:rsid w:val="0093793B"/>
    <w:rsid w:val="0094059F"/>
    <w:rsid w:val="00941914"/>
    <w:rsid w:val="00941DC9"/>
    <w:rsid w:val="009434F7"/>
    <w:rsid w:val="009439C1"/>
    <w:rsid w:val="00943F51"/>
    <w:rsid w:val="00946679"/>
    <w:rsid w:val="00947D10"/>
    <w:rsid w:val="009501FD"/>
    <w:rsid w:val="00950524"/>
    <w:rsid w:val="009508F4"/>
    <w:rsid w:val="00952133"/>
    <w:rsid w:val="0095224C"/>
    <w:rsid w:val="00952C25"/>
    <w:rsid w:val="00953332"/>
    <w:rsid w:val="00953D53"/>
    <w:rsid w:val="00954937"/>
    <w:rsid w:val="00955BBA"/>
    <w:rsid w:val="00955E64"/>
    <w:rsid w:val="00960256"/>
    <w:rsid w:val="0096041E"/>
    <w:rsid w:val="009621DF"/>
    <w:rsid w:val="009627FA"/>
    <w:rsid w:val="00962C0C"/>
    <w:rsid w:val="00963915"/>
    <w:rsid w:val="0096473C"/>
    <w:rsid w:val="00964C63"/>
    <w:rsid w:val="009653B0"/>
    <w:rsid w:val="00967980"/>
    <w:rsid w:val="00971111"/>
    <w:rsid w:val="0097310A"/>
    <w:rsid w:val="00973778"/>
    <w:rsid w:val="00973A4E"/>
    <w:rsid w:val="00980AEA"/>
    <w:rsid w:val="00981998"/>
    <w:rsid w:val="00982DC0"/>
    <w:rsid w:val="00984F63"/>
    <w:rsid w:val="00985B62"/>
    <w:rsid w:val="00986A3A"/>
    <w:rsid w:val="00986C0E"/>
    <w:rsid w:val="00987280"/>
    <w:rsid w:val="00987539"/>
    <w:rsid w:val="0099050D"/>
    <w:rsid w:val="00990EBA"/>
    <w:rsid w:val="00991379"/>
    <w:rsid w:val="00991837"/>
    <w:rsid w:val="00991A38"/>
    <w:rsid w:val="00991E20"/>
    <w:rsid w:val="00992202"/>
    <w:rsid w:val="0099426C"/>
    <w:rsid w:val="00994F6A"/>
    <w:rsid w:val="009952AC"/>
    <w:rsid w:val="0099630C"/>
    <w:rsid w:val="00996FDA"/>
    <w:rsid w:val="009A0162"/>
    <w:rsid w:val="009A02F4"/>
    <w:rsid w:val="009A16A3"/>
    <w:rsid w:val="009A24A2"/>
    <w:rsid w:val="009A2CCB"/>
    <w:rsid w:val="009A3AC2"/>
    <w:rsid w:val="009A4950"/>
    <w:rsid w:val="009A581A"/>
    <w:rsid w:val="009A62D2"/>
    <w:rsid w:val="009A7394"/>
    <w:rsid w:val="009B046C"/>
    <w:rsid w:val="009B0843"/>
    <w:rsid w:val="009B0FF0"/>
    <w:rsid w:val="009B1ADC"/>
    <w:rsid w:val="009B22A7"/>
    <w:rsid w:val="009B367D"/>
    <w:rsid w:val="009B434A"/>
    <w:rsid w:val="009B7F32"/>
    <w:rsid w:val="009C1719"/>
    <w:rsid w:val="009C2901"/>
    <w:rsid w:val="009C2CBA"/>
    <w:rsid w:val="009C353B"/>
    <w:rsid w:val="009C3697"/>
    <w:rsid w:val="009C55B9"/>
    <w:rsid w:val="009C7451"/>
    <w:rsid w:val="009C78A4"/>
    <w:rsid w:val="009C7991"/>
    <w:rsid w:val="009D003B"/>
    <w:rsid w:val="009D2006"/>
    <w:rsid w:val="009D205C"/>
    <w:rsid w:val="009D21C3"/>
    <w:rsid w:val="009D2812"/>
    <w:rsid w:val="009D2C2A"/>
    <w:rsid w:val="009D32B4"/>
    <w:rsid w:val="009D3467"/>
    <w:rsid w:val="009D4825"/>
    <w:rsid w:val="009D4873"/>
    <w:rsid w:val="009D640F"/>
    <w:rsid w:val="009D64F6"/>
    <w:rsid w:val="009D6E77"/>
    <w:rsid w:val="009D7277"/>
    <w:rsid w:val="009D73B9"/>
    <w:rsid w:val="009D7EFB"/>
    <w:rsid w:val="009E0211"/>
    <w:rsid w:val="009E2DD5"/>
    <w:rsid w:val="009E30C1"/>
    <w:rsid w:val="009E32F7"/>
    <w:rsid w:val="009E405F"/>
    <w:rsid w:val="009E4CE0"/>
    <w:rsid w:val="009E58B5"/>
    <w:rsid w:val="009E5C52"/>
    <w:rsid w:val="009E5DDA"/>
    <w:rsid w:val="009E6017"/>
    <w:rsid w:val="009E74C0"/>
    <w:rsid w:val="009E7684"/>
    <w:rsid w:val="009E7EA8"/>
    <w:rsid w:val="009F006F"/>
    <w:rsid w:val="009F0633"/>
    <w:rsid w:val="009F1FE9"/>
    <w:rsid w:val="009F215E"/>
    <w:rsid w:val="009F3207"/>
    <w:rsid w:val="009F38E1"/>
    <w:rsid w:val="009F42D8"/>
    <w:rsid w:val="009F6124"/>
    <w:rsid w:val="009F6AD5"/>
    <w:rsid w:val="009F6B98"/>
    <w:rsid w:val="009F733E"/>
    <w:rsid w:val="009F74C4"/>
    <w:rsid w:val="00A01204"/>
    <w:rsid w:val="00A02C0B"/>
    <w:rsid w:val="00A04C0D"/>
    <w:rsid w:val="00A04E91"/>
    <w:rsid w:val="00A0550B"/>
    <w:rsid w:val="00A05BC0"/>
    <w:rsid w:val="00A06A19"/>
    <w:rsid w:val="00A06AC9"/>
    <w:rsid w:val="00A070BF"/>
    <w:rsid w:val="00A078A3"/>
    <w:rsid w:val="00A10B71"/>
    <w:rsid w:val="00A1226A"/>
    <w:rsid w:val="00A1538E"/>
    <w:rsid w:val="00A15B62"/>
    <w:rsid w:val="00A16DEB"/>
    <w:rsid w:val="00A17733"/>
    <w:rsid w:val="00A17DFE"/>
    <w:rsid w:val="00A17E9A"/>
    <w:rsid w:val="00A20ABB"/>
    <w:rsid w:val="00A20E85"/>
    <w:rsid w:val="00A21951"/>
    <w:rsid w:val="00A22898"/>
    <w:rsid w:val="00A24C46"/>
    <w:rsid w:val="00A24F89"/>
    <w:rsid w:val="00A25416"/>
    <w:rsid w:val="00A25B2F"/>
    <w:rsid w:val="00A25D3A"/>
    <w:rsid w:val="00A25F9A"/>
    <w:rsid w:val="00A2617B"/>
    <w:rsid w:val="00A261BA"/>
    <w:rsid w:val="00A267AD"/>
    <w:rsid w:val="00A26809"/>
    <w:rsid w:val="00A274CF"/>
    <w:rsid w:val="00A275BD"/>
    <w:rsid w:val="00A30E3C"/>
    <w:rsid w:val="00A326E2"/>
    <w:rsid w:val="00A336F2"/>
    <w:rsid w:val="00A33E6F"/>
    <w:rsid w:val="00A34C8C"/>
    <w:rsid w:val="00A34D5C"/>
    <w:rsid w:val="00A35180"/>
    <w:rsid w:val="00A365DD"/>
    <w:rsid w:val="00A370FA"/>
    <w:rsid w:val="00A378BC"/>
    <w:rsid w:val="00A40607"/>
    <w:rsid w:val="00A41DC4"/>
    <w:rsid w:val="00A42FDA"/>
    <w:rsid w:val="00A431AF"/>
    <w:rsid w:val="00A44884"/>
    <w:rsid w:val="00A44986"/>
    <w:rsid w:val="00A462ED"/>
    <w:rsid w:val="00A4635F"/>
    <w:rsid w:val="00A465AC"/>
    <w:rsid w:val="00A5004E"/>
    <w:rsid w:val="00A503B8"/>
    <w:rsid w:val="00A51796"/>
    <w:rsid w:val="00A5250C"/>
    <w:rsid w:val="00A5256B"/>
    <w:rsid w:val="00A5337F"/>
    <w:rsid w:val="00A53A0E"/>
    <w:rsid w:val="00A54BDD"/>
    <w:rsid w:val="00A55D3E"/>
    <w:rsid w:val="00A609D0"/>
    <w:rsid w:val="00A60AB3"/>
    <w:rsid w:val="00A61078"/>
    <w:rsid w:val="00A615E8"/>
    <w:rsid w:val="00A62895"/>
    <w:rsid w:val="00A62BBA"/>
    <w:rsid w:val="00A62C2E"/>
    <w:rsid w:val="00A62D61"/>
    <w:rsid w:val="00A64817"/>
    <w:rsid w:val="00A65089"/>
    <w:rsid w:val="00A659FA"/>
    <w:rsid w:val="00A66BD2"/>
    <w:rsid w:val="00A678AF"/>
    <w:rsid w:val="00A71169"/>
    <w:rsid w:val="00A713B5"/>
    <w:rsid w:val="00A71A37"/>
    <w:rsid w:val="00A727C0"/>
    <w:rsid w:val="00A72B39"/>
    <w:rsid w:val="00A733BD"/>
    <w:rsid w:val="00A73D73"/>
    <w:rsid w:val="00A7599C"/>
    <w:rsid w:val="00A76A0B"/>
    <w:rsid w:val="00A80B16"/>
    <w:rsid w:val="00A80CBF"/>
    <w:rsid w:val="00A8149F"/>
    <w:rsid w:val="00A829D3"/>
    <w:rsid w:val="00A82BBC"/>
    <w:rsid w:val="00A8316C"/>
    <w:rsid w:val="00A84A71"/>
    <w:rsid w:val="00A85F31"/>
    <w:rsid w:val="00A87228"/>
    <w:rsid w:val="00A875FC"/>
    <w:rsid w:val="00A87AC3"/>
    <w:rsid w:val="00A87E5A"/>
    <w:rsid w:val="00A87E84"/>
    <w:rsid w:val="00A90015"/>
    <w:rsid w:val="00A9020B"/>
    <w:rsid w:val="00A90222"/>
    <w:rsid w:val="00A90D2F"/>
    <w:rsid w:val="00A91DB9"/>
    <w:rsid w:val="00A9349B"/>
    <w:rsid w:val="00A9371D"/>
    <w:rsid w:val="00A966B0"/>
    <w:rsid w:val="00A96DEC"/>
    <w:rsid w:val="00A9727D"/>
    <w:rsid w:val="00AA0B69"/>
    <w:rsid w:val="00AA2C1C"/>
    <w:rsid w:val="00AA2C89"/>
    <w:rsid w:val="00AA6424"/>
    <w:rsid w:val="00AA6681"/>
    <w:rsid w:val="00AB0A50"/>
    <w:rsid w:val="00AB0CB0"/>
    <w:rsid w:val="00AB41C6"/>
    <w:rsid w:val="00AB4872"/>
    <w:rsid w:val="00AB4918"/>
    <w:rsid w:val="00AB6C85"/>
    <w:rsid w:val="00AB7092"/>
    <w:rsid w:val="00AC0CA4"/>
    <w:rsid w:val="00AC1321"/>
    <w:rsid w:val="00AC15D1"/>
    <w:rsid w:val="00AC385F"/>
    <w:rsid w:val="00AC5056"/>
    <w:rsid w:val="00AC5371"/>
    <w:rsid w:val="00AC53B5"/>
    <w:rsid w:val="00AC651C"/>
    <w:rsid w:val="00AC73E2"/>
    <w:rsid w:val="00AD0089"/>
    <w:rsid w:val="00AD06AD"/>
    <w:rsid w:val="00AD220F"/>
    <w:rsid w:val="00AD3B20"/>
    <w:rsid w:val="00AD3C4F"/>
    <w:rsid w:val="00AD4EC9"/>
    <w:rsid w:val="00AD4FFF"/>
    <w:rsid w:val="00AD599D"/>
    <w:rsid w:val="00AD65D7"/>
    <w:rsid w:val="00AD700A"/>
    <w:rsid w:val="00AE1AF8"/>
    <w:rsid w:val="00AE248D"/>
    <w:rsid w:val="00AE2B0C"/>
    <w:rsid w:val="00AE2F8E"/>
    <w:rsid w:val="00AE35FC"/>
    <w:rsid w:val="00AE62E2"/>
    <w:rsid w:val="00AE63DB"/>
    <w:rsid w:val="00AE7572"/>
    <w:rsid w:val="00AF01BB"/>
    <w:rsid w:val="00AF0B22"/>
    <w:rsid w:val="00AF0D92"/>
    <w:rsid w:val="00AF14C2"/>
    <w:rsid w:val="00AF278C"/>
    <w:rsid w:val="00AF51BA"/>
    <w:rsid w:val="00AF5868"/>
    <w:rsid w:val="00AF5C66"/>
    <w:rsid w:val="00AF5E66"/>
    <w:rsid w:val="00AF6526"/>
    <w:rsid w:val="00AF653F"/>
    <w:rsid w:val="00AF6F02"/>
    <w:rsid w:val="00AF7B9A"/>
    <w:rsid w:val="00B00014"/>
    <w:rsid w:val="00B01353"/>
    <w:rsid w:val="00B03039"/>
    <w:rsid w:val="00B033FB"/>
    <w:rsid w:val="00B03EF1"/>
    <w:rsid w:val="00B052F1"/>
    <w:rsid w:val="00B05711"/>
    <w:rsid w:val="00B05CE4"/>
    <w:rsid w:val="00B12253"/>
    <w:rsid w:val="00B1353C"/>
    <w:rsid w:val="00B14A3D"/>
    <w:rsid w:val="00B14F6E"/>
    <w:rsid w:val="00B156B1"/>
    <w:rsid w:val="00B15AC6"/>
    <w:rsid w:val="00B1673B"/>
    <w:rsid w:val="00B2073F"/>
    <w:rsid w:val="00B21984"/>
    <w:rsid w:val="00B232C2"/>
    <w:rsid w:val="00B23709"/>
    <w:rsid w:val="00B23710"/>
    <w:rsid w:val="00B24823"/>
    <w:rsid w:val="00B25966"/>
    <w:rsid w:val="00B25B15"/>
    <w:rsid w:val="00B260A4"/>
    <w:rsid w:val="00B3024A"/>
    <w:rsid w:val="00B30D14"/>
    <w:rsid w:val="00B310E5"/>
    <w:rsid w:val="00B311FF"/>
    <w:rsid w:val="00B32C6E"/>
    <w:rsid w:val="00B34997"/>
    <w:rsid w:val="00B364C7"/>
    <w:rsid w:val="00B36998"/>
    <w:rsid w:val="00B36B0A"/>
    <w:rsid w:val="00B371CF"/>
    <w:rsid w:val="00B37C53"/>
    <w:rsid w:val="00B4015E"/>
    <w:rsid w:val="00B40363"/>
    <w:rsid w:val="00B4107B"/>
    <w:rsid w:val="00B41B16"/>
    <w:rsid w:val="00B42119"/>
    <w:rsid w:val="00B4487B"/>
    <w:rsid w:val="00B450C1"/>
    <w:rsid w:val="00B45340"/>
    <w:rsid w:val="00B45D26"/>
    <w:rsid w:val="00B47FBE"/>
    <w:rsid w:val="00B5381F"/>
    <w:rsid w:val="00B53ACB"/>
    <w:rsid w:val="00B53E3B"/>
    <w:rsid w:val="00B54415"/>
    <w:rsid w:val="00B54A80"/>
    <w:rsid w:val="00B55070"/>
    <w:rsid w:val="00B55BC0"/>
    <w:rsid w:val="00B56FC5"/>
    <w:rsid w:val="00B572B8"/>
    <w:rsid w:val="00B574AF"/>
    <w:rsid w:val="00B5750A"/>
    <w:rsid w:val="00B57678"/>
    <w:rsid w:val="00B57744"/>
    <w:rsid w:val="00B6124A"/>
    <w:rsid w:val="00B614FA"/>
    <w:rsid w:val="00B62A6D"/>
    <w:rsid w:val="00B6347D"/>
    <w:rsid w:val="00B637D7"/>
    <w:rsid w:val="00B659B9"/>
    <w:rsid w:val="00B65BD6"/>
    <w:rsid w:val="00B6736C"/>
    <w:rsid w:val="00B67F8F"/>
    <w:rsid w:val="00B70006"/>
    <w:rsid w:val="00B70E5C"/>
    <w:rsid w:val="00B71C01"/>
    <w:rsid w:val="00B71C5E"/>
    <w:rsid w:val="00B72FFD"/>
    <w:rsid w:val="00B746B0"/>
    <w:rsid w:val="00B74740"/>
    <w:rsid w:val="00B74A19"/>
    <w:rsid w:val="00B752A6"/>
    <w:rsid w:val="00B7693C"/>
    <w:rsid w:val="00B76AEB"/>
    <w:rsid w:val="00B778F4"/>
    <w:rsid w:val="00B77A07"/>
    <w:rsid w:val="00B77E86"/>
    <w:rsid w:val="00B80CFF"/>
    <w:rsid w:val="00B85249"/>
    <w:rsid w:val="00B85533"/>
    <w:rsid w:val="00B875F3"/>
    <w:rsid w:val="00B875FA"/>
    <w:rsid w:val="00B87D69"/>
    <w:rsid w:val="00B90139"/>
    <w:rsid w:val="00B903FF"/>
    <w:rsid w:val="00B90759"/>
    <w:rsid w:val="00B90F32"/>
    <w:rsid w:val="00B91E98"/>
    <w:rsid w:val="00B9204D"/>
    <w:rsid w:val="00B92938"/>
    <w:rsid w:val="00B93BCD"/>
    <w:rsid w:val="00B942C1"/>
    <w:rsid w:val="00B94589"/>
    <w:rsid w:val="00B94FDC"/>
    <w:rsid w:val="00B95A34"/>
    <w:rsid w:val="00B95E29"/>
    <w:rsid w:val="00B96627"/>
    <w:rsid w:val="00B9685B"/>
    <w:rsid w:val="00B97D2B"/>
    <w:rsid w:val="00BA2B74"/>
    <w:rsid w:val="00BA45BC"/>
    <w:rsid w:val="00BA6A48"/>
    <w:rsid w:val="00BA6D13"/>
    <w:rsid w:val="00BA6EC3"/>
    <w:rsid w:val="00BA7857"/>
    <w:rsid w:val="00BA7EBF"/>
    <w:rsid w:val="00BB004F"/>
    <w:rsid w:val="00BB3F4C"/>
    <w:rsid w:val="00BB452A"/>
    <w:rsid w:val="00BB5993"/>
    <w:rsid w:val="00BB6516"/>
    <w:rsid w:val="00BB70A1"/>
    <w:rsid w:val="00BB72B5"/>
    <w:rsid w:val="00BC16E7"/>
    <w:rsid w:val="00BC22DA"/>
    <w:rsid w:val="00BC2571"/>
    <w:rsid w:val="00BC3DEA"/>
    <w:rsid w:val="00BC3F27"/>
    <w:rsid w:val="00BD01A0"/>
    <w:rsid w:val="00BD1188"/>
    <w:rsid w:val="00BD136A"/>
    <w:rsid w:val="00BD139D"/>
    <w:rsid w:val="00BD182B"/>
    <w:rsid w:val="00BD1898"/>
    <w:rsid w:val="00BD1AB0"/>
    <w:rsid w:val="00BD3CE6"/>
    <w:rsid w:val="00BD3F92"/>
    <w:rsid w:val="00BD5C98"/>
    <w:rsid w:val="00BD6007"/>
    <w:rsid w:val="00BE0C44"/>
    <w:rsid w:val="00BE1A16"/>
    <w:rsid w:val="00BE2173"/>
    <w:rsid w:val="00BE2BE0"/>
    <w:rsid w:val="00BE3B0E"/>
    <w:rsid w:val="00BE4128"/>
    <w:rsid w:val="00BE50EB"/>
    <w:rsid w:val="00BE5461"/>
    <w:rsid w:val="00BE59C9"/>
    <w:rsid w:val="00BE5E14"/>
    <w:rsid w:val="00BE662B"/>
    <w:rsid w:val="00BE7524"/>
    <w:rsid w:val="00BE7A89"/>
    <w:rsid w:val="00BF0B85"/>
    <w:rsid w:val="00BF16E2"/>
    <w:rsid w:val="00BF251D"/>
    <w:rsid w:val="00BF2FBC"/>
    <w:rsid w:val="00BF49D2"/>
    <w:rsid w:val="00BF4CA8"/>
    <w:rsid w:val="00BF59D6"/>
    <w:rsid w:val="00BF5C13"/>
    <w:rsid w:val="00BF666A"/>
    <w:rsid w:val="00BF7CA5"/>
    <w:rsid w:val="00C00BBB"/>
    <w:rsid w:val="00C014C1"/>
    <w:rsid w:val="00C0442C"/>
    <w:rsid w:val="00C04ACA"/>
    <w:rsid w:val="00C0507A"/>
    <w:rsid w:val="00C06146"/>
    <w:rsid w:val="00C06686"/>
    <w:rsid w:val="00C06866"/>
    <w:rsid w:val="00C06B32"/>
    <w:rsid w:val="00C06BDB"/>
    <w:rsid w:val="00C06DD5"/>
    <w:rsid w:val="00C07389"/>
    <w:rsid w:val="00C102BE"/>
    <w:rsid w:val="00C1054E"/>
    <w:rsid w:val="00C121FE"/>
    <w:rsid w:val="00C1498D"/>
    <w:rsid w:val="00C14AA8"/>
    <w:rsid w:val="00C15EA6"/>
    <w:rsid w:val="00C16C3A"/>
    <w:rsid w:val="00C1760B"/>
    <w:rsid w:val="00C17A03"/>
    <w:rsid w:val="00C17A1E"/>
    <w:rsid w:val="00C20197"/>
    <w:rsid w:val="00C217A9"/>
    <w:rsid w:val="00C22252"/>
    <w:rsid w:val="00C227E3"/>
    <w:rsid w:val="00C23816"/>
    <w:rsid w:val="00C24566"/>
    <w:rsid w:val="00C26505"/>
    <w:rsid w:val="00C26C62"/>
    <w:rsid w:val="00C27C96"/>
    <w:rsid w:val="00C3074C"/>
    <w:rsid w:val="00C30F85"/>
    <w:rsid w:val="00C3161B"/>
    <w:rsid w:val="00C32468"/>
    <w:rsid w:val="00C328A8"/>
    <w:rsid w:val="00C32D46"/>
    <w:rsid w:val="00C32FB7"/>
    <w:rsid w:val="00C337FA"/>
    <w:rsid w:val="00C35171"/>
    <w:rsid w:val="00C37A9E"/>
    <w:rsid w:val="00C37ABF"/>
    <w:rsid w:val="00C37C4D"/>
    <w:rsid w:val="00C40085"/>
    <w:rsid w:val="00C40F7A"/>
    <w:rsid w:val="00C428B4"/>
    <w:rsid w:val="00C4316A"/>
    <w:rsid w:val="00C43C22"/>
    <w:rsid w:val="00C43D81"/>
    <w:rsid w:val="00C4469B"/>
    <w:rsid w:val="00C447EB"/>
    <w:rsid w:val="00C44AE9"/>
    <w:rsid w:val="00C4523B"/>
    <w:rsid w:val="00C4553B"/>
    <w:rsid w:val="00C45F26"/>
    <w:rsid w:val="00C46692"/>
    <w:rsid w:val="00C47A8D"/>
    <w:rsid w:val="00C47AB4"/>
    <w:rsid w:val="00C47EC0"/>
    <w:rsid w:val="00C506A4"/>
    <w:rsid w:val="00C50F41"/>
    <w:rsid w:val="00C51C61"/>
    <w:rsid w:val="00C51C6A"/>
    <w:rsid w:val="00C54563"/>
    <w:rsid w:val="00C5644B"/>
    <w:rsid w:val="00C5707C"/>
    <w:rsid w:val="00C57FAC"/>
    <w:rsid w:val="00C60F03"/>
    <w:rsid w:val="00C61512"/>
    <w:rsid w:val="00C61587"/>
    <w:rsid w:val="00C71999"/>
    <w:rsid w:val="00C72BD2"/>
    <w:rsid w:val="00C745B9"/>
    <w:rsid w:val="00C7628E"/>
    <w:rsid w:val="00C7633D"/>
    <w:rsid w:val="00C80040"/>
    <w:rsid w:val="00C804C5"/>
    <w:rsid w:val="00C80F0E"/>
    <w:rsid w:val="00C8103F"/>
    <w:rsid w:val="00C81165"/>
    <w:rsid w:val="00C81CB1"/>
    <w:rsid w:val="00C82A96"/>
    <w:rsid w:val="00C83168"/>
    <w:rsid w:val="00C8316E"/>
    <w:rsid w:val="00C8336C"/>
    <w:rsid w:val="00C84C37"/>
    <w:rsid w:val="00C8533E"/>
    <w:rsid w:val="00C85EF8"/>
    <w:rsid w:val="00C906FF"/>
    <w:rsid w:val="00C9097E"/>
    <w:rsid w:val="00C90F30"/>
    <w:rsid w:val="00C91844"/>
    <w:rsid w:val="00C91B58"/>
    <w:rsid w:val="00C92EDC"/>
    <w:rsid w:val="00C9339C"/>
    <w:rsid w:val="00C93DDF"/>
    <w:rsid w:val="00C94C61"/>
    <w:rsid w:val="00C94E07"/>
    <w:rsid w:val="00CA0712"/>
    <w:rsid w:val="00CA196B"/>
    <w:rsid w:val="00CA2A2E"/>
    <w:rsid w:val="00CA2AFA"/>
    <w:rsid w:val="00CA2CFB"/>
    <w:rsid w:val="00CA2FF5"/>
    <w:rsid w:val="00CA376A"/>
    <w:rsid w:val="00CA40B9"/>
    <w:rsid w:val="00CA47AE"/>
    <w:rsid w:val="00CA50F3"/>
    <w:rsid w:val="00CA62BA"/>
    <w:rsid w:val="00CA6B2E"/>
    <w:rsid w:val="00CA6C09"/>
    <w:rsid w:val="00CA704C"/>
    <w:rsid w:val="00CA732D"/>
    <w:rsid w:val="00CA7A6F"/>
    <w:rsid w:val="00CB1355"/>
    <w:rsid w:val="00CB1432"/>
    <w:rsid w:val="00CB1CCA"/>
    <w:rsid w:val="00CB31D2"/>
    <w:rsid w:val="00CB3B62"/>
    <w:rsid w:val="00CB3B68"/>
    <w:rsid w:val="00CB50B0"/>
    <w:rsid w:val="00CB5697"/>
    <w:rsid w:val="00CB5E95"/>
    <w:rsid w:val="00CC0188"/>
    <w:rsid w:val="00CC0939"/>
    <w:rsid w:val="00CC308E"/>
    <w:rsid w:val="00CC46B7"/>
    <w:rsid w:val="00CC4CBA"/>
    <w:rsid w:val="00CC5E74"/>
    <w:rsid w:val="00CC6FA6"/>
    <w:rsid w:val="00CD04F4"/>
    <w:rsid w:val="00CD1765"/>
    <w:rsid w:val="00CD17C0"/>
    <w:rsid w:val="00CD27EA"/>
    <w:rsid w:val="00CD2DA9"/>
    <w:rsid w:val="00CD3EF2"/>
    <w:rsid w:val="00CD44A1"/>
    <w:rsid w:val="00CD44AC"/>
    <w:rsid w:val="00CD4B8D"/>
    <w:rsid w:val="00CE0B48"/>
    <w:rsid w:val="00CE1A98"/>
    <w:rsid w:val="00CE23B7"/>
    <w:rsid w:val="00CE5215"/>
    <w:rsid w:val="00CE59C2"/>
    <w:rsid w:val="00CE5AFB"/>
    <w:rsid w:val="00CE7FA4"/>
    <w:rsid w:val="00CF06C3"/>
    <w:rsid w:val="00CF0C26"/>
    <w:rsid w:val="00CF45E6"/>
    <w:rsid w:val="00CF47D6"/>
    <w:rsid w:val="00CF4DF0"/>
    <w:rsid w:val="00CF5789"/>
    <w:rsid w:val="00D00901"/>
    <w:rsid w:val="00D00C6C"/>
    <w:rsid w:val="00D0114A"/>
    <w:rsid w:val="00D014DD"/>
    <w:rsid w:val="00D01783"/>
    <w:rsid w:val="00D02A26"/>
    <w:rsid w:val="00D03B41"/>
    <w:rsid w:val="00D045DF"/>
    <w:rsid w:val="00D055E9"/>
    <w:rsid w:val="00D05A53"/>
    <w:rsid w:val="00D05D10"/>
    <w:rsid w:val="00D07F44"/>
    <w:rsid w:val="00D10729"/>
    <w:rsid w:val="00D10919"/>
    <w:rsid w:val="00D10EB2"/>
    <w:rsid w:val="00D1117B"/>
    <w:rsid w:val="00D11392"/>
    <w:rsid w:val="00D12033"/>
    <w:rsid w:val="00D12403"/>
    <w:rsid w:val="00D1332D"/>
    <w:rsid w:val="00D136B7"/>
    <w:rsid w:val="00D13997"/>
    <w:rsid w:val="00D13B52"/>
    <w:rsid w:val="00D144DC"/>
    <w:rsid w:val="00D14EA9"/>
    <w:rsid w:val="00D168B8"/>
    <w:rsid w:val="00D16CC7"/>
    <w:rsid w:val="00D16D2D"/>
    <w:rsid w:val="00D20988"/>
    <w:rsid w:val="00D20E5E"/>
    <w:rsid w:val="00D219C4"/>
    <w:rsid w:val="00D22D4F"/>
    <w:rsid w:val="00D22FF3"/>
    <w:rsid w:val="00D23EA1"/>
    <w:rsid w:val="00D2432A"/>
    <w:rsid w:val="00D24566"/>
    <w:rsid w:val="00D260A6"/>
    <w:rsid w:val="00D2728B"/>
    <w:rsid w:val="00D27A88"/>
    <w:rsid w:val="00D27F5D"/>
    <w:rsid w:val="00D344B8"/>
    <w:rsid w:val="00D34DB9"/>
    <w:rsid w:val="00D35843"/>
    <w:rsid w:val="00D35DCB"/>
    <w:rsid w:val="00D37663"/>
    <w:rsid w:val="00D4007E"/>
    <w:rsid w:val="00D403E6"/>
    <w:rsid w:val="00D40517"/>
    <w:rsid w:val="00D40817"/>
    <w:rsid w:val="00D42E2F"/>
    <w:rsid w:val="00D4354D"/>
    <w:rsid w:val="00D44A27"/>
    <w:rsid w:val="00D45040"/>
    <w:rsid w:val="00D45106"/>
    <w:rsid w:val="00D45973"/>
    <w:rsid w:val="00D47D2C"/>
    <w:rsid w:val="00D501A3"/>
    <w:rsid w:val="00D5030D"/>
    <w:rsid w:val="00D50514"/>
    <w:rsid w:val="00D50FE7"/>
    <w:rsid w:val="00D51BE1"/>
    <w:rsid w:val="00D52323"/>
    <w:rsid w:val="00D52C0D"/>
    <w:rsid w:val="00D54ED0"/>
    <w:rsid w:val="00D56EF0"/>
    <w:rsid w:val="00D57A7D"/>
    <w:rsid w:val="00D611C4"/>
    <w:rsid w:val="00D61908"/>
    <w:rsid w:val="00D62012"/>
    <w:rsid w:val="00D646B2"/>
    <w:rsid w:val="00D64871"/>
    <w:rsid w:val="00D64A5E"/>
    <w:rsid w:val="00D65E6A"/>
    <w:rsid w:val="00D66923"/>
    <w:rsid w:val="00D67BC4"/>
    <w:rsid w:val="00D67DA1"/>
    <w:rsid w:val="00D70A53"/>
    <w:rsid w:val="00D70CC2"/>
    <w:rsid w:val="00D7127F"/>
    <w:rsid w:val="00D715E8"/>
    <w:rsid w:val="00D7261C"/>
    <w:rsid w:val="00D756A5"/>
    <w:rsid w:val="00D75963"/>
    <w:rsid w:val="00D760FC"/>
    <w:rsid w:val="00D763E4"/>
    <w:rsid w:val="00D77B5D"/>
    <w:rsid w:val="00D800E0"/>
    <w:rsid w:val="00D808D2"/>
    <w:rsid w:val="00D81DD4"/>
    <w:rsid w:val="00D83241"/>
    <w:rsid w:val="00D83290"/>
    <w:rsid w:val="00D83DBE"/>
    <w:rsid w:val="00D840E0"/>
    <w:rsid w:val="00D85DB2"/>
    <w:rsid w:val="00D8762F"/>
    <w:rsid w:val="00D91564"/>
    <w:rsid w:val="00D9199B"/>
    <w:rsid w:val="00D92444"/>
    <w:rsid w:val="00D935CE"/>
    <w:rsid w:val="00D94E85"/>
    <w:rsid w:val="00D94ECC"/>
    <w:rsid w:val="00D9590F"/>
    <w:rsid w:val="00D96B29"/>
    <w:rsid w:val="00D97830"/>
    <w:rsid w:val="00D97D45"/>
    <w:rsid w:val="00DA0F9E"/>
    <w:rsid w:val="00DA2890"/>
    <w:rsid w:val="00DA3A98"/>
    <w:rsid w:val="00DA4F31"/>
    <w:rsid w:val="00DA4FFE"/>
    <w:rsid w:val="00DA54CE"/>
    <w:rsid w:val="00DA680F"/>
    <w:rsid w:val="00DA717D"/>
    <w:rsid w:val="00DB0483"/>
    <w:rsid w:val="00DB0B15"/>
    <w:rsid w:val="00DB0C05"/>
    <w:rsid w:val="00DB23F0"/>
    <w:rsid w:val="00DB315B"/>
    <w:rsid w:val="00DB37F9"/>
    <w:rsid w:val="00DB3C1F"/>
    <w:rsid w:val="00DB4066"/>
    <w:rsid w:val="00DB4E43"/>
    <w:rsid w:val="00DB5F60"/>
    <w:rsid w:val="00DB5F88"/>
    <w:rsid w:val="00DB6AB7"/>
    <w:rsid w:val="00DB6BD3"/>
    <w:rsid w:val="00DB71F3"/>
    <w:rsid w:val="00DB794C"/>
    <w:rsid w:val="00DC1469"/>
    <w:rsid w:val="00DC1A8C"/>
    <w:rsid w:val="00DC1DB8"/>
    <w:rsid w:val="00DC2196"/>
    <w:rsid w:val="00DC2712"/>
    <w:rsid w:val="00DC390C"/>
    <w:rsid w:val="00DC4165"/>
    <w:rsid w:val="00DC5CD6"/>
    <w:rsid w:val="00DD0CEE"/>
    <w:rsid w:val="00DD2D25"/>
    <w:rsid w:val="00DD307F"/>
    <w:rsid w:val="00DD3B10"/>
    <w:rsid w:val="00DD4F6C"/>
    <w:rsid w:val="00DD5B65"/>
    <w:rsid w:val="00DD6A51"/>
    <w:rsid w:val="00DD7D82"/>
    <w:rsid w:val="00DE0F52"/>
    <w:rsid w:val="00DE144D"/>
    <w:rsid w:val="00DE1A79"/>
    <w:rsid w:val="00DE3FA2"/>
    <w:rsid w:val="00DE45F5"/>
    <w:rsid w:val="00DE4AE2"/>
    <w:rsid w:val="00DE7DA3"/>
    <w:rsid w:val="00DF0457"/>
    <w:rsid w:val="00DF14C6"/>
    <w:rsid w:val="00DF1FEA"/>
    <w:rsid w:val="00DF5338"/>
    <w:rsid w:val="00DF5EAA"/>
    <w:rsid w:val="00DF6728"/>
    <w:rsid w:val="00DF69C8"/>
    <w:rsid w:val="00DF6BA9"/>
    <w:rsid w:val="00DF76EC"/>
    <w:rsid w:val="00DF7A90"/>
    <w:rsid w:val="00E00880"/>
    <w:rsid w:val="00E016A4"/>
    <w:rsid w:val="00E01E3D"/>
    <w:rsid w:val="00E02B91"/>
    <w:rsid w:val="00E02DA8"/>
    <w:rsid w:val="00E047CD"/>
    <w:rsid w:val="00E06559"/>
    <w:rsid w:val="00E06AF2"/>
    <w:rsid w:val="00E06C5B"/>
    <w:rsid w:val="00E100AC"/>
    <w:rsid w:val="00E1092F"/>
    <w:rsid w:val="00E11237"/>
    <w:rsid w:val="00E11782"/>
    <w:rsid w:val="00E11C4D"/>
    <w:rsid w:val="00E11EEC"/>
    <w:rsid w:val="00E126BF"/>
    <w:rsid w:val="00E129CE"/>
    <w:rsid w:val="00E12D9F"/>
    <w:rsid w:val="00E15806"/>
    <w:rsid w:val="00E16177"/>
    <w:rsid w:val="00E16E69"/>
    <w:rsid w:val="00E1786E"/>
    <w:rsid w:val="00E21F1C"/>
    <w:rsid w:val="00E24428"/>
    <w:rsid w:val="00E254A9"/>
    <w:rsid w:val="00E2752F"/>
    <w:rsid w:val="00E277A9"/>
    <w:rsid w:val="00E27881"/>
    <w:rsid w:val="00E303CB"/>
    <w:rsid w:val="00E3059E"/>
    <w:rsid w:val="00E30F56"/>
    <w:rsid w:val="00E30F57"/>
    <w:rsid w:val="00E31597"/>
    <w:rsid w:val="00E324ED"/>
    <w:rsid w:val="00E32A30"/>
    <w:rsid w:val="00E352F2"/>
    <w:rsid w:val="00E35C2B"/>
    <w:rsid w:val="00E41F8C"/>
    <w:rsid w:val="00E41FF7"/>
    <w:rsid w:val="00E4259E"/>
    <w:rsid w:val="00E434D2"/>
    <w:rsid w:val="00E43DF1"/>
    <w:rsid w:val="00E45386"/>
    <w:rsid w:val="00E45A70"/>
    <w:rsid w:val="00E47CC2"/>
    <w:rsid w:val="00E47D66"/>
    <w:rsid w:val="00E50543"/>
    <w:rsid w:val="00E50769"/>
    <w:rsid w:val="00E50DD0"/>
    <w:rsid w:val="00E5270E"/>
    <w:rsid w:val="00E5407F"/>
    <w:rsid w:val="00E55285"/>
    <w:rsid w:val="00E562B3"/>
    <w:rsid w:val="00E56363"/>
    <w:rsid w:val="00E5646A"/>
    <w:rsid w:val="00E56814"/>
    <w:rsid w:val="00E576B1"/>
    <w:rsid w:val="00E57AF6"/>
    <w:rsid w:val="00E61F82"/>
    <w:rsid w:val="00E62ED6"/>
    <w:rsid w:val="00E63852"/>
    <w:rsid w:val="00E63F33"/>
    <w:rsid w:val="00E6433A"/>
    <w:rsid w:val="00E64505"/>
    <w:rsid w:val="00E651D8"/>
    <w:rsid w:val="00E6657C"/>
    <w:rsid w:val="00E673D8"/>
    <w:rsid w:val="00E67B45"/>
    <w:rsid w:val="00E70008"/>
    <w:rsid w:val="00E71057"/>
    <w:rsid w:val="00E715D1"/>
    <w:rsid w:val="00E72BF0"/>
    <w:rsid w:val="00E72E8D"/>
    <w:rsid w:val="00E73971"/>
    <w:rsid w:val="00E73AAE"/>
    <w:rsid w:val="00E73BB5"/>
    <w:rsid w:val="00E74231"/>
    <w:rsid w:val="00E7432D"/>
    <w:rsid w:val="00E74996"/>
    <w:rsid w:val="00E76D65"/>
    <w:rsid w:val="00E8025D"/>
    <w:rsid w:val="00E81AE2"/>
    <w:rsid w:val="00E81E3F"/>
    <w:rsid w:val="00E83835"/>
    <w:rsid w:val="00E838A8"/>
    <w:rsid w:val="00E83A39"/>
    <w:rsid w:val="00E84335"/>
    <w:rsid w:val="00E84C2E"/>
    <w:rsid w:val="00E8546D"/>
    <w:rsid w:val="00E87977"/>
    <w:rsid w:val="00E87C0C"/>
    <w:rsid w:val="00E91ED0"/>
    <w:rsid w:val="00E91FA9"/>
    <w:rsid w:val="00E940FA"/>
    <w:rsid w:val="00E94593"/>
    <w:rsid w:val="00E94989"/>
    <w:rsid w:val="00E94B82"/>
    <w:rsid w:val="00E95DB3"/>
    <w:rsid w:val="00E95DDE"/>
    <w:rsid w:val="00E973C3"/>
    <w:rsid w:val="00E97719"/>
    <w:rsid w:val="00E97FDE"/>
    <w:rsid w:val="00EA1DCD"/>
    <w:rsid w:val="00EA1F49"/>
    <w:rsid w:val="00EA2D81"/>
    <w:rsid w:val="00EA2E42"/>
    <w:rsid w:val="00EA3584"/>
    <w:rsid w:val="00EA380F"/>
    <w:rsid w:val="00EA396F"/>
    <w:rsid w:val="00EA3DB8"/>
    <w:rsid w:val="00EA4DF3"/>
    <w:rsid w:val="00EA5415"/>
    <w:rsid w:val="00EA5C85"/>
    <w:rsid w:val="00EA6734"/>
    <w:rsid w:val="00EA72DC"/>
    <w:rsid w:val="00EB080C"/>
    <w:rsid w:val="00EB0948"/>
    <w:rsid w:val="00EB15A7"/>
    <w:rsid w:val="00EB1D1B"/>
    <w:rsid w:val="00EB25EC"/>
    <w:rsid w:val="00EB27AE"/>
    <w:rsid w:val="00EB289A"/>
    <w:rsid w:val="00EB3839"/>
    <w:rsid w:val="00EB6D7D"/>
    <w:rsid w:val="00EC0484"/>
    <w:rsid w:val="00EC0BF7"/>
    <w:rsid w:val="00EC35C4"/>
    <w:rsid w:val="00EC3A7A"/>
    <w:rsid w:val="00EC5486"/>
    <w:rsid w:val="00EC6C6E"/>
    <w:rsid w:val="00EC6CC5"/>
    <w:rsid w:val="00EC6E40"/>
    <w:rsid w:val="00EC7188"/>
    <w:rsid w:val="00EC806C"/>
    <w:rsid w:val="00ED1255"/>
    <w:rsid w:val="00ED1402"/>
    <w:rsid w:val="00ED1D02"/>
    <w:rsid w:val="00ED43BB"/>
    <w:rsid w:val="00ED5B95"/>
    <w:rsid w:val="00ED6C47"/>
    <w:rsid w:val="00ED7727"/>
    <w:rsid w:val="00EE0018"/>
    <w:rsid w:val="00EE028D"/>
    <w:rsid w:val="00EE0632"/>
    <w:rsid w:val="00EE0C41"/>
    <w:rsid w:val="00EE0D4F"/>
    <w:rsid w:val="00EE0F37"/>
    <w:rsid w:val="00EE25D3"/>
    <w:rsid w:val="00EE347A"/>
    <w:rsid w:val="00EE35B3"/>
    <w:rsid w:val="00EE44A0"/>
    <w:rsid w:val="00EE4645"/>
    <w:rsid w:val="00EE46FC"/>
    <w:rsid w:val="00EE7607"/>
    <w:rsid w:val="00EF01DF"/>
    <w:rsid w:val="00EF067B"/>
    <w:rsid w:val="00EF1279"/>
    <w:rsid w:val="00EF21BB"/>
    <w:rsid w:val="00EF3784"/>
    <w:rsid w:val="00EF3FEB"/>
    <w:rsid w:val="00EF54D1"/>
    <w:rsid w:val="00EF5635"/>
    <w:rsid w:val="00EF7B92"/>
    <w:rsid w:val="00EF7D87"/>
    <w:rsid w:val="00F003D7"/>
    <w:rsid w:val="00F01494"/>
    <w:rsid w:val="00F02C0B"/>
    <w:rsid w:val="00F0344D"/>
    <w:rsid w:val="00F0348E"/>
    <w:rsid w:val="00F039FE"/>
    <w:rsid w:val="00F03AC3"/>
    <w:rsid w:val="00F05CE4"/>
    <w:rsid w:val="00F07317"/>
    <w:rsid w:val="00F07382"/>
    <w:rsid w:val="00F07C31"/>
    <w:rsid w:val="00F100BF"/>
    <w:rsid w:val="00F100E4"/>
    <w:rsid w:val="00F12666"/>
    <w:rsid w:val="00F12869"/>
    <w:rsid w:val="00F1355D"/>
    <w:rsid w:val="00F13B77"/>
    <w:rsid w:val="00F13C67"/>
    <w:rsid w:val="00F140BE"/>
    <w:rsid w:val="00F1435C"/>
    <w:rsid w:val="00F15A05"/>
    <w:rsid w:val="00F16D57"/>
    <w:rsid w:val="00F16EE6"/>
    <w:rsid w:val="00F1DB87"/>
    <w:rsid w:val="00F20773"/>
    <w:rsid w:val="00F20EC4"/>
    <w:rsid w:val="00F21309"/>
    <w:rsid w:val="00F21500"/>
    <w:rsid w:val="00F21FB6"/>
    <w:rsid w:val="00F22A1C"/>
    <w:rsid w:val="00F22CB5"/>
    <w:rsid w:val="00F24DA6"/>
    <w:rsid w:val="00F256E3"/>
    <w:rsid w:val="00F2627C"/>
    <w:rsid w:val="00F26686"/>
    <w:rsid w:val="00F27546"/>
    <w:rsid w:val="00F2765E"/>
    <w:rsid w:val="00F3095A"/>
    <w:rsid w:val="00F3125B"/>
    <w:rsid w:val="00F31629"/>
    <w:rsid w:val="00F31B2D"/>
    <w:rsid w:val="00F338BF"/>
    <w:rsid w:val="00F3430C"/>
    <w:rsid w:val="00F36137"/>
    <w:rsid w:val="00F37A44"/>
    <w:rsid w:val="00F37F30"/>
    <w:rsid w:val="00F40213"/>
    <w:rsid w:val="00F41A00"/>
    <w:rsid w:val="00F42E1D"/>
    <w:rsid w:val="00F430A6"/>
    <w:rsid w:val="00F436ED"/>
    <w:rsid w:val="00F43A2C"/>
    <w:rsid w:val="00F43D75"/>
    <w:rsid w:val="00F44B90"/>
    <w:rsid w:val="00F464AD"/>
    <w:rsid w:val="00F47CD8"/>
    <w:rsid w:val="00F510C5"/>
    <w:rsid w:val="00F5173B"/>
    <w:rsid w:val="00F51830"/>
    <w:rsid w:val="00F52425"/>
    <w:rsid w:val="00F5283A"/>
    <w:rsid w:val="00F53704"/>
    <w:rsid w:val="00F541A2"/>
    <w:rsid w:val="00F54333"/>
    <w:rsid w:val="00F568EB"/>
    <w:rsid w:val="00F568F3"/>
    <w:rsid w:val="00F56E40"/>
    <w:rsid w:val="00F61D47"/>
    <w:rsid w:val="00F61E47"/>
    <w:rsid w:val="00F65A31"/>
    <w:rsid w:val="00F660AE"/>
    <w:rsid w:val="00F66E1B"/>
    <w:rsid w:val="00F67250"/>
    <w:rsid w:val="00F67334"/>
    <w:rsid w:val="00F67A68"/>
    <w:rsid w:val="00F67F30"/>
    <w:rsid w:val="00F70445"/>
    <w:rsid w:val="00F70749"/>
    <w:rsid w:val="00F70B5E"/>
    <w:rsid w:val="00F712C3"/>
    <w:rsid w:val="00F71E2E"/>
    <w:rsid w:val="00F72E0C"/>
    <w:rsid w:val="00F72EB2"/>
    <w:rsid w:val="00F72F06"/>
    <w:rsid w:val="00F73BB9"/>
    <w:rsid w:val="00F74D09"/>
    <w:rsid w:val="00F7590E"/>
    <w:rsid w:val="00F769C3"/>
    <w:rsid w:val="00F76D02"/>
    <w:rsid w:val="00F775CC"/>
    <w:rsid w:val="00F8111A"/>
    <w:rsid w:val="00F81289"/>
    <w:rsid w:val="00F81CE8"/>
    <w:rsid w:val="00F82343"/>
    <w:rsid w:val="00F826C3"/>
    <w:rsid w:val="00F829EF"/>
    <w:rsid w:val="00F82C0F"/>
    <w:rsid w:val="00F83132"/>
    <w:rsid w:val="00F834F0"/>
    <w:rsid w:val="00F84202"/>
    <w:rsid w:val="00F854BA"/>
    <w:rsid w:val="00F8584D"/>
    <w:rsid w:val="00F866F2"/>
    <w:rsid w:val="00F86C04"/>
    <w:rsid w:val="00F8754A"/>
    <w:rsid w:val="00F90622"/>
    <w:rsid w:val="00F91A5C"/>
    <w:rsid w:val="00F91C3C"/>
    <w:rsid w:val="00F91E86"/>
    <w:rsid w:val="00F9269F"/>
    <w:rsid w:val="00F942B2"/>
    <w:rsid w:val="00F979BB"/>
    <w:rsid w:val="00FA168C"/>
    <w:rsid w:val="00FA2CBA"/>
    <w:rsid w:val="00FA3955"/>
    <w:rsid w:val="00FA40E8"/>
    <w:rsid w:val="00FA4F38"/>
    <w:rsid w:val="00FA50D3"/>
    <w:rsid w:val="00FA5F84"/>
    <w:rsid w:val="00FA747A"/>
    <w:rsid w:val="00FA7A08"/>
    <w:rsid w:val="00FA7CEB"/>
    <w:rsid w:val="00FA7ED5"/>
    <w:rsid w:val="00FB0131"/>
    <w:rsid w:val="00FB0395"/>
    <w:rsid w:val="00FB0574"/>
    <w:rsid w:val="00FB05AE"/>
    <w:rsid w:val="00FB0E7F"/>
    <w:rsid w:val="00FB3026"/>
    <w:rsid w:val="00FB3FCC"/>
    <w:rsid w:val="00FB4B99"/>
    <w:rsid w:val="00FB5F0B"/>
    <w:rsid w:val="00FC0964"/>
    <w:rsid w:val="00FC0CB5"/>
    <w:rsid w:val="00FC1142"/>
    <w:rsid w:val="00FC14DC"/>
    <w:rsid w:val="00FC2733"/>
    <w:rsid w:val="00FC4A59"/>
    <w:rsid w:val="00FC6F09"/>
    <w:rsid w:val="00FC6F3C"/>
    <w:rsid w:val="00FC7A87"/>
    <w:rsid w:val="00FD0800"/>
    <w:rsid w:val="00FD0CBE"/>
    <w:rsid w:val="00FD0D60"/>
    <w:rsid w:val="00FD2A90"/>
    <w:rsid w:val="00FD2D49"/>
    <w:rsid w:val="00FD2E3F"/>
    <w:rsid w:val="00FD4C44"/>
    <w:rsid w:val="00FD4E9B"/>
    <w:rsid w:val="00FD5CD6"/>
    <w:rsid w:val="00FD61FE"/>
    <w:rsid w:val="00FD66DF"/>
    <w:rsid w:val="00FE0AD0"/>
    <w:rsid w:val="00FE1C8F"/>
    <w:rsid w:val="00FE20FA"/>
    <w:rsid w:val="00FE2A3A"/>
    <w:rsid w:val="00FE2D85"/>
    <w:rsid w:val="00FE5140"/>
    <w:rsid w:val="00FE6132"/>
    <w:rsid w:val="00FE6154"/>
    <w:rsid w:val="00FE6348"/>
    <w:rsid w:val="00FE7C67"/>
    <w:rsid w:val="00FF0387"/>
    <w:rsid w:val="00FF0706"/>
    <w:rsid w:val="00FF192D"/>
    <w:rsid w:val="00FF2DA9"/>
    <w:rsid w:val="00FF2FE5"/>
    <w:rsid w:val="00FF5445"/>
    <w:rsid w:val="00FF5843"/>
    <w:rsid w:val="00FF7260"/>
    <w:rsid w:val="00FF7E1F"/>
    <w:rsid w:val="012A5D84"/>
    <w:rsid w:val="015FC636"/>
    <w:rsid w:val="0172A0DF"/>
    <w:rsid w:val="01E6B700"/>
    <w:rsid w:val="01FE25A2"/>
    <w:rsid w:val="02103E21"/>
    <w:rsid w:val="024768B0"/>
    <w:rsid w:val="0250D069"/>
    <w:rsid w:val="02588A67"/>
    <w:rsid w:val="0264FA40"/>
    <w:rsid w:val="0292B773"/>
    <w:rsid w:val="02A4DBC5"/>
    <w:rsid w:val="02F217DF"/>
    <w:rsid w:val="03026FEA"/>
    <w:rsid w:val="035BAF30"/>
    <w:rsid w:val="0369F167"/>
    <w:rsid w:val="03940C47"/>
    <w:rsid w:val="03979F62"/>
    <w:rsid w:val="039D8665"/>
    <w:rsid w:val="03CE31EC"/>
    <w:rsid w:val="03D17017"/>
    <w:rsid w:val="0411448E"/>
    <w:rsid w:val="0419CAC4"/>
    <w:rsid w:val="043B2E03"/>
    <w:rsid w:val="0447E0AC"/>
    <w:rsid w:val="044DED49"/>
    <w:rsid w:val="0457F8B9"/>
    <w:rsid w:val="045E549F"/>
    <w:rsid w:val="04715FBA"/>
    <w:rsid w:val="049DA5FE"/>
    <w:rsid w:val="049DCF54"/>
    <w:rsid w:val="04B45AF7"/>
    <w:rsid w:val="051906C7"/>
    <w:rsid w:val="05194360"/>
    <w:rsid w:val="0519888D"/>
    <w:rsid w:val="05E7AAB1"/>
    <w:rsid w:val="063A0300"/>
    <w:rsid w:val="06557051"/>
    <w:rsid w:val="06637BA6"/>
    <w:rsid w:val="0674996E"/>
    <w:rsid w:val="0693AA43"/>
    <w:rsid w:val="06B45D22"/>
    <w:rsid w:val="0706FAA5"/>
    <w:rsid w:val="07346187"/>
    <w:rsid w:val="078A7B75"/>
    <w:rsid w:val="07CBA4ED"/>
    <w:rsid w:val="07ED49D5"/>
    <w:rsid w:val="07EF097E"/>
    <w:rsid w:val="08163FA2"/>
    <w:rsid w:val="0868F69F"/>
    <w:rsid w:val="0871E535"/>
    <w:rsid w:val="08B77798"/>
    <w:rsid w:val="08D96062"/>
    <w:rsid w:val="09024F3A"/>
    <w:rsid w:val="091364C0"/>
    <w:rsid w:val="0927D638"/>
    <w:rsid w:val="097F62F2"/>
    <w:rsid w:val="09B6BA45"/>
    <w:rsid w:val="09D1D085"/>
    <w:rsid w:val="09D6D9E1"/>
    <w:rsid w:val="09E582F1"/>
    <w:rsid w:val="09F80715"/>
    <w:rsid w:val="0A16B6BD"/>
    <w:rsid w:val="0A1BB0E5"/>
    <w:rsid w:val="0A2D1F72"/>
    <w:rsid w:val="0A61B16E"/>
    <w:rsid w:val="0AA28A33"/>
    <w:rsid w:val="0AD658FB"/>
    <w:rsid w:val="0B05B3A5"/>
    <w:rsid w:val="0B63F429"/>
    <w:rsid w:val="0B6E9F76"/>
    <w:rsid w:val="0C294A9E"/>
    <w:rsid w:val="0C2AD965"/>
    <w:rsid w:val="0C2F3627"/>
    <w:rsid w:val="0C30D726"/>
    <w:rsid w:val="0C7EC6F1"/>
    <w:rsid w:val="0C8388D0"/>
    <w:rsid w:val="0C8D6B5F"/>
    <w:rsid w:val="0CC5684E"/>
    <w:rsid w:val="0CCED6D0"/>
    <w:rsid w:val="0E146399"/>
    <w:rsid w:val="0E47A000"/>
    <w:rsid w:val="0E7E9304"/>
    <w:rsid w:val="0E958EAD"/>
    <w:rsid w:val="0E9C6015"/>
    <w:rsid w:val="0EBB49F8"/>
    <w:rsid w:val="0EF03A92"/>
    <w:rsid w:val="0F057917"/>
    <w:rsid w:val="0F0D0097"/>
    <w:rsid w:val="0F168C5C"/>
    <w:rsid w:val="0F2C1D8B"/>
    <w:rsid w:val="0F7C0F77"/>
    <w:rsid w:val="0F7E283A"/>
    <w:rsid w:val="0FD63650"/>
    <w:rsid w:val="101663C6"/>
    <w:rsid w:val="1018B08D"/>
    <w:rsid w:val="1066020A"/>
    <w:rsid w:val="1081C0D9"/>
    <w:rsid w:val="10A486E9"/>
    <w:rsid w:val="10C30D1A"/>
    <w:rsid w:val="10F8B6FF"/>
    <w:rsid w:val="110D4E94"/>
    <w:rsid w:val="112C496E"/>
    <w:rsid w:val="114C8A41"/>
    <w:rsid w:val="115A0992"/>
    <w:rsid w:val="115CD844"/>
    <w:rsid w:val="115E6448"/>
    <w:rsid w:val="1166DA0E"/>
    <w:rsid w:val="11D3BCD5"/>
    <w:rsid w:val="1238F54B"/>
    <w:rsid w:val="12500F18"/>
    <w:rsid w:val="126A949B"/>
    <w:rsid w:val="128DFC12"/>
    <w:rsid w:val="12CC7557"/>
    <w:rsid w:val="12E228CA"/>
    <w:rsid w:val="1318EBF1"/>
    <w:rsid w:val="132C301D"/>
    <w:rsid w:val="133A43CC"/>
    <w:rsid w:val="134C420A"/>
    <w:rsid w:val="13756D0F"/>
    <w:rsid w:val="1400730C"/>
    <w:rsid w:val="149B4EAD"/>
    <w:rsid w:val="149FABDC"/>
    <w:rsid w:val="14A0FB51"/>
    <w:rsid w:val="14B6D3F6"/>
    <w:rsid w:val="14C6FC14"/>
    <w:rsid w:val="14CE91FB"/>
    <w:rsid w:val="14E1CE5A"/>
    <w:rsid w:val="14EE537F"/>
    <w:rsid w:val="15187B34"/>
    <w:rsid w:val="1558A966"/>
    <w:rsid w:val="15A1BD7E"/>
    <w:rsid w:val="15ADBECC"/>
    <w:rsid w:val="15BB4F8A"/>
    <w:rsid w:val="15C85B1A"/>
    <w:rsid w:val="15CD3838"/>
    <w:rsid w:val="15F312D4"/>
    <w:rsid w:val="162423E1"/>
    <w:rsid w:val="163A6611"/>
    <w:rsid w:val="1649A990"/>
    <w:rsid w:val="16616E69"/>
    <w:rsid w:val="166CEB79"/>
    <w:rsid w:val="1682D087"/>
    <w:rsid w:val="16E30AB3"/>
    <w:rsid w:val="17040869"/>
    <w:rsid w:val="1721510C"/>
    <w:rsid w:val="1728CBD8"/>
    <w:rsid w:val="1753DB12"/>
    <w:rsid w:val="176123C2"/>
    <w:rsid w:val="1771F3BA"/>
    <w:rsid w:val="17B662CB"/>
    <w:rsid w:val="17CC7F2C"/>
    <w:rsid w:val="1837B67B"/>
    <w:rsid w:val="1855CAA1"/>
    <w:rsid w:val="187D7840"/>
    <w:rsid w:val="18A8C9B6"/>
    <w:rsid w:val="18B65959"/>
    <w:rsid w:val="18CADA37"/>
    <w:rsid w:val="18CC4EF9"/>
    <w:rsid w:val="18D6C506"/>
    <w:rsid w:val="18DA9E02"/>
    <w:rsid w:val="18EEA4FF"/>
    <w:rsid w:val="194E319B"/>
    <w:rsid w:val="1960021C"/>
    <w:rsid w:val="1997D237"/>
    <w:rsid w:val="19FA7F06"/>
    <w:rsid w:val="1A218E3C"/>
    <w:rsid w:val="1A7BE816"/>
    <w:rsid w:val="1A957A34"/>
    <w:rsid w:val="1AA2003A"/>
    <w:rsid w:val="1AB7D934"/>
    <w:rsid w:val="1AC788B1"/>
    <w:rsid w:val="1B22F60E"/>
    <w:rsid w:val="1B4BC926"/>
    <w:rsid w:val="1B772D5A"/>
    <w:rsid w:val="1B927B03"/>
    <w:rsid w:val="1BA80D35"/>
    <w:rsid w:val="1C0DAA88"/>
    <w:rsid w:val="1C47026B"/>
    <w:rsid w:val="1C49397D"/>
    <w:rsid w:val="1C980E9A"/>
    <w:rsid w:val="1CC0F452"/>
    <w:rsid w:val="1CC65E20"/>
    <w:rsid w:val="1CE61A10"/>
    <w:rsid w:val="1CF937DC"/>
    <w:rsid w:val="1D02D91F"/>
    <w:rsid w:val="1D0941AF"/>
    <w:rsid w:val="1D3D5656"/>
    <w:rsid w:val="1D90A4C2"/>
    <w:rsid w:val="1DF8A49A"/>
    <w:rsid w:val="1DFA3444"/>
    <w:rsid w:val="1E27EF23"/>
    <w:rsid w:val="1E3E67A6"/>
    <w:rsid w:val="1E56428C"/>
    <w:rsid w:val="1E6E21CC"/>
    <w:rsid w:val="1EB57A58"/>
    <w:rsid w:val="1F9B3855"/>
    <w:rsid w:val="1FA4F1B2"/>
    <w:rsid w:val="1FCF4045"/>
    <w:rsid w:val="2011E0B3"/>
    <w:rsid w:val="2056E4B6"/>
    <w:rsid w:val="20696302"/>
    <w:rsid w:val="20999126"/>
    <w:rsid w:val="209D63B7"/>
    <w:rsid w:val="20A2B7C0"/>
    <w:rsid w:val="20B692B1"/>
    <w:rsid w:val="20C84CAD"/>
    <w:rsid w:val="2117E8B4"/>
    <w:rsid w:val="212E69E4"/>
    <w:rsid w:val="21932749"/>
    <w:rsid w:val="2196BE56"/>
    <w:rsid w:val="22279D46"/>
    <w:rsid w:val="222F5FF5"/>
    <w:rsid w:val="223B0AAB"/>
    <w:rsid w:val="22991A81"/>
    <w:rsid w:val="22AE7586"/>
    <w:rsid w:val="232FA8FA"/>
    <w:rsid w:val="233F3B04"/>
    <w:rsid w:val="234F7781"/>
    <w:rsid w:val="2371BDDA"/>
    <w:rsid w:val="23BA01E7"/>
    <w:rsid w:val="23CDFDC6"/>
    <w:rsid w:val="24269C95"/>
    <w:rsid w:val="244CA3B8"/>
    <w:rsid w:val="24B718E8"/>
    <w:rsid w:val="25233CC0"/>
    <w:rsid w:val="25480096"/>
    <w:rsid w:val="254AF96F"/>
    <w:rsid w:val="256A323B"/>
    <w:rsid w:val="256E9551"/>
    <w:rsid w:val="25B6C138"/>
    <w:rsid w:val="26057050"/>
    <w:rsid w:val="265373BD"/>
    <w:rsid w:val="266A67FC"/>
    <w:rsid w:val="268C15F4"/>
    <w:rsid w:val="26920D39"/>
    <w:rsid w:val="269EDF89"/>
    <w:rsid w:val="26BD94F8"/>
    <w:rsid w:val="26C2E17B"/>
    <w:rsid w:val="26C32D5A"/>
    <w:rsid w:val="26DACC31"/>
    <w:rsid w:val="26F3DA65"/>
    <w:rsid w:val="2774CA61"/>
    <w:rsid w:val="27B24FA6"/>
    <w:rsid w:val="289ECF3A"/>
    <w:rsid w:val="289F964C"/>
    <w:rsid w:val="28F95C99"/>
    <w:rsid w:val="291D39A9"/>
    <w:rsid w:val="29463EDF"/>
    <w:rsid w:val="2960635D"/>
    <w:rsid w:val="29A22935"/>
    <w:rsid w:val="29C99061"/>
    <w:rsid w:val="29CD9B68"/>
    <w:rsid w:val="2A128230"/>
    <w:rsid w:val="2A288C2A"/>
    <w:rsid w:val="2A411CCA"/>
    <w:rsid w:val="2A4CB3AC"/>
    <w:rsid w:val="2A503215"/>
    <w:rsid w:val="2A5DD73F"/>
    <w:rsid w:val="2A64E95F"/>
    <w:rsid w:val="2A75CADB"/>
    <w:rsid w:val="2A85B6F4"/>
    <w:rsid w:val="2A990306"/>
    <w:rsid w:val="2AABE7FD"/>
    <w:rsid w:val="2AE23DA5"/>
    <w:rsid w:val="2B2B58A1"/>
    <w:rsid w:val="2B353BD4"/>
    <w:rsid w:val="2B6BEC21"/>
    <w:rsid w:val="2B7E52B9"/>
    <w:rsid w:val="2BEBF314"/>
    <w:rsid w:val="2BF99BDD"/>
    <w:rsid w:val="2C461D82"/>
    <w:rsid w:val="2C4D261F"/>
    <w:rsid w:val="2C505D9C"/>
    <w:rsid w:val="2C5BAE15"/>
    <w:rsid w:val="2CB0390E"/>
    <w:rsid w:val="2CB26E32"/>
    <w:rsid w:val="2CB8211D"/>
    <w:rsid w:val="2CD3B49B"/>
    <w:rsid w:val="2D0141AB"/>
    <w:rsid w:val="2D02AEFC"/>
    <w:rsid w:val="2D1A0777"/>
    <w:rsid w:val="2D28B68F"/>
    <w:rsid w:val="2DBA7645"/>
    <w:rsid w:val="2DBCA0F9"/>
    <w:rsid w:val="2DBD97DA"/>
    <w:rsid w:val="2DC97C68"/>
    <w:rsid w:val="2DCEB5F3"/>
    <w:rsid w:val="2E1F048F"/>
    <w:rsid w:val="2E2076E2"/>
    <w:rsid w:val="2E2CEEE4"/>
    <w:rsid w:val="2E61E647"/>
    <w:rsid w:val="2E7A5429"/>
    <w:rsid w:val="2E92F25B"/>
    <w:rsid w:val="2EFB057C"/>
    <w:rsid w:val="2F03585A"/>
    <w:rsid w:val="2F0B49DA"/>
    <w:rsid w:val="2F1460A4"/>
    <w:rsid w:val="2F1C5A09"/>
    <w:rsid w:val="2F41A67F"/>
    <w:rsid w:val="2F6C012D"/>
    <w:rsid w:val="2F7D92F8"/>
    <w:rsid w:val="2F813DB7"/>
    <w:rsid w:val="2F849F1E"/>
    <w:rsid w:val="2F8A5640"/>
    <w:rsid w:val="2FB944AD"/>
    <w:rsid w:val="2FBB7904"/>
    <w:rsid w:val="2FBEC096"/>
    <w:rsid w:val="2FC38609"/>
    <w:rsid w:val="2FDF1F0C"/>
    <w:rsid w:val="2FE23251"/>
    <w:rsid w:val="30016A46"/>
    <w:rsid w:val="306F7307"/>
    <w:rsid w:val="30DABC76"/>
    <w:rsid w:val="31044BA5"/>
    <w:rsid w:val="31092B22"/>
    <w:rsid w:val="312A20FE"/>
    <w:rsid w:val="314B6B09"/>
    <w:rsid w:val="3169AE22"/>
    <w:rsid w:val="318671B4"/>
    <w:rsid w:val="31A0001F"/>
    <w:rsid w:val="31A29866"/>
    <w:rsid w:val="31A3E71D"/>
    <w:rsid w:val="31A79C0A"/>
    <w:rsid w:val="31B9E453"/>
    <w:rsid w:val="31DB0210"/>
    <w:rsid w:val="31E8A5C9"/>
    <w:rsid w:val="320170B7"/>
    <w:rsid w:val="323D7580"/>
    <w:rsid w:val="326A0E4A"/>
    <w:rsid w:val="327CAAD2"/>
    <w:rsid w:val="32919258"/>
    <w:rsid w:val="32ABDB86"/>
    <w:rsid w:val="32CE24A1"/>
    <w:rsid w:val="32E88F4B"/>
    <w:rsid w:val="3309E570"/>
    <w:rsid w:val="331B905C"/>
    <w:rsid w:val="3347288B"/>
    <w:rsid w:val="3353C234"/>
    <w:rsid w:val="33985A68"/>
    <w:rsid w:val="33A6B8A6"/>
    <w:rsid w:val="33D50A99"/>
    <w:rsid w:val="340067DB"/>
    <w:rsid w:val="3421F0CB"/>
    <w:rsid w:val="34A39CC9"/>
    <w:rsid w:val="34C31422"/>
    <w:rsid w:val="34F1E5D0"/>
    <w:rsid w:val="34F48268"/>
    <w:rsid w:val="34F6F288"/>
    <w:rsid w:val="352FAC38"/>
    <w:rsid w:val="3564C310"/>
    <w:rsid w:val="3598EB33"/>
    <w:rsid w:val="35B5D20A"/>
    <w:rsid w:val="35F92C6E"/>
    <w:rsid w:val="35FD51CD"/>
    <w:rsid w:val="36824C1C"/>
    <w:rsid w:val="369E15F1"/>
    <w:rsid w:val="36A313A0"/>
    <w:rsid w:val="36E94169"/>
    <w:rsid w:val="370097FF"/>
    <w:rsid w:val="37144643"/>
    <w:rsid w:val="377221F3"/>
    <w:rsid w:val="377FB626"/>
    <w:rsid w:val="379602CA"/>
    <w:rsid w:val="37B6C35F"/>
    <w:rsid w:val="37F29D10"/>
    <w:rsid w:val="38049F29"/>
    <w:rsid w:val="3809DA8E"/>
    <w:rsid w:val="38541BAE"/>
    <w:rsid w:val="38585FCC"/>
    <w:rsid w:val="389C3345"/>
    <w:rsid w:val="38B0AEEC"/>
    <w:rsid w:val="38CC6462"/>
    <w:rsid w:val="38F17906"/>
    <w:rsid w:val="38F2AC8A"/>
    <w:rsid w:val="3917C56E"/>
    <w:rsid w:val="3951EFDD"/>
    <w:rsid w:val="3969C3D8"/>
    <w:rsid w:val="39955034"/>
    <w:rsid w:val="399FF3E0"/>
    <w:rsid w:val="39BC5C55"/>
    <w:rsid w:val="3A179BE8"/>
    <w:rsid w:val="3A3926E7"/>
    <w:rsid w:val="3A4FFC99"/>
    <w:rsid w:val="3A92CC78"/>
    <w:rsid w:val="3A97D2DA"/>
    <w:rsid w:val="3A9B8B49"/>
    <w:rsid w:val="3ACEEA1E"/>
    <w:rsid w:val="3AEC9255"/>
    <w:rsid w:val="3AFF220C"/>
    <w:rsid w:val="3B0A8DCD"/>
    <w:rsid w:val="3B787FDF"/>
    <w:rsid w:val="3B98A2B2"/>
    <w:rsid w:val="3BCBC23F"/>
    <w:rsid w:val="3BFE66EA"/>
    <w:rsid w:val="3C4431BF"/>
    <w:rsid w:val="3C5DA8F4"/>
    <w:rsid w:val="3CB4EB85"/>
    <w:rsid w:val="3CB9CC8B"/>
    <w:rsid w:val="3CBE03D2"/>
    <w:rsid w:val="3D69D3CE"/>
    <w:rsid w:val="3DA57F97"/>
    <w:rsid w:val="3DB7733E"/>
    <w:rsid w:val="3DBD0C80"/>
    <w:rsid w:val="3DCB9BCC"/>
    <w:rsid w:val="3DE7F9B9"/>
    <w:rsid w:val="3DEA17F5"/>
    <w:rsid w:val="3DECE6C4"/>
    <w:rsid w:val="3E006290"/>
    <w:rsid w:val="3E629707"/>
    <w:rsid w:val="3E713785"/>
    <w:rsid w:val="3E7B8BE6"/>
    <w:rsid w:val="3E9216E3"/>
    <w:rsid w:val="3E94B98E"/>
    <w:rsid w:val="3E99952B"/>
    <w:rsid w:val="3EA6DC83"/>
    <w:rsid w:val="3EBB909C"/>
    <w:rsid w:val="3F4DA88D"/>
    <w:rsid w:val="3FB5077F"/>
    <w:rsid w:val="3FB743CD"/>
    <w:rsid w:val="403BA5A9"/>
    <w:rsid w:val="409ECC82"/>
    <w:rsid w:val="40A7D643"/>
    <w:rsid w:val="40F189C3"/>
    <w:rsid w:val="41555179"/>
    <w:rsid w:val="41701796"/>
    <w:rsid w:val="41851B7D"/>
    <w:rsid w:val="4195E0D7"/>
    <w:rsid w:val="41E429BD"/>
    <w:rsid w:val="420387AA"/>
    <w:rsid w:val="42069771"/>
    <w:rsid w:val="4210A455"/>
    <w:rsid w:val="424CC80D"/>
    <w:rsid w:val="4261F86F"/>
    <w:rsid w:val="426DD0C1"/>
    <w:rsid w:val="428450FB"/>
    <w:rsid w:val="42A00F1C"/>
    <w:rsid w:val="42D87B0D"/>
    <w:rsid w:val="42F121E0"/>
    <w:rsid w:val="43393242"/>
    <w:rsid w:val="433AF555"/>
    <w:rsid w:val="43598BBE"/>
    <w:rsid w:val="438BAC52"/>
    <w:rsid w:val="43A4F549"/>
    <w:rsid w:val="4403C2FA"/>
    <w:rsid w:val="444C2276"/>
    <w:rsid w:val="446018CD"/>
    <w:rsid w:val="44CB3B23"/>
    <w:rsid w:val="44E7474E"/>
    <w:rsid w:val="44FF2207"/>
    <w:rsid w:val="45131366"/>
    <w:rsid w:val="451ACF8E"/>
    <w:rsid w:val="453AFFCE"/>
    <w:rsid w:val="45657AA8"/>
    <w:rsid w:val="457F3AF7"/>
    <w:rsid w:val="45BA8CE6"/>
    <w:rsid w:val="45D0C021"/>
    <w:rsid w:val="46322D65"/>
    <w:rsid w:val="4681B325"/>
    <w:rsid w:val="4681BB5B"/>
    <w:rsid w:val="469294CC"/>
    <w:rsid w:val="46BE1A21"/>
    <w:rsid w:val="46C5C0E4"/>
    <w:rsid w:val="470F077B"/>
    <w:rsid w:val="471AD6AC"/>
    <w:rsid w:val="471EAE51"/>
    <w:rsid w:val="4722E34D"/>
    <w:rsid w:val="4746A5CA"/>
    <w:rsid w:val="4755A541"/>
    <w:rsid w:val="47634B5D"/>
    <w:rsid w:val="478855FF"/>
    <w:rsid w:val="478B590A"/>
    <w:rsid w:val="479242FB"/>
    <w:rsid w:val="47ACA709"/>
    <w:rsid w:val="47DD174F"/>
    <w:rsid w:val="48120C06"/>
    <w:rsid w:val="48B24B1B"/>
    <w:rsid w:val="48B7E5BD"/>
    <w:rsid w:val="48E1935A"/>
    <w:rsid w:val="48E22F98"/>
    <w:rsid w:val="491C415B"/>
    <w:rsid w:val="494453E9"/>
    <w:rsid w:val="494D1CB5"/>
    <w:rsid w:val="499B82CE"/>
    <w:rsid w:val="49B0758B"/>
    <w:rsid w:val="49BA5B75"/>
    <w:rsid w:val="49E95726"/>
    <w:rsid w:val="49FC658B"/>
    <w:rsid w:val="4A04CCFB"/>
    <w:rsid w:val="4A16233D"/>
    <w:rsid w:val="4A273D3B"/>
    <w:rsid w:val="4A27F441"/>
    <w:rsid w:val="4A28994F"/>
    <w:rsid w:val="4A48432A"/>
    <w:rsid w:val="4A6FCC4E"/>
    <w:rsid w:val="4A83F038"/>
    <w:rsid w:val="4A9E9C78"/>
    <w:rsid w:val="4AA7EEBD"/>
    <w:rsid w:val="4ABF6611"/>
    <w:rsid w:val="4ADB3B40"/>
    <w:rsid w:val="4ADC80C8"/>
    <w:rsid w:val="4AF2CAA0"/>
    <w:rsid w:val="4B1900B7"/>
    <w:rsid w:val="4B1DD75E"/>
    <w:rsid w:val="4B3AB1D2"/>
    <w:rsid w:val="4B43A0F9"/>
    <w:rsid w:val="4B451E28"/>
    <w:rsid w:val="4B746F1F"/>
    <w:rsid w:val="4B9FCF26"/>
    <w:rsid w:val="4BE8C4A8"/>
    <w:rsid w:val="4C0581FB"/>
    <w:rsid w:val="4C1B581F"/>
    <w:rsid w:val="4C2D38C2"/>
    <w:rsid w:val="4C4CAC2C"/>
    <w:rsid w:val="4C944B42"/>
    <w:rsid w:val="4CBDFD77"/>
    <w:rsid w:val="4CD3EB7B"/>
    <w:rsid w:val="4CE432BA"/>
    <w:rsid w:val="4CFAC269"/>
    <w:rsid w:val="4CFC79A8"/>
    <w:rsid w:val="4CFE1FC7"/>
    <w:rsid w:val="4D1AFD89"/>
    <w:rsid w:val="4D525B7F"/>
    <w:rsid w:val="4D7D7007"/>
    <w:rsid w:val="4D907036"/>
    <w:rsid w:val="4D91B6C5"/>
    <w:rsid w:val="4DA23777"/>
    <w:rsid w:val="4DBAF8E7"/>
    <w:rsid w:val="4DBD9D53"/>
    <w:rsid w:val="4DC14D48"/>
    <w:rsid w:val="4DC72845"/>
    <w:rsid w:val="4DD514E2"/>
    <w:rsid w:val="4DE5F7C8"/>
    <w:rsid w:val="4DE87F12"/>
    <w:rsid w:val="4E4105CD"/>
    <w:rsid w:val="4E5D9473"/>
    <w:rsid w:val="4E60BA77"/>
    <w:rsid w:val="4EB4948C"/>
    <w:rsid w:val="4EE72C8C"/>
    <w:rsid w:val="4EE94B81"/>
    <w:rsid w:val="4EFAF6FB"/>
    <w:rsid w:val="4F52C19A"/>
    <w:rsid w:val="4F695466"/>
    <w:rsid w:val="4F704987"/>
    <w:rsid w:val="4F75FAA2"/>
    <w:rsid w:val="4F7E2F94"/>
    <w:rsid w:val="4F82F681"/>
    <w:rsid w:val="4FA5C73C"/>
    <w:rsid w:val="4FEABD51"/>
    <w:rsid w:val="5023B0E7"/>
    <w:rsid w:val="504286BB"/>
    <w:rsid w:val="5082BC49"/>
    <w:rsid w:val="50C1C6B9"/>
    <w:rsid w:val="50E7E8EC"/>
    <w:rsid w:val="512C4493"/>
    <w:rsid w:val="51416F6B"/>
    <w:rsid w:val="519C2F17"/>
    <w:rsid w:val="51B8D506"/>
    <w:rsid w:val="51E4062A"/>
    <w:rsid w:val="521EBC89"/>
    <w:rsid w:val="52285217"/>
    <w:rsid w:val="52365962"/>
    <w:rsid w:val="5250BAA6"/>
    <w:rsid w:val="5257F519"/>
    <w:rsid w:val="5278C6C4"/>
    <w:rsid w:val="5280D6CF"/>
    <w:rsid w:val="528FAC56"/>
    <w:rsid w:val="529E401C"/>
    <w:rsid w:val="52A78202"/>
    <w:rsid w:val="52D6E23F"/>
    <w:rsid w:val="530B2DF0"/>
    <w:rsid w:val="5382A51B"/>
    <w:rsid w:val="538356AC"/>
    <w:rsid w:val="53BCCC08"/>
    <w:rsid w:val="54181904"/>
    <w:rsid w:val="5433846E"/>
    <w:rsid w:val="544F1264"/>
    <w:rsid w:val="54B51901"/>
    <w:rsid w:val="54DB0A43"/>
    <w:rsid w:val="54F2337E"/>
    <w:rsid w:val="5521FC28"/>
    <w:rsid w:val="55289C80"/>
    <w:rsid w:val="553300C9"/>
    <w:rsid w:val="559BB29A"/>
    <w:rsid w:val="55E04C66"/>
    <w:rsid w:val="55F7BDEF"/>
    <w:rsid w:val="560DBDB2"/>
    <w:rsid w:val="5616B67C"/>
    <w:rsid w:val="5617294F"/>
    <w:rsid w:val="56270443"/>
    <w:rsid w:val="562BD6A1"/>
    <w:rsid w:val="56327A11"/>
    <w:rsid w:val="5664560F"/>
    <w:rsid w:val="567CF377"/>
    <w:rsid w:val="567FFBDC"/>
    <w:rsid w:val="56818F4B"/>
    <w:rsid w:val="569FB4C7"/>
    <w:rsid w:val="56DDC0C4"/>
    <w:rsid w:val="5728DA2C"/>
    <w:rsid w:val="5741DE92"/>
    <w:rsid w:val="57478F99"/>
    <w:rsid w:val="575EDB3A"/>
    <w:rsid w:val="5760A7B7"/>
    <w:rsid w:val="5795CAB3"/>
    <w:rsid w:val="579A971F"/>
    <w:rsid w:val="57EF37BA"/>
    <w:rsid w:val="58276DF8"/>
    <w:rsid w:val="582792F9"/>
    <w:rsid w:val="5833DEDB"/>
    <w:rsid w:val="58689C72"/>
    <w:rsid w:val="588C646D"/>
    <w:rsid w:val="58AB6A8E"/>
    <w:rsid w:val="58FEAEB5"/>
    <w:rsid w:val="5918B054"/>
    <w:rsid w:val="591D02A2"/>
    <w:rsid w:val="5940537D"/>
    <w:rsid w:val="5940C14D"/>
    <w:rsid w:val="5987BAB5"/>
    <w:rsid w:val="59BDA9E1"/>
    <w:rsid w:val="59C37140"/>
    <w:rsid w:val="5A07416C"/>
    <w:rsid w:val="5A28020E"/>
    <w:rsid w:val="5A2E610F"/>
    <w:rsid w:val="5A3CDC87"/>
    <w:rsid w:val="5A4A0D26"/>
    <w:rsid w:val="5A4E1793"/>
    <w:rsid w:val="5A67AD12"/>
    <w:rsid w:val="5A895558"/>
    <w:rsid w:val="5A945188"/>
    <w:rsid w:val="5A94AB57"/>
    <w:rsid w:val="5ADAE057"/>
    <w:rsid w:val="5AF3A477"/>
    <w:rsid w:val="5B4A2793"/>
    <w:rsid w:val="5B530018"/>
    <w:rsid w:val="5B6096C6"/>
    <w:rsid w:val="5B65C28B"/>
    <w:rsid w:val="5B8349A7"/>
    <w:rsid w:val="5BC8917A"/>
    <w:rsid w:val="5BDC0F40"/>
    <w:rsid w:val="5BE1F499"/>
    <w:rsid w:val="5C056708"/>
    <w:rsid w:val="5C210757"/>
    <w:rsid w:val="5C256CC3"/>
    <w:rsid w:val="5CAA782F"/>
    <w:rsid w:val="5CC71827"/>
    <w:rsid w:val="5CCADE41"/>
    <w:rsid w:val="5CD5E76F"/>
    <w:rsid w:val="5CFF0DA6"/>
    <w:rsid w:val="5D3EE8DB"/>
    <w:rsid w:val="5D5DBB7F"/>
    <w:rsid w:val="5DC24E37"/>
    <w:rsid w:val="5DEBDC6C"/>
    <w:rsid w:val="5DED0735"/>
    <w:rsid w:val="5DF4D608"/>
    <w:rsid w:val="5E1B65A8"/>
    <w:rsid w:val="5E680163"/>
    <w:rsid w:val="5E76FB52"/>
    <w:rsid w:val="5E87BC60"/>
    <w:rsid w:val="5EA599D2"/>
    <w:rsid w:val="5EB62ED0"/>
    <w:rsid w:val="5ECDA8C2"/>
    <w:rsid w:val="5EE8A862"/>
    <w:rsid w:val="5F24CF6F"/>
    <w:rsid w:val="5F35402D"/>
    <w:rsid w:val="5F4ED6F6"/>
    <w:rsid w:val="5F54E798"/>
    <w:rsid w:val="5F6CC207"/>
    <w:rsid w:val="5FBF0BE5"/>
    <w:rsid w:val="5FDD2D1A"/>
    <w:rsid w:val="605AA7EB"/>
    <w:rsid w:val="606A2F5E"/>
    <w:rsid w:val="609A8AD4"/>
    <w:rsid w:val="60B479B2"/>
    <w:rsid w:val="60E21C6F"/>
    <w:rsid w:val="611B7679"/>
    <w:rsid w:val="61504348"/>
    <w:rsid w:val="6150E519"/>
    <w:rsid w:val="6168DE8C"/>
    <w:rsid w:val="61998AF0"/>
    <w:rsid w:val="619E42A1"/>
    <w:rsid w:val="619ECA3D"/>
    <w:rsid w:val="61B7ED6D"/>
    <w:rsid w:val="61E32847"/>
    <w:rsid w:val="61FF6D6B"/>
    <w:rsid w:val="625AD71E"/>
    <w:rsid w:val="62792DF4"/>
    <w:rsid w:val="628A3CF0"/>
    <w:rsid w:val="62B77BC9"/>
    <w:rsid w:val="62BC22BC"/>
    <w:rsid w:val="632700C8"/>
    <w:rsid w:val="6335029A"/>
    <w:rsid w:val="635B140C"/>
    <w:rsid w:val="63ED6CF8"/>
    <w:rsid w:val="63EFC622"/>
    <w:rsid w:val="6405F2FE"/>
    <w:rsid w:val="64070C41"/>
    <w:rsid w:val="640BDA2D"/>
    <w:rsid w:val="641F219B"/>
    <w:rsid w:val="6426DE76"/>
    <w:rsid w:val="643899BF"/>
    <w:rsid w:val="64433F7D"/>
    <w:rsid w:val="64466BBD"/>
    <w:rsid w:val="646E0DA5"/>
    <w:rsid w:val="64802741"/>
    <w:rsid w:val="64A245EF"/>
    <w:rsid w:val="64B789AC"/>
    <w:rsid w:val="65B7E53C"/>
    <w:rsid w:val="65D4D258"/>
    <w:rsid w:val="65DA42D6"/>
    <w:rsid w:val="6607BAAB"/>
    <w:rsid w:val="6628402C"/>
    <w:rsid w:val="6689A133"/>
    <w:rsid w:val="66B0CA63"/>
    <w:rsid w:val="66B8709A"/>
    <w:rsid w:val="66BEDD12"/>
    <w:rsid w:val="66BF6016"/>
    <w:rsid w:val="66DBB183"/>
    <w:rsid w:val="66DDC146"/>
    <w:rsid w:val="6791F02A"/>
    <w:rsid w:val="67927A30"/>
    <w:rsid w:val="67B2B38B"/>
    <w:rsid w:val="67C51685"/>
    <w:rsid w:val="67D9B74F"/>
    <w:rsid w:val="68317325"/>
    <w:rsid w:val="684BAE8A"/>
    <w:rsid w:val="6853FBC6"/>
    <w:rsid w:val="6898E5ED"/>
    <w:rsid w:val="68F41ACE"/>
    <w:rsid w:val="6903920C"/>
    <w:rsid w:val="6921E043"/>
    <w:rsid w:val="6961A80D"/>
    <w:rsid w:val="6966B60D"/>
    <w:rsid w:val="6989B3CC"/>
    <w:rsid w:val="69A09403"/>
    <w:rsid w:val="69AE0EC9"/>
    <w:rsid w:val="69B43D63"/>
    <w:rsid w:val="6A025A5F"/>
    <w:rsid w:val="6A373E38"/>
    <w:rsid w:val="6A814854"/>
    <w:rsid w:val="6A81BB81"/>
    <w:rsid w:val="6A87A8BD"/>
    <w:rsid w:val="6A96CBD6"/>
    <w:rsid w:val="6ABD6DA3"/>
    <w:rsid w:val="6AF48E6B"/>
    <w:rsid w:val="6B3E6458"/>
    <w:rsid w:val="6B73BF54"/>
    <w:rsid w:val="6B9AA9DD"/>
    <w:rsid w:val="6BA4F71E"/>
    <w:rsid w:val="6BAA1FAC"/>
    <w:rsid w:val="6BBC69B2"/>
    <w:rsid w:val="6BD5B40F"/>
    <w:rsid w:val="6BDB8346"/>
    <w:rsid w:val="6C03B9E6"/>
    <w:rsid w:val="6C247AE7"/>
    <w:rsid w:val="6CB7509C"/>
    <w:rsid w:val="6D0113E0"/>
    <w:rsid w:val="6D0A50EC"/>
    <w:rsid w:val="6D42D08F"/>
    <w:rsid w:val="6D63ECB7"/>
    <w:rsid w:val="6D85576E"/>
    <w:rsid w:val="6DCB918A"/>
    <w:rsid w:val="6DE8F930"/>
    <w:rsid w:val="6DF7CB43"/>
    <w:rsid w:val="6E09C639"/>
    <w:rsid w:val="6E461D95"/>
    <w:rsid w:val="6EA01EF3"/>
    <w:rsid w:val="6F18E22B"/>
    <w:rsid w:val="6F1AC81B"/>
    <w:rsid w:val="6F2DEC2C"/>
    <w:rsid w:val="6F308AE5"/>
    <w:rsid w:val="6F4BB201"/>
    <w:rsid w:val="6F4CBE55"/>
    <w:rsid w:val="6F5959BA"/>
    <w:rsid w:val="6FA7F793"/>
    <w:rsid w:val="6FBEA937"/>
    <w:rsid w:val="6FC55D81"/>
    <w:rsid w:val="6FEC2907"/>
    <w:rsid w:val="6FF17792"/>
    <w:rsid w:val="70065862"/>
    <w:rsid w:val="7039D326"/>
    <w:rsid w:val="704DBE09"/>
    <w:rsid w:val="706F1A48"/>
    <w:rsid w:val="70BFDF92"/>
    <w:rsid w:val="70E652B0"/>
    <w:rsid w:val="712E0572"/>
    <w:rsid w:val="7168D0B6"/>
    <w:rsid w:val="7177461C"/>
    <w:rsid w:val="71981166"/>
    <w:rsid w:val="71A7E236"/>
    <w:rsid w:val="71DDE0B1"/>
    <w:rsid w:val="71E812E1"/>
    <w:rsid w:val="71F1C632"/>
    <w:rsid w:val="7206DC38"/>
    <w:rsid w:val="7210D4ED"/>
    <w:rsid w:val="722D7654"/>
    <w:rsid w:val="723C8B12"/>
    <w:rsid w:val="723FD668"/>
    <w:rsid w:val="72655395"/>
    <w:rsid w:val="72A5E568"/>
    <w:rsid w:val="72BB4665"/>
    <w:rsid w:val="72D390A4"/>
    <w:rsid w:val="72E8EFF0"/>
    <w:rsid w:val="7314D45B"/>
    <w:rsid w:val="73361E3D"/>
    <w:rsid w:val="7349E898"/>
    <w:rsid w:val="734E63D4"/>
    <w:rsid w:val="734EAA9B"/>
    <w:rsid w:val="73552810"/>
    <w:rsid w:val="735A7759"/>
    <w:rsid w:val="73A43E01"/>
    <w:rsid w:val="73AB82D9"/>
    <w:rsid w:val="73C9E31C"/>
    <w:rsid w:val="73DC423A"/>
    <w:rsid w:val="73FF4514"/>
    <w:rsid w:val="740026FA"/>
    <w:rsid w:val="747DAC6C"/>
    <w:rsid w:val="74C62B3C"/>
    <w:rsid w:val="74E15B3E"/>
    <w:rsid w:val="74ECE48A"/>
    <w:rsid w:val="74FC5C7C"/>
    <w:rsid w:val="751B5464"/>
    <w:rsid w:val="75215493"/>
    <w:rsid w:val="75281CA0"/>
    <w:rsid w:val="7557B677"/>
    <w:rsid w:val="75AB98D8"/>
    <w:rsid w:val="75F7A886"/>
    <w:rsid w:val="7606889C"/>
    <w:rsid w:val="7619E72B"/>
    <w:rsid w:val="762E6DDB"/>
    <w:rsid w:val="763E0196"/>
    <w:rsid w:val="76EE14EE"/>
    <w:rsid w:val="77420F24"/>
    <w:rsid w:val="7783FA64"/>
    <w:rsid w:val="77887A1F"/>
    <w:rsid w:val="77C81EBD"/>
    <w:rsid w:val="77D48452"/>
    <w:rsid w:val="77DD1303"/>
    <w:rsid w:val="78029F34"/>
    <w:rsid w:val="78192EDC"/>
    <w:rsid w:val="782F97AC"/>
    <w:rsid w:val="78A52597"/>
    <w:rsid w:val="78C52867"/>
    <w:rsid w:val="78EC81C7"/>
    <w:rsid w:val="7930BFAE"/>
    <w:rsid w:val="79C4A5BE"/>
    <w:rsid w:val="79DAC5D8"/>
    <w:rsid w:val="79E927AA"/>
    <w:rsid w:val="79EC140F"/>
    <w:rsid w:val="7A1E5294"/>
    <w:rsid w:val="7A2795C1"/>
    <w:rsid w:val="7A300E10"/>
    <w:rsid w:val="7A4C79E3"/>
    <w:rsid w:val="7A72246B"/>
    <w:rsid w:val="7A765A52"/>
    <w:rsid w:val="7AA6ED58"/>
    <w:rsid w:val="7AE10165"/>
    <w:rsid w:val="7AF7101C"/>
    <w:rsid w:val="7AFC9DBB"/>
    <w:rsid w:val="7B18B26C"/>
    <w:rsid w:val="7B6C30B2"/>
    <w:rsid w:val="7B74A48F"/>
    <w:rsid w:val="7BBD3BDA"/>
    <w:rsid w:val="7BCB39AF"/>
    <w:rsid w:val="7BE4BC3E"/>
    <w:rsid w:val="7BF700E4"/>
    <w:rsid w:val="7C0B4D52"/>
    <w:rsid w:val="7C11DE28"/>
    <w:rsid w:val="7C120EB3"/>
    <w:rsid w:val="7C3C22AA"/>
    <w:rsid w:val="7C42A4CD"/>
    <w:rsid w:val="7CA5FD67"/>
    <w:rsid w:val="7CBEE726"/>
    <w:rsid w:val="7CCFCD9F"/>
    <w:rsid w:val="7D0E2B4B"/>
    <w:rsid w:val="7D1395BA"/>
    <w:rsid w:val="7D627073"/>
    <w:rsid w:val="7D657DD6"/>
    <w:rsid w:val="7D90769D"/>
    <w:rsid w:val="7D9D1842"/>
    <w:rsid w:val="7DB912E8"/>
    <w:rsid w:val="7DC4819B"/>
    <w:rsid w:val="7EA2D7BB"/>
    <w:rsid w:val="7EA6059C"/>
    <w:rsid w:val="7EB38FF3"/>
    <w:rsid w:val="7EB42423"/>
    <w:rsid w:val="7ED6A10C"/>
    <w:rsid w:val="7EDC1890"/>
    <w:rsid w:val="7EF83EFB"/>
    <w:rsid w:val="7F4382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EB8FC"/>
  <w15:chartTrackingRefBased/>
  <w15:docId w15:val="{A8E70F52-1578-4E1B-BFCB-80B7A3DE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lsdException w:name="table of authorities" w:semiHidden="1"/>
    <w:lsdException w:name="macro" w:semiHidden="1"/>
    <w:lsdException w:name="toa heading" w:semiHidden="1"/>
    <w:lsdException w:name="List" w:semiHidden="1"/>
    <w:lsdException w:name="List Bullet" w:semiHidden="1" w:uiPriority="2"/>
    <w:lsdException w:name="List Number" w:semiHidden="1" w:uiPriority="2"/>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qFormat="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60821"/>
  </w:style>
  <w:style w:type="paragraph" w:styleId="Heading1">
    <w:name w:val="heading 1"/>
    <w:basedOn w:val="Normal"/>
    <w:next w:val="Normal"/>
    <w:link w:val="Heading1Char"/>
    <w:uiPriority w:val="9"/>
    <w:qFormat/>
    <w:rsid w:val="00060821"/>
    <w:pPr>
      <w:keepNext/>
      <w:keepLines/>
      <w:spacing w:before="360" w:after="80"/>
      <w:outlineLvl w:val="0"/>
    </w:pPr>
    <w:rPr>
      <w:rFonts w:asciiTheme="majorHAnsi" w:eastAsiaTheme="majorEastAsia" w:hAnsiTheme="majorHAnsi" w:cstheme="majorBidi"/>
      <w:color w:val="00448A" w:themeColor="accent1" w:themeShade="BF"/>
      <w:sz w:val="40"/>
      <w:szCs w:val="40"/>
    </w:rPr>
  </w:style>
  <w:style w:type="paragraph" w:styleId="Heading2">
    <w:name w:val="heading 2"/>
    <w:basedOn w:val="Normal"/>
    <w:next w:val="Normal"/>
    <w:link w:val="Heading2Char"/>
    <w:uiPriority w:val="9"/>
    <w:unhideWhenUsed/>
    <w:qFormat/>
    <w:rsid w:val="00060821"/>
    <w:pPr>
      <w:keepNext/>
      <w:keepLines/>
      <w:spacing w:before="160" w:after="80"/>
      <w:outlineLvl w:val="1"/>
    </w:pPr>
    <w:rPr>
      <w:rFonts w:asciiTheme="majorHAnsi" w:eastAsiaTheme="majorEastAsia" w:hAnsiTheme="majorHAnsi" w:cstheme="majorBidi"/>
      <w:color w:val="00448A" w:themeColor="accent1" w:themeShade="BF"/>
      <w:sz w:val="32"/>
      <w:szCs w:val="32"/>
    </w:rPr>
  </w:style>
  <w:style w:type="paragraph" w:styleId="Heading3">
    <w:name w:val="heading 3"/>
    <w:basedOn w:val="Normal"/>
    <w:next w:val="Normal"/>
    <w:link w:val="Heading3Char"/>
    <w:uiPriority w:val="9"/>
    <w:unhideWhenUsed/>
    <w:qFormat/>
    <w:rsid w:val="00060821"/>
    <w:pPr>
      <w:keepNext/>
      <w:keepLines/>
      <w:spacing w:before="160" w:after="80"/>
      <w:outlineLvl w:val="2"/>
    </w:pPr>
    <w:rPr>
      <w:rFonts w:eastAsiaTheme="majorEastAsia" w:cstheme="majorBidi"/>
      <w:color w:val="00448A" w:themeColor="accent1" w:themeShade="BF"/>
      <w:sz w:val="28"/>
      <w:szCs w:val="28"/>
    </w:rPr>
  </w:style>
  <w:style w:type="paragraph" w:styleId="Heading4">
    <w:name w:val="heading 4"/>
    <w:basedOn w:val="Normal"/>
    <w:next w:val="Normal"/>
    <w:link w:val="Heading4Char"/>
    <w:uiPriority w:val="9"/>
    <w:unhideWhenUsed/>
    <w:qFormat/>
    <w:rsid w:val="00060821"/>
    <w:pPr>
      <w:keepNext/>
      <w:keepLines/>
      <w:spacing w:before="80" w:after="40"/>
      <w:outlineLvl w:val="3"/>
    </w:pPr>
    <w:rPr>
      <w:rFonts w:eastAsiaTheme="majorEastAsia" w:cstheme="majorBidi"/>
      <w:i/>
      <w:iCs/>
      <w:color w:val="00448A" w:themeColor="accent1" w:themeShade="BF"/>
    </w:rPr>
  </w:style>
  <w:style w:type="paragraph" w:styleId="Heading5">
    <w:name w:val="heading 5"/>
    <w:basedOn w:val="Normal"/>
    <w:next w:val="Normal"/>
    <w:link w:val="Heading5Char"/>
    <w:uiPriority w:val="9"/>
    <w:semiHidden/>
    <w:unhideWhenUsed/>
    <w:qFormat/>
    <w:rsid w:val="00060821"/>
    <w:pPr>
      <w:keepNext/>
      <w:keepLines/>
      <w:spacing w:before="80" w:after="40"/>
      <w:outlineLvl w:val="4"/>
    </w:pPr>
    <w:rPr>
      <w:rFonts w:eastAsiaTheme="majorEastAsia" w:cstheme="majorBidi"/>
      <w:color w:val="00448A" w:themeColor="accent1" w:themeShade="BF"/>
    </w:rPr>
  </w:style>
  <w:style w:type="paragraph" w:styleId="Heading6">
    <w:name w:val="heading 6"/>
    <w:basedOn w:val="Normal"/>
    <w:next w:val="Normal"/>
    <w:link w:val="Heading6Char"/>
    <w:uiPriority w:val="9"/>
    <w:semiHidden/>
    <w:unhideWhenUsed/>
    <w:qFormat/>
    <w:rsid w:val="00060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rsid w:val="00911DE3"/>
    <w:pPr>
      <w:numPr>
        <w:numId w:val="3"/>
      </w:numPr>
    </w:pPr>
  </w:style>
  <w:style w:type="numbering" w:styleId="1ai">
    <w:name w:val="Outline List 1"/>
    <w:basedOn w:val="NoList"/>
    <w:uiPriority w:val="99"/>
    <w:semiHidden/>
    <w:rsid w:val="00911DE3"/>
    <w:pPr>
      <w:numPr>
        <w:numId w:val="4"/>
      </w:numPr>
    </w:pPr>
  </w:style>
  <w:style w:type="paragraph" w:styleId="BalloonText">
    <w:name w:val="Balloon Text"/>
    <w:basedOn w:val="Normal"/>
    <w:link w:val="BalloonTextChar"/>
    <w:uiPriority w:val="99"/>
    <w:semiHidden/>
    <w:rsid w:val="00911DE3"/>
    <w:pPr>
      <w:spacing w:line="240" w:lineRule="auto"/>
    </w:pPr>
    <w:rPr>
      <w:rFonts w:cs="Arial"/>
    </w:rPr>
  </w:style>
  <w:style w:type="character" w:customStyle="1" w:styleId="BalloonTextChar">
    <w:name w:val="Balloon Text Char"/>
    <w:basedOn w:val="DefaultParagraphFont"/>
    <w:link w:val="BalloonText"/>
    <w:uiPriority w:val="99"/>
    <w:semiHidden/>
    <w:rsid w:val="00911DE3"/>
    <w:rPr>
      <w:rFonts w:cs="Arial"/>
      <w:sz w:val="18"/>
      <w:szCs w:val="18"/>
    </w:rPr>
  </w:style>
  <w:style w:type="paragraph" w:styleId="Bibliography">
    <w:name w:val="Bibliography"/>
    <w:basedOn w:val="Normal"/>
    <w:next w:val="Normal"/>
    <w:uiPriority w:val="99"/>
    <w:semiHidden/>
    <w:rsid w:val="00911DE3"/>
  </w:style>
  <w:style w:type="paragraph" w:styleId="BlockText">
    <w:name w:val="Block Text"/>
    <w:basedOn w:val="Normal"/>
    <w:uiPriority w:val="99"/>
    <w:semiHidden/>
    <w:rsid w:val="00911DE3"/>
    <w:pPr>
      <w:pBdr>
        <w:top w:val="single" w:sz="2" w:space="10" w:color="005CB9" w:themeColor="accent1"/>
        <w:left w:val="single" w:sz="2" w:space="10" w:color="005CB9" w:themeColor="accent1"/>
        <w:bottom w:val="single" w:sz="2" w:space="10" w:color="005CB9" w:themeColor="accent1"/>
        <w:right w:val="single" w:sz="2" w:space="10" w:color="005CB9" w:themeColor="accent1"/>
      </w:pBdr>
      <w:ind w:left="1152" w:right="1152"/>
    </w:pPr>
    <w:rPr>
      <w:rFonts w:cs="Arial"/>
      <w:i/>
      <w:iCs/>
      <w:color w:val="005CB9" w:themeColor="accent1"/>
    </w:rPr>
  </w:style>
  <w:style w:type="paragraph" w:styleId="BodyText">
    <w:name w:val="Body Text"/>
    <w:basedOn w:val="Normal"/>
    <w:link w:val="BodyTextChar"/>
    <w:uiPriority w:val="99"/>
    <w:semiHidden/>
    <w:rsid w:val="00911DE3"/>
    <w:pPr>
      <w:spacing w:after="120"/>
    </w:pPr>
  </w:style>
  <w:style w:type="character" w:customStyle="1" w:styleId="BodyTextChar">
    <w:name w:val="Body Text Char"/>
    <w:basedOn w:val="DefaultParagraphFont"/>
    <w:link w:val="BodyText"/>
    <w:uiPriority w:val="99"/>
    <w:semiHidden/>
    <w:rsid w:val="00911DE3"/>
  </w:style>
  <w:style w:type="paragraph" w:styleId="BodyText2">
    <w:name w:val="Body Text 2"/>
    <w:basedOn w:val="Normal"/>
    <w:link w:val="BodyText2Char"/>
    <w:uiPriority w:val="99"/>
    <w:semiHidden/>
    <w:rsid w:val="00911DE3"/>
    <w:pPr>
      <w:spacing w:after="120" w:line="480" w:lineRule="auto"/>
    </w:pPr>
  </w:style>
  <w:style w:type="character" w:customStyle="1" w:styleId="BodyText2Char">
    <w:name w:val="Body Text 2 Char"/>
    <w:basedOn w:val="DefaultParagraphFont"/>
    <w:link w:val="BodyText2"/>
    <w:uiPriority w:val="99"/>
    <w:semiHidden/>
    <w:rsid w:val="00911DE3"/>
  </w:style>
  <w:style w:type="paragraph" w:styleId="BodyText3">
    <w:name w:val="Body Text 3"/>
    <w:basedOn w:val="Normal"/>
    <w:link w:val="BodyText3Char"/>
    <w:uiPriority w:val="99"/>
    <w:semiHidden/>
    <w:rsid w:val="00911DE3"/>
    <w:pPr>
      <w:spacing w:after="120"/>
    </w:pPr>
    <w:rPr>
      <w:sz w:val="16"/>
      <w:szCs w:val="16"/>
    </w:rPr>
  </w:style>
  <w:style w:type="character" w:customStyle="1" w:styleId="BodyText3Char">
    <w:name w:val="Body Text 3 Char"/>
    <w:basedOn w:val="DefaultParagraphFont"/>
    <w:link w:val="BodyText3"/>
    <w:uiPriority w:val="99"/>
    <w:semiHidden/>
    <w:rsid w:val="00911DE3"/>
    <w:rPr>
      <w:sz w:val="16"/>
      <w:szCs w:val="16"/>
    </w:rPr>
  </w:style>
  <w:style w:type="paragraph" w:styleId="BodyTextFirstIndent">
    <w:name w:val="Body Text First Indent"/>
    <w:basedOn w:val="BodyText"/>
    <w:link w:val="BodyTextFirstIndentChar"/>
    <w:uiPriority w:val="99"/>
    <w:semiHidden/>
    <w:rsid w:val="00911DE3"/>
    <w:pPr>
      <w:spacing w:after="0"/>
      <w:ind w:firstLine="360"/>
    </w:pPr>
  </w:style>
  <w:style w:type="character" w:customStyle="1" w:styleId="BodyTextFirstIndentChar">
    <w:name w:val="Body Text First Indent Char"/>
    <w:basedOn w:val="BodyTextChar"/>
    <w:link w:val="BodyTextFirstIndent"/>
    <w:uiPriority w:val="99"/>
    <w:semiHidden/>
    <w:rsid w:val="00911DE3"/>
  </w:style>
  <w:style w:type="paragraph" w:styleId="BodyTextIndent">
    <w:name w:val="Body Text Indent"/>
    <w:basedOn w:val="Normal"/>
    <w:link w:val="BodyTextIndentChar"/>
    <w:uiPriority w:val="99"/>
    <w:semiHidden/>
    <w:rsid w:val="00911DE3"/>
    <w:pPr>
      <w:spacing w:after="120"/>
      <w:ind w:left="283"/>
    </w:pPr>
  </w:style>
  <w:style w:type="character" w:customStyle="1" w:styleId="BodyTextIndentChar">
    <w:name w:val="Body Text Indent Char"/>
    <w:basedOn w:val="DefaultParagraphFont"/>
    <w:link w:val="BodyTextIndent"/>
    <w:uiPriority w:val="99"/>
    <w:semiHidden/>
    <w:rsid w:val="00911DE3"/>
  </w:style>
  <w:style w:type="paragraph" w:styleId="BodyTextFirstIndent2">
    <w:name w:val="Body Text First Indent 2"/>
    <w:basedOn w:val="BodyTextIndent"/>
    <w:link w:val="BodyTextFirstIndent2Char"/>
    <w:uiPriority w:val="99"/>
    <w:semiHidden/>
    <w:rsid w:val="00911D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DE3"/>
  </w:style>
  <w:style w:type="paragraph" w:styleId="BodyTextIndent2">
    <w:name w:val="Body Text Indent 2"/>
    <w:basedOn w:val="Normal"/>
    <w:link w:val="BodyTextIndent2Char"/>
    <w:uiPriority w:val="99"/>
    <w:semiHidden/>
    <w:rsid w:val="00911DE3"/>
    <w:pPr>
      <w:spacing w:after="120" w:line="480" w:lineRule="auto"/>
      <w:ind w:left="283"/>
    </w:pPr>
  </w:style>
  <w:style w:type="character" w:customStyle="1" w:styleId="BodyTextIndent2Char">
    <w:name w:val="Body Text Indent 2 Char"/>
    <w:basedOn w:val="DefaultParagraphFont"/>
    <w:link w:val="BodyTextIndent2"/>
    <w:uiPriority w:val="99"/>
    <w:semiHidden/>
    <w:rsid w:val="00911DE3"/>
  </w:style>
  <w:style w:type="paragraph" w:styleId="BodyTextIndent3">
    <w:name w:val="Body Text Indent 3"/>
    <w:basedOn w:val="Normal"/>
    <w:link w:val="BodyTextIndent3Char"/>
    <w:uiPriority w:val="99"/>
    <w:semiHidden/>
    <w:rsid w:val="00911D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11DE3"/>
    <w:rPr>
      <w:sz w:val="16"/>
      <w:szCs w:val="16"/>
    </w:rPr>
  </w:style>
  <w:style w:type="character" w:styleId="BookTitle">
    <w:name w:val="Book Title"/>
    <w:basedOn w:val="DefaultParagraphFont"/>
    <w:uiPriority w:val="33"/>
    <w:qFormat/>
    <w:rsid w:val="00060821"/>
    <w:rPr>
      <w:b/>
      <w:bCs/>
      <w:i/>
      <w:iCs/>
      <w:spacing w:val="5"/>
    </w:rPr>
  </w:style>
  <w:style w:type="paragraph" w:styleId="Caption">
    <w:name w:val="caption"/>
    <w:basedOn w:val="Normal"/>
    <w:next w:val="Normal"/>
    <w:uiPriority w:val="35"/>
    <w:unhideWhenUsed/>
    <w:qFormat/>
    <w:rsid w:val="00060821"/>
    <w:pPr>
      <w:spacing w:after="200" w:line="240" w:lineRule="auto"/>
    </w:pPr>
    <w:rPr>
      <w:i/>
      <w:iCs/>
      <w:color w:val="111821" w:themeColor="text2"/>
      <w:sz w:val="18"/>
      <w:szCs w:val="18"/>
    </w:rPr>
  </w:style>
  <w:style w:type="paragraph" w:styleId="Closing">
    <w:name w:val="Closing"/>
    <w:basedOn w:val="Normal"/>
    <w:link w:val="ClosingChar"/>
    <w:uiPriority w:val="99"/>
    <w:semiHidden/>
    <w:rsid w:val="00911DE3"/>
    <w:pPr>
      <w:spacing w:line="240" w:lineRule="auto"/>
      <w:ind w:left="4252"/>
    </w:pPr>
  </w:style>
  <w:style w:type="character" w:customStyle="1" w:styleId="ClosingChar">
    <w:name w:val="Closing Char"/>
    <w:basedOn w:val="DefaultParagraphFont"/>
    <w:link w:val="Closing"/>
    <w:uiPriority w:val="99"/>
    <w:semiHidden/>
    <w:rsid w:val="00911DE3"/>
  </w:style>
  <w:style w:type="table" w:styleId="ColorfulGrid">
    <w:name w:val="Colorful Grid"/>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EDEFF" w:themeFill="accent1" w:themeFillTint="33"/>
    </w:tcPr>
    <w:tblStylePr w:type="firstRow">
      <w:rPr>
        <w:b/>
        <w:bCs/>
      </w:rPr>
      <w:tblPr/>
      <w:tcPr>
        <w:shd w:val="clear" w:color="auto" w:fill="7DBDFF" w:themeFill="accent1" w:themeFillTint="66"/>
      </w:tcPr>
    </w:tblStylePr>
    <w:tblStylePr w:type="lastRow">
      <w:rPr>
        <w:b/>
        <w:bCs/>
        <w:color w:val="000000" w:themeColor="text1"/>
      </w:rPr>
      <w:tblPr/>
      <w:tcPr>
        <w:shd w:val="clear" w:color="auto" w:fill="7DBDFF" w:themeFill="accent1" w:themeFillTint="66"/>
      </w:tcPr>
    </w:tblStylePr>
    <w:tblStylePr w:type="firstCol">
      <w:rPr>
        <w:color w:val="FFFFFF" w:themeColor="background1"/>
      </w:rPr>
      <w:tblPr/>
      <w:tcPr>
        <w:shd w:val="clear" w:color="auto" w:fill="00448A" w:themeFill="accent1" w:themeFillShade="BF"/>
      </w:tcPr>
    </w:tblStylePr>
    <w:tblStylePr w:type="lastCol">
      <w:rPr>
        <w:color w:val="FFFFFF" w:themeColor="background1"/>
      </w:rPr>
      <w:tblPr/>
      <w:tcPr>
        <w:shd w:val="clear" w:color="auto" w:fill="00448A" w:themeFill="accent1" w:themeFillShade="BF"/>
      </w:tcPr>
    </w:tblStylePr>
    <w:tblStylePr w:type="band1Vert">
      <w:tblPr/>
      <w:tcPr>
        <w:shd w:val="clear" w:color="auto" w:fill="5DADFF" w:themeFill="accent1" w:themeFillTint="7F"/>
      </w:tcPr>
    </w:tblStylePr>
    <w:tblStylePr w:type="band1Horz">
      <w:tblPr/>
      <w:tcPr>
        <w:shd w:val="clear" w:color="auto" w:fill="5DADFF" w:themeFill="accent1" w:themeFillTint="7F"/>
      </w:tcPr>
    </w:tblStylePr>
  </w:style>
  <w:style w:type="table" w:styleId="ColorfulGrid-Accent2">
    <w:name w:val="Colorful Grid Accent 2"/>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1F1" w:themeFill="accent2" w:themeFillTint="33"/>
    </w:tcPr>
    <w:tblStylePr w:type="firstRow">
      <w:rPr>
        <w:b/>
        <w:bCs/>
      </w:rPr>
      <w:tblPr/>
      <w:tcPr>
        <w:shd w:val="clear" w:color="auto" w:fill="E3E3E3" w:themeFill="accent2" w:themeFillTint="66"/>
      </w:tcPr>
    </w:tblStylePr>
    <w:tblStylePr w:type="lastRow">
      <w:rPr>
        <w:b/>
        <w:bCs/>
        <w:color w:val="000000" w:themeColor="text1"/>
      </w:rPr>
      <w:tblPr/>
      <w:tcPr>
        <w:shd w:val="clear" w:color="auto" w:fill="E3E3E3" w:themeFill="accent2" w:themeFillTint="66"/>
      </w:tcPr>
    </w:tblStylePr>
    <w:tblStylePr w:type="firstCol">
      <w:rPr>
        <w:color w:val="FFFFFF" w:themeColor="background1"/>
      </w:rPr>
      <w:tblPr/>
      <w:tcPr>
        <w:shd w:val="clear" w:color="auto" w:fill="8C8C8C" w:themeFill="accent2" w:themeFillShade="BF"/>
      </w:tcPr>
    </w:tblStylePr>
    <w:tblStylePr w:type="lastCol">
      <w:rPr>
        <w:color w:val="FFFFFF" w:themeColor="background1"/>
      </w:rPr>
      <w:tblPr/>
      <w:tcPr>
        <w:shd w:val="clear" w:color="auto" w:fill="8C8C8C" w:themeFill="accent2" w:themeFillShade="BF"/>
      </w:tcPr>
    </w:tblStylePr>
    <w:tblStylePr w:type="band1Vert">
      <w:tblPr/>
      <w:tcPr>
        <w:shd w:val="clear" w:color="auto" w:fill="DDDDDD" w:themeFill="accent2" w:themeFillTint="7F"/>
      </w:tcPr>
    </w:tblStylePr>
    <w:tblStylePr w:type="band1Horz">
      <w:tblPr/>
      <w:tcPr>
        <w:shd w:val="clear" w:color="auto" w:fill="DDDDDD" w:themeFill="accent2" w:themeFillTint="7F"/>
      </w:tcPr>
    </w:tblStylePr>
  </w:style>
  <w:style w:type="table" w:styleId="ColorfulGrid-Accent3">
    <w:name w:val="Colorful Grid Accent 3"/>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EF8" w:themeFill="accent3" w:themeFillTint="33"/>
    </w:tcPr>
    <w:tblStylePr w:type="firstRow">
      <w:rPr>
        <w:b/>
        <w:bCs/>
      </w:rPr>
      <w:tblPr/>
      <w:tcPr>
        <w:shd w:val="clear" w:color="auto" w:fill="CBDEF1" w:themeFill="accent3" w:themeFillTint="66"/>
      </w:tcPr>
    </w:tblStylePr>
    <w:tblStylePr w:type="lastRow">
      <w:rPr>
        <w:b/>
        <w:bCs/>
        <w:color w:val="000000" w:themeColor="text1"/>
      </w:rPr>
      <w:tblPr/>
      <w:tcPr>
        <w:shd w:val="clear" w:color="auto" w:fill="CBDEF1" w:themeFill="accent3" w:themeFillTint="66"/>
      </w:tcPr>
    </w:tblStylePr>
    <w:tblStylePr w:type="firstCol">
      <w:rPr>
        <w:color w:val="FFFFFF" w:themeColor="background1"/>
      </w:rPr>
      <w:tblPr/>
      <w:tcPr>
        <w:shd w:val="clear" w:color="auto" w:fill="3A80C9" w:themeFill="accent3" w:themeFillShade="BF"/>
      </w:tcPr>
    </w:tblStylePr>
    <w:tblStylePr w:type="lastCol">
      <w:rPr>
        <w:color w:val="FFFFFF" w:themeColor="background1"/>
      </w:rPr>
      <w:tblPr/>
      <w:tcPr>
        <w:shd w:val="clear" w:color="auto" w:fill="3A80C9" w:themeFill="accent3" w:themeFillShade="BF"/>
      </w:tcPr>
    </w:tblStylePr>
    <w:tblStylePr w:type="band1Vert">
      <w:tblPr/>
      <w:tcPr>
        <w:shd w:val="clear" w:color="auto" w:fill="BFD6ED" w:themeFill="accent3" w:themeFillTint="7F"/>
      </w:tcPr>
    </w:tblStylePr>
    <w:tblStylePr w:type="band1Horz">
      <w:tblPr/>
      <w:tcPr>
        <w:shd w:val="clear" w:color="auto" w:fill="BFD6ED" w:themeFill="accent3" w:themeFillTint="7F"/>
      </w:tcPr>
    </w:tblStylePr>
  </w:style>
  <w:style w:type="table" w:styleId="ColorfulGrid-Accent4">
    <w:name w:val="Colorful Grid Accent 4"/>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3E4" w:themeFill="accent4" w:themeFillTint="33"/>
    </w:tcPr>
    <w:tblStylePr w:type="firstRow">
      <w:rPr>
        <w:b/>
        <w:bCs/>
      </w:rPr>
      <w:tblPr/>
      <w:tcPr>
        <w:shd w:val="clear" w:color="auto" w:fill="C8C8CA" w:themeFill="accent4" w:themeFillTint="66"/>
      </w:tcPr>
    </w:tblStylePr>
    <w:tblStylePr w:type="lastRow">
      <w:rPr>
        <w:b/>
        <w:bCs/>
        <w:color w:val="000000" w:themeColor="text1"/>
      </w:rPr>
      <w:tblPr/>
      <w:tcPr>
        <w:shd w:val="clear" w:color="auto" w:fill="C8C8CA" w:themeFill="accent4" w:themeFillTint="66"/>
      </w:tcPr>
    </w:tblStylePr>
    <w:tblStylePr w:type="firstCol">
      <w:rPr>
        <w:color w:val="FFFFFF" w:themeColor="background1"/>
      </w:rPr>
      <w:tblPr/>
      <w:tcPr>
        <w:shd w:val="clear" w:color="auto" w:fill="58595B" w:themeFill="accent4" w:themeFillShade="BF"/>
      </w:tcPr>
    </w:tblStylePr>
    <w:tblStylePr w:type="lastCol">
      <w:rPr>
        <w:color w:val="FFFFFF" w:themeColor="background1"/>
      </w:rPr>
      <w:tblPr/>
      <w:tcPr>
        <w:shd w:val="clear" w:color="auto" w:fill="58595B" w:themeFill="accent4" w:themeFillShade="BF"/>
      </w:tcPr>
    </w:tblStylePr>
    <w:tblStylePr w:type="band1Vert">
      <w:tblPr/>
      <w:tcPr>
        <w:shd w:val="clear" w:color="auto" w:fill="BABBBD" w:themeFill="accent4" w:themeFillTint="7F"/>
      </w:tcPr>
    </w:tblStylePr>
    <w:tblStylePr w:type="band1Horz">
      <w:tblPr/>
      <w:tcPr>
        <w:shd w:val="clear" w:color="auto" w:fill="BABBBD" w:themeFill="accent4" w:themeFillTint="7F"/>
      </w:tcPr>
    </w:tblStylePr>
  </w:style>
  <w:style w:type="table" w:styleId="ColorfulGrid-Accent5">
    <w:name w:val="Colorful Grid Accent 5"/>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CFDF" w:themeFill="accent5" w:themeFillTint="33"/>
    </w:tcPr>
    <w:tblStylePr w:type="firstRow">
      <w:rPr>
        <w:b/>
        <w:bCs/>
      </w:rPr>
      <w:tblPr/>
      <w:tcPr>
        <w:shd w:val="clear" w:color="auto" w:fill="859FC0" w:themeFill="accent5" w:themeFillTint="66"/>
      </w:tcPr>
    </w:tblStylePr>
    <w:tblStylePr w:type="lastRow">
      <w:rPr>
        <w:b/>
        <w:bCs/>
        <w:color w:val="000000" w:themeColor="text1"/>
      </w:rPr>
      <w:tblPr/>
      <w:tcPr>
        <w:shd w:val="clear" w:color="auto" w:fill="859FC0" w:themeFill="accent5" w:themeFillTint="66"/>
      </w:tcPr>
    </w:tblStylePr>
    <w:tblStylePr w:type="firstCol">
      <w:rPr>
        <w:color w:val="FFFFFF" w:themeColor="background1"/>
      </w:rPr>
      <w:tblPr/>
      <w:tcPr>
        <w:shd w:val="clear" w:color="auto" w:fill="0C1118" w:themeFill="accent5" w:themeFillShade="BF"/>
      </w:tcPr>
    </w:tblStylePr>
    <w:tblStylePr w:type="lastCol">
      <w:rPr>
        <w:color w:val="FFFFFF" w:themeColor="background1"/>
      </w:rPr>
      <w:tblPr/>
      <w:tcPr>
        <w:shd w:val="clear" w:color="auto" w:fill="0C1118" w:themeFill="accent5" w:themeFillShade="BF"/>
      </w:tcPr>
    </w:tblStylePr>
    <w:tblStylePr w:type="band1Vert">
      <w:tblPr/>
      <w:tcPr>
        <w:shd w:val="clear" w:color="auto" w:fill="6787B1" w:themeFill="accent5" w:themeFillTint="7F"/>
      </w:tcPr>
    </w:tblStylePr>
    <w:tblStylePr w:type="band1Horz">
      <w:tblPr/>
      <w:tcPr>
        <w:shd w:val="clear" w:color="auto" w:fill="6787B1" w:themeFill="accent5" w:themeFillTint="7F"/>
      </w:tcPr>
    </w:tblStylePr>
  </w:style>
  <w:style w:type="table" w:styleId="ColorfulGrid-Accent6">
    <w:name w:val="Colorful Grid Accent 6"/>
    <w:basedOn w:val="Table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6FB" w:themeFill="accent6" w:themeFillTint="33"/>
    </w:tcPr>
    <w:tblStylePr w:type="firstRow">
      <w:rPr>
        <w:b/>
        <w:bCs/>
      </w:rPr>
      <w:tblPr/>
      <w:tcPr>
        <w:shd w:val="clear" w:color="auto" w:fill="E5EEF7" w:themeFill="accent6" w:themeFillTint="66"/>
      </w:tcPr>
    </w:tblStylePr>
    <w:tblStylePr w:type="lastRow">
      <w:rPr>
        <w:b/>
        <w:bCs/>
        <w:color w:val="000000" w:themeColor="text1"/>
      </w:rPr>
      <w:tblPr/>
      <w:tcPr>
        <w:shd w:val="clear" w:color="auto" w:fill="E5EEF7" w:themeFill="accent6" w:themeFillTint="66"/>
      </w:tcPr>
    </w:tblStylePr>
    <w:tblStylePr w:type="firstCol">
      <w:rPr>
        <w:color w:val="FFFFFF" w:themeColor="background1"/>
      </w:rPr>
      <w:tblPr/>
      <w:tcPr>
        <w:shd w:val="clear" w:color="auto" w:fill="6A9FD5" w:themeFill="accent6" w:themeFillShade="BF"/>
      </w:tcPr>
    </w:tblStylePr>
    <w:tblStylePr w:type="lastCol">
      <w:rPr>
        <w:color w:val="FFFFFF" w:themeColor="background1"/>
      </w:rPr>
      <w:tblPr/>
      <w:tcPr>
        <w:shd w:val="clear" w:color="auto" w:fill="6A9FD5" w:themeFill="accent6" w:themeFillShade="BF"/>
      </w:tcPr>
    </w:tblStylePr>
    <w:tblStylePr w:type="band1Vert">
      <w:tblPr/>
      <w:tcPr>
        <w:shd w:val="clear" w:color="auto" w:fill="DFEAF6" w:themeFill="accent6" w:themeFillTint="7F"/>
      </w:tcPr>
    </w:tblStylePr>
    <w:tblStylePr w:type="band1Horz">
      <w:tblPr/>
      <w:tcPr>
        <w:shd w:val="clear" w:color="auto" w:fill="DFEAF6" w:themeFill="accent6" w:themeFillTint="7F"/>
      </w:tcPr>
    </w:tblStylePr>
  </w:style>
  <w:style w:type="table" w:styleId="ColorfulList">
    <w:name w:val="Colorful List"/>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59595" w:themeFill="accent2" w:themeFillShade="CC"/>
      </w:tcPr>
    </w:tblStylePr>
    <w:tblStylePr w:type="lastRow">
      <w:rPr>
        <w:b/>
        <w:bCs/>
        <w:color w:val="95959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DFEEFF" w:themeFill="accent1" w:themeFillTint="19"/>
    </w:tcPr>
    <w:tblStylePr w:type="firstRow">
      <w:rPr>
        <w:b/>
        <w:bCs/>
        <w:color w:val="FFFFFF" w:themeColor="background1"/>
      </w:rPr>
      <w:tblPr/>
      <w:tcPr>
        <w:tcBorders>
          <w:bottom w:val="single" w:sz="12" w:space="0" w:color="FFFFFF" w:themeColor="background1"/>
        </w:tcBorders>
        <w:shd w:val="clear" w:color="auto" w:fill="959595" w:themeFill="accent2" w:themeFillShade="CC"/>
      </w:tcPr>
    </w:tblStylePr>
    <w:tblStylePr w:type="lastRow">
      <w:rPr>
        <w:b/>
        <w:bCs/>
        <w:color w:val="95959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hemeFill="accent1" w:themeFillTint="3F"/>
      </w:tcPr>
    </w:tblStylePr>
    <w:tblStylePr w:type="band1Horz">
      <w:tblPr/>
      <w:tcPr>
        <w:shd w:val="clear" w:color="auto" w:fill="BEDEFF" w:themeFill="accent1" w:themeFillTint="33"/>
      </w:tcPr>
    </w:tblStylePr>
  </w:style>
  <w:style w:type="table" w:styleId="ColorfulList-Accent2">
    <w:name w:val="Colorful List Accent 2"/>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59595" w:themeFill="accent2" w:themeFillShade="CC"/>
      </w:tcPr>
    </w:tblStylePr>
    <w:tblStylePr w:type="lastRow">
      <w:rPr>
        <w:b/>
        <w:bCs/>
        <w:color w:val="95959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EEE" w:themeFill="accent2" w:themeFillTint="3F"/>
      </w:tcPr>
    </w:tblStylePr>
    <w:tblStylePr w:type="band1Horz">
      <w:tblPr/>
      <w:tcPr>
        <w:shd w:val="clear" w:color="auto" w:fill="F1F1F1" w:themeFill="accent2" w:themeFillTint="33"/>
      </w:tcPr>
    </w:tblStylePr>
  </w:style>
  <w:style w:type="table" w:styleId="ColorfulList-Accent3">
    <w:name w:val="Colorful List Accent 3"/>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F2F6FB" w:themeFill="accent3" w:themeFillTint="19"/>
    </w:tcPr>
    <w:tblStylePr w:type="firstRow">
      <w:rPr>
        <w:b/>
        <w:bCs/>
        <w:color w:val="FFFFFF" w:themeColor="background1"/>
      </w:rPr>
      <w:tblPr/>
      <w:tcPr>
        <w:tcBorders>
          <w:bottom w:val="single" w:sz="12" w:space="0" w:color="FFFFFF" w:themeColor="background1"/>
        </w:tcBorders>
        <w:shd w:val="clear" w:color="auto" w:fill="5E5F62" w:themeFill="accent4" w:themeFillShade="CC"/>
      </w:tcPr>
    </w:tblStylePr>
    <w:tblStylePr w:type="lastRow">
      <w:rPr>
        <w:b/>
        <w:bCs/>
        <w:color w:val="5E5F6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AF6" w:themeFill="accent3" w:themeFillTint="3F"/>
      </w:tcPr>
    </w:tblStylePr>
    <w:tblStylePr w:type="band1Horz">
      <w:tblPr/>
      <w:tcPr>
        <w:shd w:val="clear" w:color="auto" w:fill="E5EEF8" w:themeFill="accent3" w:themeFillTint="33"/>
      </w:tcPr>
    </w:tblStylePr>
  </w:style>
  <w:style w:type="table" w:styleId="ColorfulList-Accent4">
    <w:name w:val="Colorful List Accent 4"/>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F1F1F2" w:themeFill="accent4" w:themeFillTint="19"/>
    </w:tcPr>
    <w:tblStylePr w:type="firstRow">
      <w:rPr>
        <w:b/>
        <w:bCs/>
        <w:color w:val="FFFFFF" w:themeColor="background1"/>
      </w:rPr>
      <w:tblPr/>
      <w:tcPr>
        <w:tcBorders>
          <w:bottom w:val="single" w:sz="12" w:space="0" w:color="FFFFFF" w:themeColor="background1"/>
        </w:tcBorders>
        <w:shd w:val="clear" w:color="auto" w:fill="4889CD" w:themeFill="accent3" w:themeFillShade="CC"/>
      </w:tcPr>
    </w:tblStylePr>
    <w:tblStylePr w:type="lastRow">
      <w:rPr>
        <w:b/>
        <w:bCs/>
        <w:color w:val="4889C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DDE" w:themeFill="accent4" w:themeFillTint="3F"/>
      </w:tcPr>
    </w:tblStylePr>
    <w:tblStylePr w:type="band1Horz">
      <w:tblPr/>
      <w:tcPr>
        <w:shd w:val="clear" w:color="auto" w:fill="E3E3E4" w:themeFill="accent4" w:themeFillTint="33"/>
      </w:tcPr>
    </w:tblStylePr>
  </w:style>
  <w:style w:type="table" w:styleId="ColorfulList-Accent5">
    <w:name w:val="Colorful List Accent 5"/>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E1E7EF" w:themeFill="accent5" w:themeFillTint="19"/>
    </w:tcPr>
    <w:tblStylePr w:type="firstRow">
      <w:rPr>
        <w:b/>
        <w:bCs/>
        <w:color w:val="FFFFFF" w:themeColor="background1"/>
      </w:rPr>
      <w:tblPr/>
      <w:tcPr>
        <w:tcBorders>
          <w:bottom w:val="single" w:sz="12" w:space="0" w:color="FFFFFF" w:themeColor="background1"/>
        </w:tcBorders>
        <w:shd w:val="clear" w:color="auto" w:fill="7CAADA" w:themeFill="accent6" w:themeFillShade="CC"/>
      </w:tcPr>
    </w:tblStylePr>
    <w:tblStylePr w:type="lastRow">
      <w:rPr>
        <w:b/>
        <w:bCs/>
        <w:color w:val="7CAAD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C3D8" w:themeFill="accent5" w:themeFillTint="3F"/>
      </w:tcPr>
    </w:tblStylePr>
    <w:tblStylePr w:type="band1Horz">
      <w:tblPr/>
      <w:tcPr>
        <w:shd w:val="clear" w:color="auto" w:fill="C2CFDF" w:themeFill="accent5" w:themeFillTint="33"/>
      </w:tcPr>
    </w:tblStylePr>
  </w:style>
  <w:style w:type="table" w:styleId="ColorfulList-Accent6">
    <w:name w:val="Colorful List Accent 6"/>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F8FAFD" w:themeFill="accent6" w:themeFillTint="19"/>
    </w:tcPr>
    <w:tblStylePr w:type="firstRow">
      <w:rPr>
        <w:b/>
        <w:bCs/>
        <w:color w:val="FFFFFF" w:themeColor="background1"/>
      </w:rPr>
      <w:tblPr/>
      <w:tcPr>
        <w:tcBorders>
          <w:bottom w:val="single" w:sz="12" w:space="0" w:color="FFFFFF" w:themeColor="background1"/>
        </w:tcBorders>
        <w:shd w:val="clear" w:color="auto" w:fill="0D131A" w:themeFill="accent5" w:themeFillShade="CC"/>
      </w:tcPr>
    </w:tblStylePr>
    <w:tblStylePr w:type="lastRow">
      <w:rPr>
        <w:b/>
        <w:bCs/>
        <w:color w:val="0D131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4FA" w:themeFill="accent6" w:themeFillTint="3F"/>
      </w:tcPr>
    </w:tblStylePr>
    <w:tblStylePr w:type="band1Horz">
      <w:tblPr/>
      <w:tcPr>
        <w:shd w:val="clear" w:color="auto" w:fill="F1F6FB" w:themeFill="accent6" w:themeFillTint="33"/>
      </w:tcPr>
    </w:tblStylePr>
  </w:style>
  <w:style w:type="table" w:styleId="ColorfulShading">
    <w:name w:val="Colorful Shading"/>
    <w:basedOn w:val="TableNormal"/>
    <w:uiPriority w:val="99"/>
    <w:semiHidden/>
    <w:unhideWhenUsed/>
    <w:rsid w:val="00911DE3"/>
    <w:pPr>
      <w:spacing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BBBB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911DE3"/>
    <w:pPr>
      <w:spacing w:line="240" w:lineRule="auto"/>
    </w:pPr>
    <w:rPr>
      <w:color w:val="000000" w:themeColor="text1"/>
    </w:rPr>
    <w:tblPr>
      <w:tblStyleRowBandSize w:val="1"/>
      <w:tblStyleColBandSize w:val="1"/>
    </w:tblPr>
    <w:tcPr>
      <w:tcBorders>
        <w:top w:val="nil"/>
        <w:left w:val="nil"/>
        <w:bottom w:val="nil"/>
        <w:right w:val="nil"/>
      </w:tcBorders>
      <w:shd w:val="clear" w:color="auto" w:fill="DFEEFF" w:themeFill="accent1" w:themeFillTint="19"/>
    </w:tcPr>
    <w:tblStylePr w:type="firstRow">
      <w:rPr>
        <w:b/>
        <w:bCs/>
      </w:rPr>
      <w:tblPr/>
      <w:tcPr>
        <w:tcBorders>
          <w:top w:val="nil"/>
          <w:left w:val="nil"/>
          <w:bottom w:val="single" w:sz="24" w:space="0" w:color="BBBB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6F" w:themeFill="accent1" w:themeFillShade="99"/>
      </w:tcPr>
    </w:tblStylePr>
    <w:tblStylePr w:type="firstCol">
      <w:rPr>
        <w:color w:val="FFFFFF" w:themeColor="background1"/>
      </w:rPr>
      <w:tblPr/>
      <w:tcPr>
        <w:tcBorders>
          <w:top w:val="nil"/>
          <w:left w:val="nil"/>
          <w:bottom w:val="nil"/>
          <w:right w:val="nil"/>
          <w:insideH w:val="single" w:sz="4" w:space="0" w:color="00366F" w:themeColor="accent1" w:themeShade="99"/>
          <w:insideV w:val="nil"/>
        </w:tcBorders>
        <w:shd w:val="clear" w:color="auto" w:fill="00366F"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911DE3"/>
    <w:pPr>
      <w:spacing w:line="240" w:lineRule="auto"/>
    </w:pPr>
    <w:rPr>
      <w:color w:val="000000" w:themeColor="text1"/>
    </w:rPr>
    <w:tblPr>
      <w:tblStyleRowBandSize w:val="1"/>
      <w:tblStyleColBandSize w:val="1"/>
    </w:tblPr>
    <w:tcPr>
      <w:tcBorders>
        <w:top w:val="nil"/>
        <w:left w:val="nil"/>
        <w:bottom w:val="nil"/>
        <w:right w:val="nil"/>
      </w:tcBorders>
      <w:shd w:val="clear" w:color="auto" w:fill="F8F8F8" w:themeFill="accent2" w:themeFillTint="19"/>
    </w:tcPr>
    <w:tblStylePr w:type="firstRow">
      <w:rPr>
        <w:b/>
        <w:bCs/>
      </w:rPr>
      <w:tblPr/>
      <w:tcPr>
        <w:tcBorders>
          <w:top w:val="nil"/>
          <w:left w:val="nil"/>
          <w:bottom w:val="single" w:sz="24" w:space="0" w:color="BBBBB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7070" w:themeFill="accent2" w:themeFillShade="99"/>
      </w:tcPr>
    </w:tblStylePr>
    <w:tblStylePr w:type="firstCol">
      <w:rPr>
        <w:color w:val="FFFFFF" w:themeColor="background1"/>
      </w:rPr>
      <w:tblPr/>
      <w:tcPr>
        <w:tcBorders>
          <w:top w:val="nil"/>
          <w:left w:val="nil"/>
          <w:bottom w:val="nil"/>
          <w:right w:val="nil"/>
          <w:insideH w:val="single" w:sz="4" w:space="0" w:color="707070" w:themeColor="accent2" w:themeShade="99"/>
          <w:insideV w:val="nil"/>
        </w:tcBorders>
        <w:shd w:val="clear" w:color="auto" w:fill="707070"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911DE3"/>
    <w:pPr>
      <w:spacing w:line="240" w:lineRule="auto"/>
    </w:pPr>
    <w:rPr>
      <w:color w:val="000000" w:themeColor="text1"/>
    </w:rPr>
    <w:tblPr>
      <w:tblStyleRowBandSize w:val="1"/>
      <w:tblStyleColBandSize w:val="1"/>
    </w:tblPr>
    <w:tcPr>
      <w:tcBorders>
        <w:top w:val="nil"/>
        <w:left w:val="nil"/>
        <w:bottom w:val="nil"/>
        <w:right w:val="nil"/>
      </w:tcBorders>
      <w:shd w:val="clear" w:color="auto" w:fill="F2F6FB" w:themeFill="accent3" w:themeFillTint="19"/>
    </w:tcPr>
    <w:tblStylePr w:type="firstRow">
      <w:rPr>
        <w:b/>
        <w:bCs/>
      </w:rPr>
      <w:tblPr/>
      <w:tcPr>
        <w:tcBorders>
          <w:top w:val="nil"/>
          <w:left w:val="nil"/>
          <w:bottom w:val="single" w:sz="24" w:space="0" w:color="76777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67A3" w:themeFill="accent3" w:themeFillShade="99"/>
      </w:tcPr>
    </w:tblStylePr>
    <w:tblStylePr w:type="firstCol">
      <w:rPr>
        <w:color w:val="FFFFFF" w:themeColor="background1"/>
      </w:rPr>
      <w:tblPr/>
      <w:tcPr>
        <w:tcBorders>
          <w:top w:val="nil"/>
          <w:left w:val="nil"/>
          <w:bottom w:val="nil"/>
          <w:right w:val="nil"/>
          <w:insideH w:val="single" w:sz="4" w:space="0" w:color="2C67A3" w:themeColor="accent3" w:themeShade="99"/>
          <w:insideV w:val="nil"/>
        </w:tcBorders>
        <w:shd w:val="clear" w:color="auto" w:fill="2C67A3" w:themeFill="accent3" w:themeFillShade="99"/>
      </w:tcPr>
    </w:tblStylePr>
    <w:tblStylePr w:type="lastCol">
      <w:rPr>
        <w:color w:val="FFFFFF" w:themeColor="background1"/>
      </w:rPr>
    </w:tblStylePr>
  </w:style>
  <w:style w:type="table" w:styleId="ColorfulShading-Accent4">
    <w:name w:val="Colorful Shading Accent 4"/>
    <w:basedOn w:val="TableNormal"/>
    <w:uiPriority w:val="99"/>
    <w:semiHidden/>
    <w:unhideWhenUsed/>
    <w:rsid w:val="00911DE3"/>
    <w:pPr>
      <w:spacing w:line="240" w:lineRule="auto"/>
    </w:pPr>
    <w:rPr>
      <w:color w:val="000000" w:themeColor="text1"/>
    </w:rPr>
    <w:tblPr>
      <w:tblStyleRowBandSize w:val="1"/>
      <w:tblStyleColBandSize w:val="1"/>
    </w:tblPr>
    <w:tcPr>
      <w:tcBorders>
        <w:top w:val="nil"/>
        <w:left w:val="nil"/>
        <w:bottom w:val="nil"/>
        <w:right w:val="nil"/>
      </w:tcBorders>
      <w:shd w:val="clear" w:color="auto" w:fill="F1F1F2" w:themeFill="accent4" w:themeFillTint="19"/>
    </w:tcPr>
    <w:tblStylePr w:type="firstRow">
      <w:rPr>
        <w:b/>
        <w:bCs/>
      </w:rPr>
      <w:tblPr/>
      <w:tcPr>
        <w:tcBorders>
          <w:top w:val="nil"/>
          <w:left w:val="nil"/>
          <w:bottom w:val="single" w:sz="24" w:space="0" w:color="7FADD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4749" w:themeFill="accent4" w:themeFillShade="99"/>
      </w:tcPr>
    </w:tblStylePr>
    <w:tblStylePr w:type="firstCol">
      <w:rPr>
        <w:color w:val="FFFFFF" w:themeColor="background1"/>
      </w:rPr>
      <w:tblPr/>
      <w:tcPr>
        <w:tcBorders>
          <w:top w:val="nil"/>
          <w:left w:val="nil"/>
          <w:bottom w:val="nil"/>
          <w:right w:val="nil"/>
          <w:insideH w:val="single" w:sz="4" w:space="0" w:color="464749" w:themeColor="accent4" w:themeShade="99"/>
          <w:insideV w:val="nil"/>
        </w:tcBorders>
        <w:shd w:val="clear" w:color="auto" w:fill="464749"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911DE3"/>
    <w:pPr>
      <w:spacing w:line="240" w:lineRule="auto"/>
    </w:pPr>
    <w:rPr>
      <w:color w:val="000000" w:themeColor="text1"/>
    </w:rPr>
    <w:tblPr>
      <w:tblStyleRowBandSize w:val="1"/>
      <w:tblStyleColBandSize w:val="1"/>
    </w:tblPr>
    <w:tcPr>
      <w:tcBorders>
        <w:top w:val="nil"/>
        <w:left w:val="nil"/>
        <w:bottom w:val="nil"/>
        <w:right w:val="nil"/>
      </w:tcBorders>
      <w:shd w:val="clear" w:color="auto" w:fill="E1E7EF" w:themeFill="accent5" w:themeFillTint="19"/>
    </w:tcPr>
    <w:tblStylePr w:type="firstRow">
      <w:rPr>
        <w:b/>
        <w:bCs/>
      </w:rPr>
      <w:tblPr/>
      <w:tcPr>
        <w:tcBorders>
          <w:top w:val="nil"/>
          <w:left w:val="nil"/>
          <w:bottom w:val="single" w:sz="24" w:space="0" w:color="BFD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E13" w:themeFill="accent5" w:themeFillShade="99"/>
      </w:tcPr>
    </w:tblStylePr>
    <w:tblStylePr w:type="firstCol">
      <w:rPr>
        <w:color w:val="FFFFFF" w:themeColor="background1"/>
      </w:rPr>
      <w:tblPr/>
      <w:tcPr>
        <w:tcBorders>
          <w:top w:val="nil"/>
          <w:left w:val="nil"/>
          <w:bottom w:val="nil"/>
          <w:right w:val="nil"/>
          <w:insideH w:val="single" w:sz="4" w:space="0" w:color="0A0E13" w:themeColor="accent5" w:themeShade="99"/>
          <w:insideV w:val="nil"/>
        </w:tcBorders>
        <w:shd w:val="clear" w:color="auto" w:fill="0A0E13"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911DE3"/>
    <w:pPr>
      <w:spacing w:line="240" w:lineRule="auto"/>
    </w:pPr>
    <w:rPr>
      <w:color w:val="000000" w:themeColor="text1"/>
    </w:rPr>
    <w:tblPr>
      <w:tblStyleRowBandSize w:val="1"/>
      <w:tblStyleColBandSize w:val="1"/>
    </w:tblPr>
    <w:tcPr>
      <w:tcBorders>
        <w:top w:val="nil"/>
        <w:left w:val="nil"/>
        <w:bottom w:val="nil"/>
        <w:right w:val="nil"/>
      </w:tcBorders>
      <w:shd w:val="clear" w:color="auto" w:fill="F8FAFD" w:themeFill="accent6" w:themeFillTint="19"/>
    </w:tcPr>
    <w:tblStylePr w:type="firstRow">
      <w:rPr>
        <w:b/>
        <w:bCs/>
      </w:rPr>
      <w:tblPr/>
      <w:tcPr>
        <w:tcBorders>
          <w:top w:val="nil"/>
          <w:left w:val="nil"/>
          <w:bottom w:val="single" w:sz="24" w:space="0" w:color="11182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0C7" w:themeFill="accent6" w:themeFillShade="99"/>
      </w:tcPr>
    </w:tblStylePr>
    <w:tblStylePr w:type="firstCol">
      <w:rPr>
        <w:color w:val="FFFFFF" w:themeColor="background1"/>
      </w:rPr>
      <w:tblPr/>
      <w:tcPr>
        <w:tcBorders>
          <w:top w:val="nil"/>
          <w:left w:val="nil"/>
          <w:bottom w:val="nil"/>
          <w:right w:val="nil"/>
          <w:insideH w:val="single" w:sz="4" w:space="0" w:color="3980C7" w:themeColor="accent6" w:themeShade="99"/>
          <w:insideV w:val="nil"/>
        </w:tcBorders>
        <w:shd w:val="clear" w:color="auto" w:fill="3980C7"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11DE3"/>
    <w:rPr>
      <w:sz w:val="16"/>
      <w:szCs w:val="16"/>
    </w:rPr>
  </w:style>
  <w:style w:type="paragraph" w:styleId="CommentText">
    <w:name w:val="annotation text"/>
    <w:basedOn w:val="Normal"/>
    <w:link w:val="CommentTextChar"/>
    <w:uiPriority w:val="99"/>
    <w:semiHidden/>
    <w:rsid w:val="00911DE3"/>
    <w:pPr>
      <w:spacing w:line="240" w:lineRule="auto"/>
    </w:pPr>
  </w:style>
  <w:style w:type="character" w:customStyle="1" w:styleId="CommentTextChar">
    <w:name w:val="Comment Text Char"/>
    <w:basedOn w:val="DefaultParagraphFont"/>
    <w:link w:val="CommentText"/>
    <w:uiPriority w:val="99"/>
    <w:semiHidden/>
    <w:rsid w:val="00911DE3"/>
  </w:style>
  <w:style w:type="paragraph" w:styleId="CommentSubject">
    <w:name w:val="annotation subject"/>
    <w:basedOn w:val="CommentText"/>
    <w:next w:val="CommentText"/>
    <w:link w:val="CommentSubjectChar"/>
    <w:uiPriority w:val="99"/>
    <w:semiHidden/>
    <w:rsid w:val="00911DE3"/>
    <w:rPr>
      <w:b/>
      <w:bCs/>
    </w:rPr>
  </w:style>
  <w:style w:type="character" w:customStyle="1" w:styleId="CommentSubjectChar">
    <w:name w:val="Comment Subject Char"/>
    <w:basedOn w:val="CommentTextChar"/>
    <w:link w:val="CommentSubject"/>
    <w:uiPriority w:val="99"/>
    <w:semiHidden/>
    <w:rsid w:val="00911DE3"/>
    <w:rPr>
      <w:b/>
      <w:bCs/>
    </w:rPr>
  </w:style>
  <w:style w:type="table" w:styleId="DarkList">
    <w:name w:val="Dark List"/>
    <w:basedOn w:val="TableNormal"/>
    <w:uiPriority w:val="99"/>
    <w:semiHidden/>
    <w:unhideWhenUsed/>
    <w:rsid w:val="00911DE3"/>
    <w:pPr>
      <w:spacing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1">
    <w:name w:val="Dark List Accent 1"/>
    <w:basedOn w:val="TableNormal"/>
    <w:uiPriority w:val="99"/>
    <w:semiHidden/>
    <w:unhideWhenUsed/>
    <w:rsid w:val="00911DE3"/>
    <w:pPr>
      <w:spacing w:line="240" w:lineRule="auto"/>
    </w:pPr>
    <w:rPr>
      <w:color w:val="FFFFFF" w:themeColor="background1"/>
    </w:rPr>
    <w:tblPr>
      <w:tblStyleRowBandSize w:val="1"/>
      <w:tblStyleColBandSize w:val="1"/>
    </w:tblPr>
    <w:tcPr>
      <w:tcBorders>
        <w:top w:val="nil"/>
        <w:left w:val="nil"/>
        <w:bottom w:val="nil"/>
        <w:right w:val="nil"/>
      </w:tcBorders>
      <w:shd w:val="clear" w:color="auto" w:fill="005CB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2">
    <w:name w:val="Dark List Accent 2"/>
    <w:basedOn w:val="TableNormal"/>
    <w:uiPriority w:val="99"/>
    <w:semiHidden/>
    <w:unhideWhenUsed/>
    <w:rsid w:val="00911DE3"/>
    <w:pPr>
      <w:spacing w:line="240" w:lineRule="auto"/>
    </w:pPr>
    <w:rPr>
      <w:color w:val="FFFFFF" w:themeColor="background1"/>
    </w:rPr>
    <w:tblPr>
      <w:tblStyleRowBandSize w:val="1"/>
      <w:tblStyleColBandSize w:val="1"/>
    </w:tblPr>
    <w:tcPr>
      <w:tcBorders>
        <w:top w:val="nil"/>
        <w:left w:val="nil"/>
        <w:bottom w:val="nil"/>
        <w:right w:val="nil"/>
      </w:tcBorders>
      <w:shd w:val="clear" w:color="auto" w:fill="BBBBB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3">
    <w:name w:val="Dark List Accent 3"/>
    <w:basedOn w:val="TableNormal"/>
    <w:uiPriority w:val="99"/>
    <w:semiHidden/>
    <w:unhideWhenUsed/>
    <w:rsid w:val="00911DE3"/>
    <w:pPr>
      <w:spacing w:line="240" w:lineRule="auto"/>
    </w:pPr>
    <w:rPr>
      <w:color w:val="FFFFFF" w:themeColor="background1"/>
    </w:rPr>
    <w:tblPr>
      <w:tblStyleRowBandSize w:val="1"/>
      <w:tblStyleColBandSize w:val="1"/>
    </w:tblPr>
    <w:tcPr>
      <w:tcBorders>
        <w:top w:val="nil"/>
        <w:left w:val="nil"/>
        <w:bottom w:val="nil"/>
        <w:right w:val="nil"/>
      </w:tcBorders>
      <w:shd w:val="clear" w:color="auto" w:fill="7FADD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4">
    <w:name w:val="Dark List Accent 4"/>
    <w:basedOn w:val="TableNormal"/>
    <w:uiPriority w:val="99"/>
    <w:semiHidden/>
    <w:unhideWhenUsed/>
    <w:rsid w:val="00911DE3"/>
    <w:pPr>
      <w:spacing w:line="240" w:lineRule="auto"/>
    </w:pPr>
    <w:rPr>
      <w:color w:val="FFFFFF" w:themeColor="background1"/>
    </w:rPr>
    <w:tblPr>
      <w:tblStyleRowBandSize w:val="1"/>
      <w:tblStyleColBandSize w:val="1"/>
    </w:tblPr>
    <w:tcPr>
      <w:tcBorders>
        <w:top w:val="nil"/>
        <w:left w:val="nil"/>
        <w:bottom w:val="nil"/>
        <w:right w:val="nil"/>
      </w:tcBorders>
      <w:shd w:val="clear" w:color="auto" w:fill="76777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5">
    <w:name w:val="Dark List Accent 5"/>
    <w:basedOn w:val="TableNormal"/>
    <w:uiPriority w:val="99"/>
    <w:semiHidden/>
    <w:unhideWhenUsed/>
    <w:rsid w:val="00911DE3"/>
    <w:pPr>
      <w:spacing w:line="240" w:lineRule="auto"/>
    </w:pPr>
    <w:rPr>
      <w:color w:val="FFFFFF" w:themeColor="background1"/>
    </w:rPr>
    <w:tblPr>
      <w:tblStyleRowBandSize w:val="1"/>
      <w:tblStyleColBandSize w:val="1"/>
    </w:tblPr>
    <w:tcPr>
      <w:tcBorders>
        <w:top w:val="nil"/>
        <w:left w:val="nil"/>
        <w:bottom w:val="nil"/>
        <w:right w:val="nil"/>
      </w:tcBorders>
      <w:shd w:val="clear" w:color="auto" w:fill="11182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table" w:styleId="DarkList-Accent6">
    <w:name w:val="Dark List Accent 6"/>
    <w:basedOn w:val="TableNormal"/>
    <w:uiPriority w:val="99"/>
    <w:semiHidden/>
    <w:unhideWhenUsed/>
    <w:rsid w:val="00911DE3"/>
    <w:pPr>
      <w:spacing w:line="240" w:lineRule="auto"/>
    </w:pPr>
    <w:rPr>
      <w:color w:val="FFFFFF" w:themeColor="background1"/>
    </w:rPr>
    <w:tblPr>
      <w:tblStyleRowBandSize w:val="1"/>
      <w:tblStyleColBandSize w:val="1"/>
    </w:tblPr>
    <w:tcPr>
      <w:tcBorders>
        <w:top w:val="nil"/>
        <w:left w:val="nil"/>
        <w:bottom w:val="nil"/>
        <w:right w:val="nil"/>
      </w:tcBorders>
      <w:shd w:val="clear" w:color="auto" w:fill="BFD6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style>
  <w:style w:type="paragraph" w:styleId="Date">
    <w:name w:val="Date"/>
    <w:basedOn w:val="Normal"/>
    <w:next w:val="Normal"/>
    <w:link w:val="DateChar"/>
    <w:uiPriority w:val="99"/>
    <w:semiHidden/>
    <w:rsid w:val="00911DE3"/>
  </w:style>
  <w:style w:type="character" w:customStyle="1" w:styleId="DateChar">
    <w:name w:val="Date Char"/>
    <w:basedOn w:val="DefaultParagraphFont"/>
    <w:link w:val="Date"/>
    <w:uiPriority w:val="99"/>
    <w:semiHidden/>
    <w:rsid w:val="00911DE3"/>
  </w:style>
  <w:style w:type="paragraph" w:styleId="DocumentMap">
    <w:name w:val="Document Map"/>
    <w:basedOn w:val="Normal"/>
    <w:link w:val="DocumentMapChar"/>
    <w:uiPriority w:val="99"/>
    <w:semiHidden/>
    <w:rsid w:val="00911DE3"/>
    <w:pPr>
      <w:spacing w:line="240" w:lineRule="auto"/>
    </w:pPr>
    <w:rPr>
      <w:rFonts w:cs="Arial"/>
      <w:sz w:val="16"/>
      <w:szCs w:val="16"/>
    </w:rPr>
  </w:style>
  <w:style w:type="character" w:customStyle="1" w:styleId="DocumentMapChar">
    <w:name w:val="Document Map Char"/>
    <w:basedOn w:val="DefaultParagraphFont"/>
    <w:link w:val="DocumentMap"/>
    <w:uiPriority w:val="99"/>
    <w:semiHidden/>
    <w:rsid w:val="00911DE3"/>
    <w:rPr>
      <w:rFonts w:cs="Arial"/>
      <w:sz w:val="16"/>
      <w:szCs w:val="16"/>
    </w:rPr>
  </w:style>
  <w:style w:type="paragraph" w:styleId="E-mailSignature">
    <w:name w:val="E-mail Signature"/>
    <w:basedOn w:val="Normal"/>
    <w:link w:val="E-mailSignatureChar"/>
    <w:uiPriority w:val="99"/>
    <w:semiHidden/>
    <w:rsid w:val="00911DE3"/>
    <w:pPr>
      <w:spacing w:line="240" w:lineRule="auto"/>
    </w:pPr>
  </w:style>
  <w:style w:type="character" w:customStyle="1" w:styleId="E-mailSignatureChar">
    <w:name w:val="E-mail Signature Char"/>
    <w:basedOn w:val="DefaultParagraphFont"/>
    <w:link w:val="E-mailSignature"/>
    <w:uiPriority w:val="99"/>
    <w:semiHidden/>
    <w:rsid w:val="00911DE3"/>
  </w:style>
  <w:style w:type="character" w:styleId="Emphasis">
    <w:name w:val="Emphasis"/>
    <w:basedOn w:val="DefaultParagraphFont"/>
    <w:uiPriority w:val="20"/>
    <w:qFormat/>
    <w:rsid w:val="00060821"/>
    <w:rPr>
      <w:i/>
      <w:iCs/>
    </w:rPr>
  </w:style>
  <w:style w:type="character" w:styleId="EndnoteReference">
    <w:name w:val="endnote reference"/>
    <w:basedOn w:val="DefaultParagraphFont"/>
    <w:uiPriority w:val="13"/>
    <w:semiHidden/>
    <w:rsid w:val="00911DE3"/>
    <w:rPr>
      <w:vertAlign w:val="superscript"/>
    </w:rPr>
  </w:style>
  <w:style w:type="paragraph" w:styleId="EndnoteText">
    <w:name w:val="endnote text"/>
    <w:basedOn w:val="Normal"/>
    <w:link w:val="EndnoteTextChar"/>
    <w:uiPriority w:val="13"/>
    <w:semiHidden/>
    <w:rsid w:val="006F0B93"/>
    <w:pPr>
      <w:spacing w:line="240" w:lineRule="auto"/>
      <w:ind w:left="113" w:hanging="113"/>
    </w:pPr>
  </w:style>
  <w:style w:type="character" w:customStyle="1" w:styleId="EndnoteTextChar">
    <w:name w:val="Endnote Text Char"/>
    <w:basedOn w:val="DefaultParagraphFont"/>
    <w:link w:val="EndnoteText"/>
    <w:uiPriority w:val="13"/>
    <w:semiHidden/>
    <w:rsid w:val="006F0B93"/>
  </w:style>
  <w:style w:type="paragraph" w:styleId="EnvelopeAddress">
    <w:name w:val="envelope address"/>
    <w:basedOn w:val="Normal"/>
    <w:uiPriority w:val="99"/>
    <w:semiHidden/>
    <w:rsid w:val="00911DE3"/>
    <w:pPr>
      <w:framePr w:w="7920" w:h="1980" w:hRule="exact" w:hSpace="141" w:wrap="auto" w:hAnchor="page" w:xAlign="center" w:yAlign="bottom"/>
      <w:spacing w:line="240" w:lineRule="auto"/>
      <w:ind w:left="2880"/>
    </w:pPr>
    <w:rPr>
      <w:rFonts w:eastAsiaTheme="majorEastAsia" w:cs="Arial"/>
    </w:rPr>
  </w:style>
  <w:style w:type="paragraph" w:styleId="EnvelopeReturn">
    <w:name w:val="envelope return"/>
    <w:basedOn w:val="Normal"/>
    <w:uiPriority w:val="99"/>
    <w:semiHidden/>
    <w:rsid w:val="00911DE3"/>
    <w:pPr>
      <w:spacing w:line="240" w:lineRule="auto"/>
    </w:pPr>
    <w:rPr>
      <w:rFonts w:eastAsiaTheme="majorEastAsia" w:cs="Arial"/>
    </w:rPr>
  </w:style>
  <w:style w:type="character" w:styleId="FollowedHyperlink">
    <w:name w:val="FollowedHyperlink"/>
    <w:basedOn w:val="DefaultParagraphFont"/>
    <w:uiPriority w:val="14"/>
    <w:semiHidden/>
    <w:rsid w:val="00911DE3"/>
    <w:rPr>
      <w:color w:val="954F72" w:themeColor="followedHyperlink"/>
      <w:u w:val="single"/>
    </w:rPr>
  </w:style>
  <w:style w:type="paragraph" w:styleId="Footer">
    <w:name w:val="footer"/>
    <w:basedOn w:val="Normal"/>
    <w:link w:val="FooterChar"/>
    <w:uiPriority w:val="99"/>
    <w:rsid w:val="00C26C62"/>
    <w:pPr>
      <w:spacing w:line="200" w:lineRule="atLeast"/>
    </w:pPr>
    <w:rPr>
      <w:sz w:val="16"/>
    </w:rPr>
  </w:style>
  <w:style w:type="character" w:customStyle="1" w:styleId="FooterChar">
    <w:name w:val="Footer Char"/>
    <w:basedOn w:val="DefaultParagraphFont"/>
    <w:link w:val="Footer"/>
    <w:uiPriority w:val="99"/>
    <w:rsid w:val="00C26C62"/>
    <w:rPr>
      <w:sz w:val="16"/>
    </w:rPr>
  </w:style>
  <w:style w:type="character" w:styleId="FootnoteReference">
    <w:name w:val="footnote reference"/>
    <w:basedOn w:val="DefaultParagraphFont"/>
    <w:uiPriority w:val="13"/>
    <w:semiHidden/>
    <w:rsid w:val="00911DE3"/>
    <w:rPr>
      <w:vertAlign w:val="superscript"/>
    </w:rPr>
  </w:style>
  <w:style w:type="paragraph" w:styleId="FootnoteText">
    <w:name w:val="footnote text"/>
    <w:basedOn w:val="Normal"/>
    <w:link w:val="FootnoteTextChar"/>
    <w:uiPriority w:val="13"/>
    <w:semiHidden/>
    <w:rsid w:val="00847018"/>
    <w:pPr>
      <w:spacing w:line="160" w:lineRule="atLeast"/>
      <w:ind w:left="113" w:hanging="113"/>
    </w:pPr>
    <w:rPr>
      <w:sz w:val="12"/>
    </w:rPr>
  </w:style>
  <w:style w:type="character" w:customStyle="1" w:styleId="FootnoteTextChar">
    <w:name w:val="Footnote Text Char"/>
    <w:basedOn w:val="DefaultParagraphFont"/>
    <w:link w:val="FootnoteText"/>
    <w:uiPriority w:val="13"/>
    <w:semiHidden/>
    <w:rsid w:val="00847018"/>
    <w:rPr>
      <w:sz w:val="12"/>
      <w:lang w:val="en-US"/>
    </w:rPr>
  </w:style>
  <w:style w:type="table" w:styleId="GridTable1Light">
    <w:name w:val="Grid Table 1 Light"/>
    <w:basedOn w:val="Table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911DE3"/>
    <w:pPr>
      <w:spacing w:line="240" w:lineRule="auto"/>
    </w:pPr>
    <w:tblPr>
      <w:tblStyleRowBandSize w:val="1"/>
      <w:tblStyleColBandSize w:val="1"/>
      <w:tblBorders>
        <w:top w:val="single" w:sz="4" w:space="0" w:color="7DBDFF" w:themeColor="accent1" w:themeTint="66"/>
        <w:left w:val="single" w:sz="4" w:space="0" w:color="7DBDFF" w:themeColor="accent1" w:themeTint="66"/>
        <w:bottom w:val="single" w:sz="4" w:space="0" w:color="7DBDFF" w:themeColor="accent1" w:themeTint="66"/>
        <w:right w:val="single" w:sz="4" w:space="0" w:color="7DBDFF" w:themeColor="accent1" w:themeTint="66"/>
        <w:insideH w:val="single" w:sz="4" w:space="0" w:color="7DBDFF" w:themeColor="accent1" w:themeTint="66"/>
        <w:insideV w:val="single" w:sz="4" w:space="0" w:color="7DBDFF" w:themeColor="accent1" w:themeTint="66"/>
      </w:tblBorders>
    </w:tblPr>
    <w:tblStylePr w:type="firstRow">
      <w:rPr>
        <w:b/>
        <w:bCs/>
      </w:rPr>
      <w:tblPr/>
      <w:tcPr>
        <w:tcBorders>
          <w:bottom w:val="single" w:sz="12" w:space="0" w:color="3C9CFF" w:themeColor="accent1" w:themeTint="99"/>
        </w:tcBorders>
      </w:tcPr>
    </w:tblStylePr>
    <w:tblStylePr w:type="lastRow">
      <w:rPr>
        <w:b/>
        <w:bCs/>
      </w:rPr>
      <w:tblPr/>
      <w:tcPr>
        <w:tcBorders>
          <w:top w:val="double" w:sz="2" w:space="0" w:color="3C9C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911DE3"/>
    <w:pPr>
      <w:spacing w:line="240" w:lineRule="auto"/>
    </w:pPr>
    <w:tblPr>
      <w:tblStyleRowBandSize w:val="1"/>
      <w:tblStyleColBandSize w:val="1"/>
      <w:tblBorders>
        <w:top w:val="single" w:sz="4" w:space="0" w:color="E3E3E3" w:themeColor="accent2" w:themeTint="66"/>
        <w:left w:val="single" w:sz="4" w:space="0" w:color="E3E3E3" w:themeColor="accent2" w:themeTint="66"/>
        <w:bottom w:val="single" w:sz="4" w:space="0" w:color="E3E3E3" w:themeColor="accent2" w:themeTint="66"/>
        <w:right w:val="single" w:sz="4" w:space="0" w:color="E3E3E3" w:themeColor="accent2" w:themeTint="66"/>
        <w:insideH w:val="single" w:sz="4" w:space="0" w:color="E3E3E3" w:themeColor="accent2" w:themeTint="66"/>
        <w:insideV w:val="single" w:sz="4" w:space="0" w:color="E3E3E3" w:themeColor="accent2" w:themeTint="66"/>
      </w:tblBorders>
    </w:tblPr>
    <w:tblStylePr w:type="firstRow">
      <w:rPr>
        <w:b/>
        <w:bCs/>
      </w:rPr>
      <w:tblPr/>
      <w:tcPr>
        <w:tcBorders>
          <w:bottom w:val="single" w:sz="12" w:space="0" w:color="D6D6D6" w:themeColor="accent2" w:themeTint="99"/>
        </w:tcBorders>
      </w:tcPr>
    </w:tblStylePr>
    <w:tblStylePr w:type="lastRow">
      <w:rPr>
        <w:b/>
        <w:bCs/>
      </w:rPr>
      <w:tblPr/>
      <w:tcPr>
        <w:tcBorders>
          <w:top w:val="double" w:sz="2" w:space="0" w:color="D6D6D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911DE3"/>
    <w:pPr>
      <w:spacing w:line="240" w:lineRule="auto"/>
    </w:pPr>
    <w:tblPr>
      <w:tblStyleRowBandSize w:val="1"/>
      <w:tblStyleColBandSize w:val="1"/>
      <w:tblBorders>
        <w:top w:val="single" w:sz="4" w:space="0" w:color="CBDEF1" w:themeColor="accent3" w:themeTint="66"/>
        <w:left w:val="single" w:sz="4" w:space="0" w:color="CBDEF1" w:themeColor="accent3" w:themeTint="66"/>
        <w:bottom w:val="single" w:sz="4" w:space="0" w:color="CBDEF1" w:themeColor="accent3" w:themeTint="66"/>
        <w:right w:val="single" w:sz="4" w:space="0" w:color="CBDEF1" w:themeColor="accent3" w:themeTint="66"/>
        <w:insideH w:val="single" w:sz="4" w:space="0" w:color="CBDEF1" w:themeColor="accent3" w:themeTint="66"/>
        <w:insideV w:val="single" w:sz="4" w:space="0" w:color="CBDEF1" w:themeColor="accent3" w:themeTint="66"/>
      </w:tblBorders>
    </w:tblPr>
    <w:tblStylePr w:type="firstRow">
      <w:rPr>
        <w:b/>
        <w:bCs/>
      </w:rPr>
      <w:tblPr/>
      <w:tcPr>
        <w:tcBorders>
          <w:bottom w:val="single" w:sz="12" w:space="0" w:color="B2CDEA" w:themeColor="accent3" w:themeTint="99"/>
        </w:tcBorders>
      </w:tcPr>
    </w:tblStylePr>
    <w:tblStylePr w:type="lastRow">
      <w:rPr>
        <w:b/>
        <w:bCs/>
      </w:rPr>
      <w:tblPr/>
      <w:tcPr>
        <w:tcBorders>
          <w:top w:val="double" w:sz="2" w:space="0" w:color="B2CD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911DE3"/>
    <w:pPr>
      <w:spacing w:line="240" w:lineRule="auto"/>
    </w:pPr>
    <w:tblPr>
      <w:tblStyleRowBandSize w:val="1"/>
      <w:tblStyleColBandSize w:val="1"/>
      <w:tblBorders>
        <w:top w:val="single" w:sz="4" w:space="0" w:color="C8C8CA" w:themeColor="accent4" w:themeTint="66"/>
        <w:left w:val="single" w:sz="4" w:space="0" w:color="C8C8CA" w:themeColor="accent4" w:themeTint="66"/>
        <w:bottom w:val="single" w:sz="4" w:space="0" w:color="C8C8CA" w:themeColor="accent4" w:themeTint="66"/>
        <w:right w:val="single" w:sz="4" w:space="0" w:color="C8C8CA" w:themeColor="accent4" w:themeTint="66"/>
        <w:insideH w:val="single" w:sz="4" w:space="0" w:color="C8C8CA" w:themeColor="accent4" w:themeTint="66"/>
        <w:insideV w:val="single" w:sz="4" w:space="0" w:color="C8C8CA" w:themeColor="accent4" w:themeTint="66"/>
      </w:tblBorders>
    </w:tblPr>
    <w:tblStylePr w:type="firstRow">
      <w:rPr>
        <w:b/>
        <w:bCs/>
      </w:rPr>
      <w:tblPr/>
      <w:tcPr>
        <w:tcBorders>
          <w:bottom w:val="single" w:sz="12" w:space="0" w:color="ACADAF" w:themeColor="accent4" w:themeTint="99"/>
        </w:tcBorders>
      </w:tcPr>
    </w:tblStylePr>
    <w:tblStylePr w:type="lastRow">
      <w:rPr>
        <w:b/>
        <w:bCs/>
      </w:rPr>
      <w:tblPr/>
      <w:tcPr>
        <w:tcBorders>
          <w:top w:val="double" w:sz="2" w:space="0" w:color="ACADA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911DE3"/>
    <w:pPr>
      <w:spacing w:line="240" w:lineRule="auto"/>
    </w:pPr>
    <w:tblPr>
      <w:tblStyleRowBandSize w:val="1"/>
      <w:tblStyleColBandSize w:val="1"/>
      <w:tblBorders>
        <w:top w:val="single" w:sz="4" w:space="0" w:color="859FC0" w:themeColor="accent5" w:themeTint="66"/>
        <w:left w:val="single" w:sz="4" w:space="0" w:color="859FC0" w:themeColor="accent5" w:themeTint="66"/>
        <w:bottom w:val="single" w:sz="4" w:space="0" w:color="859FC0" w:themeColor="accent5" w:themeTint="66"/>
        <w:right w:val="single" w:sz="4" w:space="0" w:color="859FC0" w:themeColor="accent5" w:themeTint="66"/>
        <w:insideH w:val="single" w:sz="4" w:space="0" w:color="859FC0" w:themeColor="accent5" w:themeTint="66"/>
        <w:insideV w:val="single" w:sz="4" w:space="0" w:color="859FC0" w:themeColor="accent5" w:themeTint="66"/>
      </w:tblBorders>
    </w:tblPr>
    <w:tblStylePr w:type="firstRow">
      <w:rPr>
        <w:b/>
        <w:bCs/>
      </w:rPr>
      <w:tblPr/>
      <w:tcPr>
        <w:tcBorders>
          <w:bottom w:val="single" w:sz="12" w:space="0" w:color="4F709A" w:themeColor="accent5" w:themeTint="99"/>
        </w:tcBorders>
      </w:tcPr>
    </w:tblStylePr>
    <w:tblStylePr w:type="lastRow">
      <w:rPr>
        <w:b/>
        <w:bCs/>
      </w:rPr>
      <w:tblPr/>
      <w:tcPr>
        <w:tcBorders>
          <w:top w:val="double" w:sz="2" w:space="0" w:color="4F709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911DE3"/>
    <w:pPr>
      <w:spacing w:line="240" w:lineRule="auto"/>
    </w:pPr>
    <w:tblPr>
      <w:tblStyleRowBandSize w:val="1"/>
      <w:tblStyleColBandSize w:val="1"/>
      <w:tblBorders>
        <w:top w:val="single" w:sz="4" w:space="0" w:color="E5EEF7" w:themeColor="accent6" w:themeTint="66"/>
        <w:left w:val="single" w:sz="4" w:space="0" w:color="E5EEF7" w:themeColor="accent6" w:themeTint="66"/>
        <w:bottom w:val="single" w:sz="4" w:space="0" w:color="E5EEF7" w:themeColor="accent6" w:themeTint="66"/>
        <w:right w:val="single" w:sz="4" w:space="0" w:color="E5EEF7" w:themeColor="accent6" w:themeTint="66"/>
        <w:insideH w:val="single" w:sz="4" w:space="0" w:color="E5EEF7" w:themeColor="accent6" w:themeTint="66"/>
        <w:insideV w:val="single" w:sz="4" w:space="0" w:color="E5EEF7" w:themeColor="accent6" w:themeTint="66"/>
      </w:tblBorders>
    </w:tblPr>
    <w:tblStylePr w:type="firstRow">
      <w:rPr>
        <w:b/>
        <w:bCs/>
      </w:rPr>
      <w:tblPr/>
      <w:tcPr>
        <w:tcBorders>
          <w:bottom w:val="single" w:sz="12" w:space="0" w:color="D8E6F4" w:themeColor="accent6" w:themeTint="99"/>
        </w:tcBorders>
      </w:tcPr>
    </w:tblStylePr>
    <w:tblStylePr w:type="lastRow">
      <w:rPr>
        <w:b/>
        <w:bCs/>
      </w:rPr>
      <w:tblPr/>
      <w:tcPr>
        <w:tcBorders>
          <w:top w:val="double" w:sz="2" w:space="0" w:color="D8E6F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911DE3"/>
    <w:pPr>
      <w:spacing w:line="240" w:lineRule="auto"/>
    </w:pPr>
    <w:tblPr>
      <w:tblStyleRowBandSize w:val="1"/>
      <w:tblStyleColBandSize w:val="1"/>
    </w:tblPr>
    <w:tcPr>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style>
  <w:style w:type="table" w:styleId="GridTable2-Accent1">
    <w:name w:val="Grid Table 2 Accent 1"/>
    <w:basedOn w:val="TableNormal"/>
    <w:uiPriority w:val="99"/>
    <w:rsid w:val="00911DE3"/>
    <w:pPr>
      <w:spacing w:line="240" w:lineRule="auto"/>
    </w:pPr>
    <w:tblPr>
      <w:tblStyleRowBandSize w:val="1"/>
      <w:tblStyleColBandSize w:val="1"/>
    </w:tblPr>
    <w:tcPr>
      <w:shd w:val="clear" w:color="auto" w:fill="BEDEFF" w:themeFill="accent1" w:themeFillTint="33"/>
    </w:tcPr>
    <w:tblStylePr w:type="firstRow">
      <w:rPr>
        <w:b/>
        <w:bCs/>
      </w:rPr>
      <w:tblPr/>
      <w:tcPr>
        <w:tcBorders>
          <w:top w:val="nil"/>
          <w:bottom w:val="single" w:sz="12" w:space="0" w:color="3C9CFF" w:themeColor="accent1" w:themeTint="99"/>
          <w:insideH w:val="nil"/>
          <w:insideV w:val="nil"/>
        </w:tcBorders>
        <w:shd w:val="clear" w:color="auto" w:fill="FFFFFF" w:themeFill="background1"/>
      </w:tcPr>
    </w:tblStylePr>
    <w:tblStylePr w:type="lastRow">
      <w:rPr>
        <w:b/>
        <w:bCs/>
      </w:rPr>
      <w:tblPr/>
      <w:tcPr>
        <w:tcBorders>
          <w:top w:val="double" w:sz="2" w:space="0" w:color="3C9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EFF" w:themeFill="accent1" w:themeFillTint="33"/>
      </w:tcPr>
    </w:tblStylePr>
  </w:style>
  <w:style w:type="table" w:styleId="GridTable2-Accent2">
    <w:name w:val="Grid Table 2 Accent 2"/>
    <w:basedOn w:val="TableNormal"/>
    <w:uiPriority w:val="99"/>
    <w:rsid w:val="00911DE3"/>
    <w:pPr>
      <w:spacing w:line="240" w:lineRule="auto"/>
    </w:pPr>
    <w:tblPr>
      <w:tblStyleRowBandSize w:val="1"/>
      <w:tblStyleColBandSize w:val="1"/>
    </w:tblPr>
    <w:tcPr>
      <w:shd w:val="clear" w:color="auto" w:fill="F1F1F1" w:themeFill="accent2" w:themeFillTint="33"/>
    </w:tcPr>
    <w:tblStylePr w:type="firstRow">
      <w:rPr>
        <w:b/>
        <w:bCs/>
      </w:rPr>
      <w:tblPr/>
      <w:tcPr>
        <w:tcBorders>
          <w:top w:val="nil"/>
          <w:bottom w:val="single" w:sz="12" w:space="0" w:color="D6D6D6" w:themeColor="accent2" w:themeTint="99"/>
          <w:insideH w:val="nil"/>
          <w:insideV w:val="nil"/>
        </w:tcBorders>
        <w:shd w:val="clear" w:color="auto" w:fill="FFFFFF" w:themeFill="background1"/>
      </w:tcPr>
    </w:tblStylePr>
    <w:tblStylePr w:type="lastRow">
      <w:rPr>
        <w:b/>
        <w:bCs/>
      </w:rPr>
      <w:tblPr/>
      <w:tcPr>
        <w:tcBorders>
          <w:top w:val="double" w:sz="2" w:space="0" w:color="D6D6D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1F1" w:themeFill="accent2" w:themeFillTint="33"/>
      </w:tcPr>
    </w:tblStylePr>
  </w:style>
  <w:style w:type="table" w:styleId="GridTable2-Accent3">
    <w:name w:val="Grid Table 2 Accent 3"/>
    <w:basedOn w:val="TableNormal"/>
    <w:uiPriority w:val="99"/>
    <w:rsid w:val="00911DE3"/>
    <w:pPr>
      <w:spacing w:line="240" w:lineRule="auto"/>
    </w:pPr>
    <w:tblPr>
      <w:tblStyleRowBandSize w:val="1"/>
      <w:tblStyleColBandSize w:val="1"/>
    </w:tblPr>
    <w:tcPr>
      <w:shd w:val="clear" w:color="auto" w:fill="E5EEF8" w:themeFill="accent3" w:themeFillTint="33"/>
    </w:tcPr>
    <w:tblStylePr w:type="firstRow">
      <w:rPr>
        <w:b/>
        <w:bCs/>
      </w:rPr>
      <w:tblPr/>
      <w:tcPr>
        <w:tcBorders>
          <w:top w:val="nil"/>
          <w:bottom w:val="single" w:sz="12" w:space="0" w:color="B2CDEA" w:themeColor="accent3" w:themeTint="99"/>
          <w:insideH w:val="nil"/>
          <w:insideV w:val="nil"/>
        </w:tcBorders>
        <w:shd w:val="clear" w:color="auto" w:fill="FFFFFF" w:themeFill="background1"/>
      </w:tcPr>
    </w:tblStylePr>
    <w:tblStylePr w:type="lastRow">
      <w:rPr>
        <w:b/>
        <w:bCs/>
      </w:rPr>
      <w:tblPr/>
      <w:tcPr>
        <w:tcBorders>
          <w:top w:val="double" w:sz="2" w:space="0" w:color="B2CD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EF8" w:themeFill="accent3" w:themeFillTint="33"/>
      </w:tcPr>
    </w:tblStylePr>
  </w:style>
  <w:style w:type="table" w:styleId="GridTable2-Accent4">
    <w:name w:val="Grid Table 2 Accent 4"/>
    <w:basedOn w:val="TableNormal"/>
    <w:uiPriority w:val="99"/>
    <w:rsid w:val="00911DE3"/>
    <w:pPr>
      <w:spacing w:line="240" w:lineRule="auto"/>
    </w:pPr>
    <w:tblPr>
      <w:tblStyleRowBandSize w:val="1"/>
      <w:tblStyleColBandSize w:val="1"/>
    </w:tblPr>
    <w:tcPr>
      <w:shd w:val="clear" w:color="auto" w:fill="E3E3E4" w:themeFill="accent4" w:themeFillTint="33"/>
    </w:tcPr>
    <w:tblStylePr w:type="firstRow">
      <w:rPr>
        <w:b/>
        <w:bCs/>
      </w:rPr>
      <w:tblPr/>
      <w:tcPr>
        <w:tcBorders>
          <w:top w:val="nil"/>
          <w:bottom w:val="single" w:sz="12" w:space="0" w:color="ACADAF" w:themeColor="accent4" w:themeTint="99"/>
          <w:insideH w:val="nil"/>
          <w:insideV w:val="nil"/>
        </w:tcBorders>
        <w:shd w:val="clear" w:color="auto" w:fill="FFFFFF" w:themeFill="background1"/>
      </w:tcPr>
    </w:tblStylePr>
    <w:tblStylePr w:type="lastRow">
      <w:rPr>
        <w:b/>
        <w:bCs/>
      </w:rPr>
      <w:tblPr/>
      <w:tcPr>
        <w:tcBorders>
          <w:top w:val="double" w:sz="2" w:space="0" w:color="ACADA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3E4" w:themeFill="accent4" w:themeFillTint="33"/>
      </w:tcPr>
    </w:tblStylePr>
  </w:style>
  <w:style w:type="table" w:styleId="GridTable2-Accent5">
    <w:name w:val="Grid Table 2 Accent 5"/>
    <w:basedOn w:val="TableNormal"/>
    <w:uiPriority w:val="99"/>
    <w:rsid w:val="00911DE3"/>
    <w:pPr>
      <w:spacing w:line="240" w:lineRule="auto"/>
    </w:pPr>
    <w:tblPr>
      <w:tblStyleRowBandSize w:val="1"/>
      <w:tblStyleColBandSize w:val="1"/>
    </w:tblPr>
    <w:tcPr>
      <w:shd w:val="clear" w:color="auto" w:fill="C2CFDF" w:themeFill="accent5" w:themeFillTint="33"/>
    </w:tcPr>
    <w:tblStylePr w:type="firstRow">
      <w:rPr>
        <w:b/>
        <w:bCs/>
      </w:rPr>
      <w:tblPr/>
      <w:tcPr>
        <w:tcBorders>
          <w:top w:val="nil"/>
          <w:bottom w:val="single" w:sz="12" w:space="0" w:color="4F709A" w:themeColor="accent5" w:themeTint="99"/>
          <w:insideH w:val="nil"/>
          <w:insideV w:val="nil"/>
        </w:tcBorders>
        <w:shd w:val="clear" w:color="auto" w:fill="FFFFFF" w:themeFill="background1"/>
      </w:tcPr>
    </w:tblStylePr>
    <w:tblStylePr w:type="lastRow">
      <w:rPr>
        <w:b/>
        <w:bCs/>
      </w:rPr>
      <w:tblPr/>
      <w:tcPr>
        <w:tcBorders>
          <w:top w:val="double" w:sz="2" w:space="0" w:color="4F70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CFDF" w:themeFill="accent5" w:themeFillTint="33"/>
      </w:tcPr>
    </w:tblStylePr>
  </w:style>
  <w:style w:type="table" w:styleId="GridTable2-Accent6">
    <w:name w:val="Grid Table 2 Accent 6"/>
    <w:basedOn w:val="TableNormal"/>
    <w:uiPriority w:val="99"/>
    <w:rsid w:val="00911DE3"/>
    <w:pPr>
      <w:spacing w:line="240" w:lineRule="auto"/>
    </w:pPr>
    <w:tblPr>
      <w:tblStyleRowBandSize w:val="1"/>
      <w:tblStyleColBandSize w:val="1"/>
    </w:tblPr>
    <w:tcPr>
      <w:shd w:val="clear" w:color="auto" w:fill="F1F6FB" w:themeFill="accent6" w:themeFillTint="33"/>
    </w:tcPr>
    <w:tblStylePr w:type="firstRow">
      <w:rPr>
        <w:b/>
        <w:bCs/>
      </w:rPr>
      <w:tblPr/>
      <w:tcPr>
        <w:tcBorders>
          <w:top w:val="nil"/>
          <w:bottom w:val="single" w:sz="12" w:space="0" w:color="D8E6F4" w:themeColor="accent6" w:themeTint="99"/>
          <w:insideH w:val="nil"/>
          <w:insideV w:val="nil"/>
        </w:tcBorders>
        <w:shd w:val="clear" w:color="auto" w:fill="FFFFFF" w:themeFill="background1"/>
      </w:tcPr>
    </w:tblStylePr>
    <w:tblStylePr w:type="lastRow">
      <w:rPr>
        <w:b/>
        <w:bCs/>
      </w:rPr>
      <w:tblPr/>
      <w:tcPr>
        <w:tcBorders>
          <w:top w:val="double" w:sz="2" w:space="0" w:color="D8E6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6FB" w:themeFill="accent6" w:themeFillTint="33"/>
      </w:tcPr>
    </w:tblStylePr>
  </w:style>
  <w:style w:type="table" w:styleId="GridTable3">
    <w:name w:val="Grid Table 3"/>
    <w:basedOn w:val="Table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911DE3"/>
    <w:pPr>
      <w:spacing w:line="240" w:lineRule="auto"/>
    </w:pPr>
    <w:tblPr>
      <w:tblStyleRowBandSize w:val="1"/>
      <w:tblStyleColBandSize w:val="1"/>
      <w:tblBorders>
        <w:top w:val="single" w:sz="4" w:space="0" w:color="3C9CFF" w:themeColor="accent1" w:themeTint="99"/>
        <w:left w:val="single" w:sz="4" w:space="0" w:color="3C9CFF" w:themeColor="accent1" w:themeTint="99"/>
        <w:bottom w:val="single" w:sz="4" w:space="0" w:color="3C9CFF" w:themeColor="accent1" w:themeTint="99"/>
        <w:right w:val="single" w:sz="4" w:space="0" w:color="3C9CFF" w:themeColor="accent1" w:themeTint="99"/>
        <w:insideH w:val="single" w:sz="4" w:space="0" w:color="3C9CFF" w:themeColor="accent1" w:themeTint="99"/>
        <w:insideV w:val="single" w:sz="4" w:space="0" w:color="3C9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EFF" w:themeFill="accent1" w:themeFillTint="33"/>
      </w:tcPr>
    </w:tblStylePr>
    <w:tblStylePr w:type="band1Horz">
      <w:tblPr/>
      <w:tcPr>
        <w:shd w:val="clear" w:color="auto" w:fill="BEDEFF" w:themeFill="accent1" w:themeFillTint="33"/>
      </w:tcPr>
    </w:tblStylePr>
    <w:tblStylePr w:type="neCell">
      <w:tblPr/>
      <w:tcPr>
        <w:tcBorders>
          <w:bottom w:val="single" w:sz="4" w:space="0" w:color="3C9CFF" w:themeColor="accent1" w:themeTint="99"/>
        </w:tcBorders>
      </w:tcPr>
    </w:tblStylePr>
    <w:tblStylePr w:type="nwCell">
      <w:tblPr/>
      <w:tcPr>
        <w:tcBorders>
          <w:bottom w:val="single" w:sz="4" w:space="0" w:color="3C9CFF" w:themeColor="accent1" w:themeTint="99"/>
        </w:tcBorders>
      </w:tcPr>
    </w:tblStylePr>
    <w:tblStylePr w:type="seCell">
      <w:tblPr/>
      <w:tcPr>
        <w:tcBorders>
          <w:top w:val="single" w:sz="4" w:space="0" w:color="3C9CFF" w:themeColor="accent1" w:themeTint="99"/>
        </w:tcBorders>
      </w:tcPr>
    </w:tblStylePr>
    <w:tblStylePr w:type="swCell">
      <w:tblPr/>
      <w:tcPr>
        <w:tcBorders>
          <w:top w:val="single" w:sz="4" w:space="0" w:color="3C9CFF" w:themeColor="accent1" w:themeTint="99"/>
        </w:tcBorders>
      </w:tcPr>
    </w:tblStylePr>
  </w:style>
  <w:style w:type="table" w:styleId="GridTable3-Accent2">
    <w:name w:val="Grid Table 3 Accent 2"/>
    <w:basedOn w:val="TableNormal"/>
    <w:uiPriority w:val="99"/>
    <w:rsid w:val="00911DE3"/>
    <w:pPr>
      <w:spacing w:line="240" w:lineRule="auto"/>
    </w:pPr>
    <w:tblPr>
      <w:tblStyleRowBandSize w:val="1"/>
      <w:tblStyleColBandSize w:val="1"/>
      <w:tblBorders>
        <w:top w:val="single" w:sz="4" w:space="0" w:color="D6D6D6" w:themeColor="accent2" w:themeTint="99"/>
        <w:left w:val="single" w:sz="4" w:space="0" w:color="D6D6D6" w:themeColor="accent2" w:themeTint="99"/>
        <w:bottom w:val="single" w:sz="4" w:space="0" w:color="D6D6D6" w:themeColor="accent2" w:themeTint="99"/>
        <w:right w:val="single" w:sz="4" w:space="0" w:color="D6D6D6" w:themeColor="accent2" w:themeTint="99"/>
        <w:insideH w:val="single" w:sz="4" w:space="0" w:color="D6D6D6" w:themeColor="accent2" w:themeTint="99"/>
        <w:insideV w:val="single" w:sz="4" w:space="0" w:color="D6D6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6D6D6" w:themeColor="accent2" w:themeTint="99"/>
        </w:tcBorders>
      </w:tcPr>
    </w:tblStylePr>
    <w:tblStylePr w:type="nwCell">
      <w:tblPr/>
      <w:tcPr>
        <w:tcBorders>
          <w:bottom w:val="single" w:sz="4" w:space="0" w:color="D6D6D6" w:themeColor="accent2" w:themeTint="99"/>
        </w:tcBorders>
      </w:tcPr>
    </w:tblStylePr>
    <w:tblStylePr w:type="seCell">
      <w:tblPr/>
      <w:tcPr>
        <w:tcBorders>
          <w:top w:val="single" w:sz="4" w:space="0" w:color="D6D6D6" w:themeColor="accent2" w:themeTint="99"/>
        </w:tcBorders>
      </w:tcPr>
    </w:tblStylePr>
    <w:tblStylePr w:type="swCell">
      <w:tblPr/>
      <w:tcPr>
        <w:tcBorders>
          <w:top w:val="single" w:sz="4" w:space="0" w:color="D6D6D6" w:themeColor="accent2" w:themeTint="99"/>
        </w:tcBorders>
      </w:tcPr>
    </w:tblStylePr>
  </w:style>
  <w:style w:type="table" w:styleId="GridTable3-Accent3">
    <w:name w:val="Grid Table 3 Accent 3"/>
    <w:basedOn w:val="TableNormal"/>
    <w:uiPriority w:val="99"/>
    <w:rsid w:val="00911DE3"/>
    <w:pPr>
      <w:spacing w:line="240" w:lineRule="auto"/>
    </w:pPr>
    <w:tblPr>
      <w:tblStyleRowBandSize w:val="1"/>
      <w:tblStyleColBandSize w:val="1"/>
      <w:tblBorders>
        <w:top w:val="single" w:sz="4" w:space="0" w:color="B2CDEA" w:themeColor="accent3" w:themeTint="99"/>
        <w:left w:val="single" w:sz="4" w:space="0" w:color="B2CDEA" w:themeColor="accent3" w:themeTint="99"/>
        <w:bottom w:val="single" w:sz="4" w:space="0" w:color="B2CDEA" w:themeColor="accent3" w:themeTint="99"/>
        <w:right w:val="single" w:sz="4" w:space="0" w:color="B2CDEA" w:themeColor="accent3" w:themeTint="99"/>
        <w:insideH w:val="single" w:sz="4" w:space="0" w:color="B2CDEA" w:themeColor="accent3" w:themeTint="99"/>
        <w:insideV w:val="single" w:sz="4" w:space="0" w:color="B2CD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EF8" w:themeFill="accent3" w:themeFillTint="33"/>
      </w:tcPr>
    </w:tblStylePr>
    <w:tblStylePr w:type="band1Horz">
      <w:tblPr/>
      <w:tcPr>
        <w:shd w:val="clear" w:color="auto" w:fill="E5EEF8" w:themeFill="accent3" w:themeFillTint="33"/>
      </w:tcPr>
    </w:tblStylePr>
    <w:tblStylePr w:type="neCell">
      <w:tblPr/>
      <w:tcPr>
        <w:tcBorders>
          <w:bottom w:val="single" w:sz="4" w:space="0" w:color="B2CDEA" w:themeColor="accent3" w:themeTint="99"/>
        </w:tcBorders>
      </w:tcPr>
    </w:tblStylePr>
    <w:tblStylePr w:type="nwCell">
      <w:tblPr/>
      <w:tcPr>
        <w:tcBorders>
          <w:bottom w:val="single" w:sz="4" w:space="0" w:color="B2CDEA" w:themeColor="accent3" w:themeTint="99"/>
        </w:tcBorders>
      </w:tcPr>
    </w:tblStylePr>
    <w:tblStylePr w:type="seCell">
      <w:tblPr/>
      <w:tcPr>
        <w:tcBorders>
          <w:top w:val="single" w:sz="4" w:space="0" w:color="B2CDEA" w:themeColor="accent3" w:themeTint="99"/>
        </w:tcBorders>
      </w:tcPr>
    </w:tblStylePr>
    <w:tblStylePr w:type="swCell">
      <w:tblPr/>
      <w:tcPr>
        <w:tcBorders>
          <w:top w:val="single" w:sz="4" w:space="0" w:color="B2CDEA" w:themeColor="accent3" w:themeTint="99"/>
        </w:tcBorders>
      </w:tcPr>
    </w:tblStylePr>
  </w:style>
  <w:style w:type="table" w:styleId="GridTable3-Accent4">
    <w:name w:val="Grid Table 3 Accent 4"/>
    <w:basedOn w:val="TableNormal"/>
    <w:uiPriority w:val="99"/>
    <w:rsid w:val="00911DE3"/>
    <w:pPr>
      <w:spacing w:line="240" w:lineRule="auto"/>
    </w:pPr>
    <w:tblPr>
      <w:tblStyleRowBandSize w:val="1"/>
      <w:tblStyleColBandSize w:val="1"/>
      <w:tblBorders>
        <w:top w:val="single" w:sz="4" w:space="0" w:color="ACADAF" w:themeColor="accent4" w:themeTint="99"/>
        <w:left w:val="single" w:sz="4" w:space="0" w:color="ACADAF" w:themeColor="accent4" w:themeTint="99"/>
        <w:bottom w:val="single" w:sz="4" w:space="0" w:color="ACADAF" w:themeColor="accent4" w:themeTint="99"/>
        <w:right w:val="single" w:sz="4" w:space="0" w:color="ACADAF" w:themeColor="accent4" w:themeTint="99"/>
        <w:insideH w:val="single" w:sz="4" w:space="0" w:color="ACADAF" w:themeColor="accent4" w:themeTint="99"/>
        <w:insideV w:val="single" w:sz="4" w:space="0" w:color="ACADA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4" w:themeFillTint="33"/>
      </w:tcPr>
    </w:tblStylePr>
    <w:tblStylePr w:type="band1Horz">
      <w:tblPr/>
      <w:tcPr>
        <w:shd w:val="clear" w:color="auto" w:fill="E3E3E4" w:themeFill="accent4" w:themeFillTint="33"/>
      </w:tcPr>
    </w:tblStylePr>
    <w:tblStylePr w:type="neCell">
      <w:tblPr/>
      <w:tcPr>
        <w:tcBorders>
          <w:bottom w:val="single" w:sz="4" w:space="0" w:color="ACADAF" w:themeColor="accent4" w:themeTint="99"/>
        </w:tcBorders>
      </w:tcPr>
    </w:tblStylePr>
    <w:tblStylePr w:type="nwCell">
      <w:tblPr/>
      <w:tcPr>
        <w:tcBorders>
          <w:bottom w:val="single" w:sz="4" w:space="0" w:color="ACADAF" w:themeColor="accent4" w:themeTint="99"/>
        </w:tcBorders>
      </w:tcPr>
    </w:tblStylePr>
    <w:tblStylePr w:type="seCell">
      <w:tblPr/>
      <w:tcPr>
        <w:tcBorders>
          <w:top w:val="single" w:sz="4" w:space="0" w:color="ACADAF" w:themeColor="accent4" w:themeTint="99"/>
        </w:tcBorders>
      </w:tcPr>
    </w:tblStylePr>
    <w:tblStylePr w:type="swCell">
      <w:tblPr/>
      <w:tcPr>
        <w:tcBorders>
          <w:top w:val="single" w:sz="4" w:space="0" w:color="ACADAF" w:themeColor="accent4" w:themeTint="99"/>
        </w:tcBorders>
      </w:tcPr>
    </w:tblStylePr>
  </w:style>
  <w:style w:type="table" w:styleId="GridTable3-Accent5">
    <w:name w:val="Grid Table 3 Accent 5"/>
    <w:basedOn w:val="TableNormal"/>
    <w:uiPriority w:val="99"/>
    <w:rsid w:val="00911DE3"/>
    <w:pPr>
      <w:spacing w:line="240" w:lineRule="auto"/>
    </w:pPr>
    <w:tblPr>
      <w:tblStyleRowBandSize w:val="1"/>
      <w:tblStyleColBandSize w:val="1"/>
      <w:tblBorders>
        <w:top w:val="single" w:sz="4" w:space="0" w:color="4F709A" w:themeColor="accent5" w:themeTint="99"/>
        <w:left w:val="single" w:sz="4" w:space="0" w:color="4F709A" w:themeColor="accent5" w:themeTint="99"/>
        <w:bottom w:val="single" w:sz="4" w:space="0" w:color="4F709A" w:themeColor="accent5" w:themeTint="99"/>
        <w:right w:val="single" w:sz="4" w:space="0" w:color="4F709A" w:themeColor="accent5" w:themeTint="99"/>
        <w:insideH w:val="single" w:sz="4" w:space="0" w:color="4F709A" w:themeColor="accent5" w:themeTint="99"/>
        <w:insideV w:val="single" w:sz="4" w:space="0" w:color="4F70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FDF" w:themeFill="accent5" w:themeFillTint="33"/>
      </w:tcPr>
    </w:tblStylePr>
    <w:tblStylePr w:type="band1Horz">
      <w:tblPr/>
      <w:tcPr>
        <w:shd w:val="clear" w:color="auto" w:fill="C2CFDF" w:themeFill="accent5" w:themeFillTint="33"/>
      </w:tcPr>
    </w:tblStylePr>
    <w:tblStylePr w:type="neCell">
      <w:tblPr/>
      <w:tcPr>
        <w:tcBorders>
          <w:bottom w:val="single" w:sz="4" w:space="0" w:color="4F709A" w:themeColor="accent5" w:themeTint="99"/>
        </w:tcBorders>
      </w:tcPr>
    </w:tblStylePr>
    <w:tblStylePr w:type="nwCell">
      <w:tblPr/>
      <w:tcPr>
        <w:tcBorders>
          <w:bottom w:val="single" w:sz="4" w:space="0" w:color="4F709A" w:themeColor="accent5" w:themeTint="99"/>
        </w:tcBorders>
      </w:tcPr>
    </w:tblStylePr>
    <w:tblStylePr w:type="seCell">
      <w:tblPr/>
      <w:tcPr>
        <w:tcBorders>
          <w:top w:val="single" w:sz="4" w:space="0" w:color="4F709A" w:themeColor="accent5" w:themeTint="99"/>
        </w:tcBorders>
      </w:tcPr>
    </w:tblStylePr>
    <w:tblStylePr w:type="swCell">
      <w:tblPr/>
      <w:tcPr>
        <w:tcBorders>
          <w:top w:val="single" w:sz="4" w:space="0" w:color="4F709A" w:themeColor="accent5" w:themeTint="99"/>
        </w:tcBorders>
      </w:tcPr>
    </w:tblStylePr>
  </w:style>
  <w:style w:type="table" w:styleId="GridTable3-Accent6">
    <w:name w:val="Grid Table 3 Accent 6"/>
    <w:basedOn w:val="TableNormal"/>
    <w:uiPriority w:val="99"/>
    <w:rsid w:val="00911DE3"/>
    <w:pPr>
      <w:spacing w:line="240" w:lineRule="auto"/>
    </w:pPr>
    <w:tblPr>
      <w:tblStyleRowBandSize w:val="1"/>
      <w:tblStyleColBandSize w:val="1"/>
      <w:tblBorders>
        <w:top w:val="single" w:sz="4" w:space="0" w:color="D8E6F4" w:themeColor="accent6" w:themeTint="99"/>
        <w:left w:val="single" w:sz="4" w:space="0" w:color="D8E6F4" w:themeColor="accent6" w:themeTint="99"/>
        <w:bottom w:val="single" w:sz="4" w:space="0" w:color="D8E6F4" w:themeColor="accent6" w:themeTint="99"/>
        <w:right w:val="single" w:sz="4" w:space="0" w:color="D8E6F4" w:themeColor="accent6" w:themeTint="99"/>
        <w:insideH w:val="single" w:sz="4" w:space="0" w:color="D8E6F4" w:themeColor="accent6" w:themeTint="99"/>
        <w:insideV w:val="single" w:sz="4" w:space="0" w:color="D8E6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6FB" w:themeFill="accent6" w:themeFillTint="33"/>
      </w:tcPr>
    </w:tblStylePr>
    <w:tblStylePr w:type="band1Horz">
      <w:tblPr/>
      <w:tcPr>
        <w:shd w:val="clear" w:color="auto" w:fill="F1F6FB" w:themeFill="accent6" w:themeFillTint="33"/>
      </w:tcPr>
    </w:tblStylePr>
    <w:tblStylePr w:type="neCell">
      <w:tblPr/>
      <w:tcPr>
        <w:tcBorders>
          <w:bottom w:val="single" w:sz="4" w:space="0" w:color="D8E6F4" w:themeColor="accent6" w:themeTint="99"/>
        </w:tcBorders>
      </w:tcPr>
    </w:tblStylePr>
    <w:tblStylePr w:type="nwCell">
      <w:tblPr/>
      <w:tcPr>
        <w:tcBorders>
          <w:bottom w:val="single" w:sz="4" w:space="0" w:color="D8E6F4" w:themeColor="accent6" w:themeTint="99"/>
        </w:tcBorders>
      </w:tcPr>
    </w:tblStylePr>
    <w:tblStylePr w:type="seCell">
      <w:tblPr/>
      <w:tcPr>
        <w:tcBorders>
          <w:top w:val="single" w:sz="4" w:space="0" w:color="D8E6F4" w:themeColor="accent6" w:themeTint="99"/>
        </w:tcBorders>
      </w:tcPr>
    </w:tblStylePr>
    <w:tblStylePr w:type="swCell">
      <w:tblPr/>
      <w:tcPr>
        <w:tcBorders>
          <w:top w:val="single" w:sz="4" w:space="0" w:color="D8E6F4" w:themeColor="accent6" w:themeTint="99"/>
        </w:tcBorders>
      </w:tcPr>
    </w:tblStylePr>
  </w:style>
  <w:style w:type="table" w:styleId="GridTable4">
    <w:name w:val="Grid Table 4"/>
    <w:basedOn w:val="TableNormal"/>
    <w:uiPriority w:val="99"/>
    <w:rsid w:val="00911DE3"/>
    <w:pPr>
      <w:spacing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table" w:styleId="GridTable4-Accent1">
    <w:name w:val="Grid Table 4 Accent 1"/>
    <w:basedOn w:val="TableNormal"/>
    <w:uiPriority w:val="99"/>
    <w:rsid w:val="00911DE3"/>
    <w:pPr>
      <w:spacing w:line="240" w:lineRule="auto"/>
    </w:pPr>
    <w:tblPr>
      <w:tblStyleRowBandSize w:val="1"/>
      <w:tblStyleColBandSize w:val="1"/>
    </w:tblPr>
    <w:tcPr>
      <w:shd w:val="clear" w:color="auto" w:fill="BEDEFF" w:themeFill="accent1" w:themeFillTint="33"/>
    </w:tcPr>
    <w:tblStylePr w:type="firstRow">
      <w:rPr>
        <w:b/>
        <w:bCs/>
        <w:color w:val="FFFFFF" w:themeColor="background1"/>
      </w:rPr>
      <w:tblPr/>
      <w:tcPr>
        <w:tcBorders>
          <w:top w:val="single" w:sz="4" w:space="0" w:color="005CB9" w:themeColor="accent1"/>
          <w:left w:val="single" w:sz="4" w:space="0" w:color="005CB9" w:themeColor="accent1"/>
          <w:bottom w:val="single" w:sz="4" w:space="0" w:color="005CB9" w:themeColor="accent1"/>
          <w:right w:val="single" w:sz="4" w:space="0" w:color="005CB9" w:themeColor="accent1"/>
          <w:insideH w:val="nil"/>
          <w:insideV w:val="nil"/>
        </w:tcBorders>
        <w:shd w:val="clear" w:color="auto" w:fill="005CB9" w:themeFill="accent1"/>
      </w:tcPr>
    </w:tblStylePr>
    <w:tblStylePr w:type="lastRow">
      <w:rPr>
        <w:b/>
        <w:bCs/>
      </w:rPr>
      <w:tblPr/>
      <w:tcPr>
        <w:tcBorders>
          <w:top w:val="double" w:sz="4" w:space="0" w:color="005CB9" w:themeColor="accent1"/>
        </w:tcBorders>
      </w:tcPr>
    </w:tblStylePr>
    <w:tblStylePr w:type="firstCol">
      <w:rPr>
        <w:b/>
        <w:bCs/>
      </w:rPr>
    </w:tblStylePr>
    <w:tblStylePr w:type="lastCol">
      <w:rPr>
        <w:b/>
        <w:bCs/>
      </w:rPr>
    </w:tblStylePr>
  </w:style>
  <w:style w:type="table" w:styleId="GridTable4-Accent2">
    <w:name w:val="Grid Table 4 Accent 2"/>
    <w:basedOn w:val="TableNormal"/>
    <w:uiPriority w:val="99"/>
    <w:rsid w:val="00911DE3"/>
    <w:pPr>
      <w:spacing w:line="240" w:lineRule="auto"/>
    </w:pPr>
    <w:tblPr>
      <w:tblStyleRowBandSize w:val="1"/>
      <w:tblStyleColBandSize w:val="1"/>
    </w:tblPr>
    <w:tcPr>
      <w:shd w:val="clear" w:color="auto" w:fill="F1F1F1" w:themeFill="accent2" w:themeFillTint="33"/>
    </w:tcPr>
    <w:tblStylePr w:type="firstRow">
      <w:rPr>
        <w:b/>
        <w:bCs/>
        <w:color w:val="FFFFFF" w:themeColor="background1"/>
      </w:rPr>
      <w:tblPr/>
      <w:tcPr>
        <w:tcBorders>
          <w:top w:val="single" w:sz="4" w:space="0" w:color="BBBBBB" w:themeColor="accent2"/>
          <w:left w:val="single" w:sz="4" w:space="0" w:color="BBBBBB" w:themeColor="accent2"/>
          <w:bottom w:val="single" w:sz="4" w:space="0" w:color="BBBBBB" w:themeColor="accent2"/>
          <w:right w:val="single" w:sz="4" w:space="0" w:color="BBBBBB" w:themeColor="accent2"/>
          <w:insideH w:val="nil"/>
          <w:insideV w:val="nil"/>
        </w:tcBorders>
        <w:shd w:val="clear" w:color="auto" w:fill="BBBBBB" w:themeFill="accent2"/>
      </w:tcPr>
    </w:tblStylePr>
    <w:tblStylePr w:type="lastRow">
      <w:rPr>
        <w:b/>
        <w:bCs/>
      </w:rPr>
      <w:tblPr/>
      <w:tcPr>
        <w:tcBorders>
          <w:top w:val="double" w:sz="4" w:space="0" w:color="BBBBBB" w:themeColor="accent2"/>
        </w:tcBorders>
      </w:tcPr>
    </w:tblStylePr>
    <w:tblStylePr w:type="firstCol">
      <w:rPr>
        <w:b/>
        <w:bCs/>
      </w:rPr>
    </w:tblStylePr>
    <w:tblStylePr w:type="lastCol">
      <w:rPr>
        <w:b/>
        <w:bCs/>
      </w:rPr>
    </w:tblStylePr>
  </w:style>
  <w:style w:type="table" w:styleId="GridTable4-Accent3">
    <w:name w:val="Grid Table 4 Accent 3"/>
    <w:basedOn w:val="TableNormal"/>
    <w:uiPriority w:val="99"/>
    <w:rsid w:val="00911DE3"/>
    <w:pPr>
      <w:spacing w:line="240" w:lineRule="auto"/>
    </w:pPr>
    <w:tblPr>
      <w:tblStyleRowBandSize w:val="1"/>
      <w:tblStyleColBandSize w:val="1"/>
    </w:tblPr>
    <w:tcPr>
      <w:shd w:val="clear" w:color="auto" w:fill="E5EEF8" w:themeFill="accent3" w:themeFillTint="33"/>
    </w:tcPr>
    <w:tblStylePr w:type="firstRow">
      <w:rPr>
        <w:b/>
        <w:bCs/>
        <w:color w:val="FFFFFF" w:themeColor="background1"/>
      </w:rPr>
      <w:tblPr/>
      <w:tcPr>
        <w:tcBorders>
          <w:top w:val="single" w:sz="4" w:space="0" w:color="7FADDC" w:themeColor="accent3"/>
          <w:left w:val="single" w:sz="4" w:space="0" w:color="7FADDC" w:themeColor="accent3"/>
          <w:bottom w:val="single" w:sz="4" w:space="0" w:color="7FADDC" w:themeColor="accent3"/>
          <w:right w:val="single" w:sz="4" w:space="0" w:color="7FADDC" w:themeColor="accent3"/>
          <w:insideH w:val="nil"/>
          <w:insideV w:val="nil"/>
        </w:tcBorders>
        <w:shd w:val="clear" w:color="auto" w:fill="7FADDC" w:themeFill="accent3"/>
      </w:tcPr>
    </w:tblStylePr>
    <w:tblStylePr w:type="lastRow">
      <w:rPr>
        <w:b/>
        <w:bCs/>
      </w:rPr>
      <w:tblPr/>
      <w:tcPr>
        <w:tcBorders>
          <w:top w:val="double" w:sz="4" w:space="0" w:color="7FADDC" w:themeColor="accent3"/>
        </w:tcBorders>
      </w:tcPr>
    </w:tblStylePr>
    <w:tblStylePr w:type="firstCol">
      <w:rPr>
        <w:b/>
        <w:bCs/>
      </w:rPr>
    </w:tblStylePr>
    <w:tblStylePr w:type="lastCol">
      <w:rPr>
        <w:b/>
        <w:bCs/>
      </w:rPr>
    </w:tblStylePr>
  </w:style>
  <w:style w:type="table" w:styleId="GridTable4-Accent4">
    <w:name w:val="Grid Table 4 Accent 4"/>
    <w:basedOn w:val="TableNormal"/>
    <w:uiPriority w:val="99"/>
    <w:rsid w:val="00911DE3"/>
    <w:pPr>
      <w:spacing w:line="240" w:lineRule="auto"/>
    </w:pPr>
    <w:tblPr>
      <w:tblStyleRowBandSize w:val="1"/>
      <w:tblStyleColBandSize w:val="1"/>
    </w:tblPr>
    <w:tcPr>
      <w:shd w:val="clear" w:color="auto" w:fill="E3E3E4" w:themeFill="accent4" w:themeFillTint="33"/>
    </w:tcPr>
    <w:tblStylePr w:type="firstRow">
      <w:rPr>
        <w:b/>
        <w:bCs/>
        <w:color w:val="FFFFFF" w:themeColor="background1"/>
      </w:rPr>
      <w:tblPr/>
      <w:tcPr>
        <w:tcBorders>
          <w:top w:val="single" w:sz="4" w:space="0" w:color="76777B" w:themeColor="accent4"/>
          <w:left w:val="single" w:sz="4" w:space="0" w:color="76777B" w:themeColor="accent4"/>
          <w:bottom w:val="single" w:sz="4" w:space="0" w:color="76777B" w:themeColor="accent4"/>
          <w:right w:val="single" w:sz="4" w:space="0" w:color="76777B" w:themeColor="accent4"/>
          <w:insideH w:val="nil"/>
          <w:insideV w:val="nil"/>
        </w:tcBorders>
        <w:shd w:val="clear" w:color="auto" w:fill="76777B" w:themeFill="accent4"/>
      </w:tcPr>
    </w:tblStylePr>
    <w:tblStylePr w:type="lastRow">
      <w:rPr>
        <w:b/>
        <w:bCs/>
      </w:rPr>
      <w:tblPr/>
      <w:tcPr>
        <w:tcBorders>
          <w:top w:val="double" w:sz="4" w:space="0" w:color="76777B" w:themeColor="accent4"/>
        </w:tcBorders>
      </w:tcPr>
    </w:tblStylePr>
    <w:tblStylePr w:type="firstCol">
      <w:rPr>
        <w:b/>
        <w:bCs/>
      </w:rPr>
    </w:tblStylePr>
    <w:tblStylePr w:type="lastCol">
      <w:rPr>
        <w:b/>
        <w:bCs/>
      </w:rPr>
    </w:tblStylePr>
  </w:style>
  <w:style w:type="table" w:styleId="GridTable4-Accent5">
    <w:name w:val="Grid Table 4 Accent 5"/>
    <w:basedOn w:val="TableNormal"/>
    <w:uiPriority w:val="99"/>
    <w:rsid w:val="00911DE3"/>
    <w:pPr>
      <w:spacing w:line="240" w:lineRule="auto"/>
    </w:pPr>
    <w:tblPr>
      <w:tblStyleRowBandSize w:val="1"/>
      <w:tblStyleColBandSize w:val="1"/>
    </w:tblPr>
    <w:tcPr>
      <w:shd w:val="clear" w:color="auto" w:fill="C2CFDF" w:themeFill="accent5" w:themeFillTint="33"/>
    </w:tcPr>
    <w:tblStylePr w:type="firstRow">
      <w:rPr>
        <w:b/>
        <w:bCs/>
        <w:color w:val="FFFFFF" w:themeColor="background1"/>
      </w:rPr>
      <w:tblPr/>
      <w:tcPr>
        <w:tcBorders>
          <w:top w:val="single" w:sz="4" w:space="0" w:color="111821" w:themeColor="accent5"/>
          <w:left w:val="single" w:sz="4" w:space="0" w:color="111821" w:themeColor="accent5"/>
          <w:bottom w:val="single" w:sz="4" w:space="0" w:color="111821" w:themeColor="accent5"/>
          <w:right w:val="single" w:sz="4" w:space="0" w:color="111821" w:themeColor="accent5"/>
          <w:insideH w:val="nil"/>
          <w:insideV w:val="nil"/>
        </w:tcBorders>
        <w:shd w:val="clear" w:color="auto" w:fill="111821" w:themeFill="accent5"/>
      </w:tcPr>
    </w:tblStylePr>
    <w:tblStylePr w:type="lastRow">
      <w:rPr>
        <w:b/>
        <w:bCs/>
      </w:rPr>
      <w:tblPr/>
      <w:tcPr>
        <w:tcBorders>
          <w:top w:val="double" w:sz="4" w:space="0" w:color="111821" w:themeColor="accent5"/>
        </w:tcBorders>
      </w:tcPr>
    </w:tblStylePr>
    <w:tblStylePr w:type="firstCol">
      <w:rPr>
        <w:b/>
        <w:bCs/>
      </w:rPr>
    </w:tblStylePr>
    <w:tblStylePr w:type="lastCol">
      <w:rPr>
        <w:b/>
        <w:bCs/>
      </w:rPr>
    </w:tblStylePr>
  </w:style>
  <w:style w:type="table" w:styleId="GridTable4-Accent6">
    <w:name w:val="Grid Table 4 Accent 6"/>
    <w:basedOn w:val="TableNormal"/>
    <w:uiPriority w:val="99"/>
    <w:rsid w:val="00911DE3"/>
    <w:pPr>
      <w:spacing w:line="240" w:lineRule="auto"/>
    </w:pPr>
    <w:tblPr>
      <w:tblStyleRowBandSize w:val="1"/>
      <w:tblStyleColBandSize w:val="1"/>
    </w:tblPr>
    <w:tcPr>
      <w:shd w:val="clear" w:color="auto" w:fill="F1F6FB" w:themeFill="accent6" w:themeFillTint="33"/>
    </w:tcPr>
    <w:tblStylePr w:type="firstRow">
      <w:rPr>
        <w:b/>
        <w:bCs/>
        <w:color w:val="FFFFFF" w:themeColor="background1"/>
      </w:rPr>
      <w:tblPr/>
      <w:tcPr>
        <w:tcBorders>
          <w:top w:val="single" w:sz="4" w:space="0" w:color="BFD6ED" w:themeColor="accent6"/>
          <w:left w:val="single" w:sz="4" w:space="0" w:color="BFD6ED" w:themeColor="accent6"/>
          <w:bottom w:val="single" w:sz="4" w:space="0" w:color="BFD6ED" w:themeColor="accent6"/>
          <w:right w:val="single" w:sz="4" w:space="0" w:color="BFD6ED" w:themeColor="accent6"/>
          <w:insideH w:val="nil"/>
          <w:insideV w:val="nil"/>
        </w:tcBorders>
        <w:shd w:val="clear" w:color="auto" w:fill="BFD6ED" w:themeFill="accent6"/>
      </w:tcPr>
    </w:tblStylePr>
    <w:tblStylePr w:type="lastRow">
      <w:rPr>
        <w:b/>
        <w:bCs/>
      </w:rPr>
      <w:tblPr/>
      <w:tcPr>
        <w:tcBorders>
          <w:top w:val="double" w:sz="4" w:space="0" w:color="BFD6ED" w:themeColor="accent6"/>
        </w:tcBorders>
      </w:tcPr>
    </w:tblStylePr>
    <w:tblStylePr w:type="firstCol">
      <w:rPr>
        <w:b/>
        <w:bCs/>
      </w:rPr>
    </w:tblStylePr>
    <w:tblStylePr w:type="lastCol">
      <w:rPr>
        <w:b/>
        <w:bCs/>
      </w:rPr>
    </w:tblStylePr>
  </w:style>
  <w:style w:type="table" w:styleId="GridTable5Dark">
    <w:name w:val="Grid Table 5 Dark"/>
    <w:basedOn w:val="TableNormal"/>
    <w:uiPriority w:val="99"/>
    <w:rsid w:val="00911DE3"/>
    <w:pPr>
      <w:spacing w:line="240" w:lineRule="auto"/>
    </w:pPr>
    <w:tblPr>
      <w:tblStyleRowBandSize w:val="1"/>
      <w:tblStyleColBandSize w:val="1"/>
    </w:tblPr>
    <w:tcPr>
      <w:tcBorders>
        <w:left w:val="single" w:sz="4" w:space="0" w:color="FFFFFF" w:themeColor="background1"/>
        <w:right w:val="single" w:sz="4" w:space="0" w:color="FFFFFF" w:themeColor="background1"/>
      </w:tcBorders>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1">
    <w:name w:val="Grid Table 5 Dark Accent 1"/>
    <w:basedOn w:val="TableNormal"/>
    <w:uiPriority w:val="99"/>
    <w:rsid w:val="00911DE3"/>
    <w:pPr>
      <w:spacing w:line="240" w:lineRule="auto"/>
    </w:pPr>
    <w:tblPr>
      <w:tblStyleRowBandSize w:val="1"/>
      <w:tblStyleColBandSize w:val="1"/>
    </w:tblPr>
    <w:tcPr>
      <w:tcBorders>
        <w:left w:val="single" w:sz="4" w:space="0" w:color="FFFFFF" w:themeColor="background1"/>
        <w:right w:val="single" w:sz="4" w:space="0" w:color="FFFFFF" w:themeColor="background1"/>
      </w:tcBorders>
      <w:shd w:val="clear" w:color="auto" w:fill="BE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CB9" w:themeFill="accent1"/>
      </w:tc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2">
    <w:name w:val="Grid Table 5 Dark Accent 2"/>
    <w:basedOn w:val="TableNormal"/>
    <w:uiPriority w:val="99"/>
    <w:rsid w:val="00911DE3"/>
    <w:pPr>
      <w:spacing w:line="240" w:lineRule="auto"/>
    </w:pPr>
    <w:tblPr>
      <w:tblStyleRowBandSize w:val="1"/>
      <w:tblStyleColBandSize w:val="1"/>
    </w:tblPr>
    <w:tcPr>
      <w:tcBorders>
        <w:left w:val="single" w:sz="4" w:space="0" w:color="FFFFFF" w:themeColor="background1"/>
        <w:right w:val="single" w:sz="4" w:space="0" w:color="FFFFFF" w:themeColor="background1"/>
      </w:tcBorders>
      <w:shd w:val="clear" w:color="auto" w:fill="F1F1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BBBBB" w:themeFill="accent2"/>
      </w:tc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3">
    <w:name w:val="Grid Table 5 Dark Accent 3"/>
    <w:basedOn w:val="TableNormal"/>
    <w:uiPriority w:val="99"/>
    <w:rsid w:val="00911DE3"/>
    <w:pPr>
      <w:spacing w:line="240" w:lineRule="auto"/>
    </w:pPr>
    <w:tblPr>
      <w:tblStyleRowBandSize w:val="1"/>
      <w:tblStyleColBandSize w:val="1"/>
    </w:tblPr>
    <w:tcPr>
      <w:tcBorders>
        <w:left w:val="single" w:sz="4" w:space="0" w:color="FFFFFF" w:themeColor="background1"/>
        <w:right w:val="single" w:sz="4" w:space="0" w:color="FFFFFF" w:themeColor="background1"/>
      </w:tcBorders>
      <w:shd w:val="clear" w:color="auto" w:fill="E5EE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ADDC" w:themeFill="accent3"/>
      </w:tc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4">
    <w:name w:val="Grid Table 5 Dark Accent 4"/>
    <w:basedOn w:val="TableNormal"/>
    <w:uiPriority w:val="99"/>
    <w:rsid w:val="00911DE3"/>
    <w:pPr>
      <w:spacing w:line="240" w:lineRule="auto"/>
    </w:pPr>
    <w:tblPr>
      <w:tblStyleRowBandSize w:val="1"/>
      <w:tblStyleColBandSize w:val="1"/>
    </w:tblPr>
    <w:tcPr>
      <w:tcBorders>
        <w:left w:val="single" w:sz="4" w:space="0" w:color="FFFFFF" w:themeColor="background1"/>
        <w:right w:val="single" w:sz="4" w:space="0" w:color="FFFFFF" w:themeColor="background1"/>
      </w:tcBorders>
      <w:shd w:val="clear" w:color="auto" w:fill="E3E3E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6777B" w:themeFill="accent4"/>
      </w:tc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5">
    <w:name w:val="Grid Table 5 Dark Accent 5"/>
    <w:basedOn w:val="TableNormal"/>
    <w:uiPriority w:val="99"/>
    <w:rsid w:val="00911DE3"/>
    <w:pPr>
      <w:spacing w:line="240" w:lineRule="auto"/>
    </w:pPr>
    <w:tblPr>
      <w:tblStyleRowBandSize w:val="1"/>
      <w:tblStyleColBandSize w:val="1"/>
    </w:tblPr>
    <w:tcPr>
      <w:tcBorders>
        <w:left w:val="single" w:sz="4" w:space="0" w:color="FFFFFF" w:themeColor="background1"/>
        <w:right w:val="single" w:sz="4" w:space="0" w:color="FFFFFF" w:themeColor="background1"/>
      </w:tcBorders>
      <w:shd w:val="clear" w:color="auto" w:fill="C2C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1821" w:themeFill="accent5"/>
      </w:tc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6">
    <w:name w:val="Grid Table 5 Dark Accent 6"/>
    <w:basedOn w:val="TableNormal"/>
    <w:uiPriority w:val="99"/>
    <w:rsid w:val="00911DE3"/>
    <w:pPr>
      <w:spacing w:line="240" w:lineRule="auto"/>
    </w:pPr>
    <w:tblPr>
      <w:tblStyleRowBandSize w:val="1"/>
      <w:tblStyleColBandSize w:val="1"/>
    </w:tblPr>
    <w:tcPr>
      <w:tcBorders>
        <w:left w:val="single" w:sz="4" w:space="0" w:color="FFFFFF" w:themeColor="background1"/>
        <w:right w:val="single" w:sz="4" w:space="0" w:color="FFFFFF" w:themeColor="background1"/>
      </w:tcBorders>
      <w:shd w:val="clear" w:color="auto" w:fill="F1F6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D6ED" w:themeFill="accent6"/>
      </w:tc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6Colorful">
    <w:name w:val="Grid Table 6 Colorful"/>
    <w:basedOn w:val="Table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911DE3"/>
    <w:pPr>
      <w:spacing w:line="240" w:lineRule="auto"/>
    </w:pPr>
    <w:rPr>
      <w:color w:val="00448A" w:themeColor="accent1" w:themeShade="BF"/>
    </w:rPr>
    <w:tblPr>
      <w:tblStyleRowBandSize w:val="1"/>
      <w:tblStyleColBandSize w:val="1"/>
      <w:tblBorders>
        <w:top w:val="single" w:sz="4" w:space="0" w:color="3C9CFF" w:themeColor="accent1" w:themeTint="99"/>
        <w:left w:val="single" w:sz="4" w:space="0" w:color="3C9CFF" w:themeColor="accent1" w:themeTint="99"/>
        <w:bottom w:val="single" w:sz="4" w:space="0" w:color="3C9CFF" w:themeColor="accent1" w:themeTint="99"/>
        <w:right w:val="single" w:sz="4" w:space="0" w:color="3C9CFF" w:themeColor="accent1" w:themeTint="99"/>
        <w:insideH w:val="single" w:sz="4" w:space="0" w:color="3C9CFF" w:themeColor="accent1" w:themeTint="99"/>
        <w:insideV w:val="single" w:sz="4" w:space="0" w:color="3C9CFF" w:themeColor="accent1" w:themeTint="99"/>
      </w:tblBorders>
    </w:tblPr>
    <w:tblStylePr w:type="firstRow">
      <w:rPr>
        <w:b/>
        <w:bCs/>
      </w:rPr>
      <w:tblPr/>
      <w:tcPr>
        <w:tcBorders>
          <w:bottom w:val="single" w:sz="12" w:space="0" w:color="3C9CFF" w:themeColor="accent1" w:themeTint="99"/>
        </w:tcBorders>
      </w:tcPr>
    </w:tblStylePr>
    <w:tblStylePr w:type="lastRow">
      <w:rPr>
        <w:b/>
        <w:bCs/>
      </w:rPr>
      <w:tblPr/>
      <w:tcPr>
        <w:tcBorders>
          <w:top w:val="double" w:sz="4" w:space="0" w:color="3C9CFF" w:themeColor="accent1" w:themeTint="99"/>
        </w:tcBorders>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GridTable6Colorful-Accent2">
    <w:name w:val="Grid Table 6 Colorful Accent 2"/>
    <w:basedOn w:val="TableNormal"/>
    <w:uiPriority w:val="99"/>
    <w:rsid w:val="00911DE3"/>
    <w:pPr>
      <w:spacing w:line="240" w:lineRule="auto"/>
    </w:pPr>
    <w:rPr>
      <w:color w:val="8C8C8C" w:themeColor="accent2" w:themeShade="BF"/>
    </w:rPr>
    <w:tblPr>
      <w:tblStyleRowBandSize w:val="1"/>
      <w:tblStyleColBandSize w:val="1"/>
      <w:tblBorders>
        <w:top w:val="single" w:sz="4" w:space="0" w:color="D6D6D6" w:themeColor="accent2" w:themeTint="99"/>
        <w:left w:val="single" w:sz="4" w:space="0" w:color="D6D6D6" w:themeColor="accent2" w:themeTint="99"/>
        <w:bottom w:val="single" w:sz="4" w:space="0" w:color="D6D6D6" w:themeColor="accent2" w:themeTint="99"/>
        <w:right w:val="single" w:sz="4" w:space="0" w:color="D6D6D6" w:themeColor="accent2" w:themeTint="99"/>
        <w:insideH w:val="single" w:sz="4" w:space="0" w:color="D6D6D6" w:themeColor="accent2" w:themeTint="99"/>
        <w:insideV w:val="single" w:sz="4" w:space="0" w:color="D6D6D6" w:themeColor="accent2" w:themeTint="99"/>
      </w:tblBorders>
    </w:tblPr>
    <w:tblStylePr w:type="firstRow">
      <w:rPr>
        <w:b/>
        <w:bCs/>
      </w:rPr>
      <w:tblPr/>
      <w:tcPr>
        <w:tcBorders>
          <w:bottom w:val="single" w:sz="12" w:space="0" w:color="D6D6D6" w:themeColor="accent2" w:themeTint="99"/>
        </w:tcBorders>
      </w:tcPr>
    </w:tblStylePr>
    <w:tblStylePr w:type="lastRow">
      <w:rPr>
        <w:b/>
        <w:bCs/>
      </w:rPr>
      <w:tblPr/>
      <w:tcPr>
        <w:tcBorders>
          <w:top w:val="double" w:sz="4" w:space="0" w:color="D6D6D6"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GridTable6Colorful-Accent3">
    <w:name w:val="Grid Table 6 Colorful Accent 3"/>
    <w:basedOn w:val="TableNormal"/>
    <w:uiPriority w:val="99"/>
    <w:rsid w:val="00911DE3"/>
    <w:pPr>
      <w:spacing w:line="240" w:lineRule="auto"/>
    </w:pPr>
    <w:rPr>
      <w:color w:val="3A80C9" w:themeColor="accent3" w:themeShade="BF"/>
    </w:rPr>
    <w:tblPr>
      <w:tblStyleRowBandSize w:val="1"/>
      <w:tblStyleColBandSize w:val="1"/>
      <w:tblBorders>
        <w:top w:val="single" w:sz="4" w:space="0" w:color="B2CDEA" w:themeColor="accent3" w:themeTint="99"/>
        <w:left w:val="single" w:sz="4" w:space="0" w:color="B2CDEA" w:themeColor="accent3" w:themeTint="99"/>
        <w:bottom w:val="single" w:sz="4" w:space="0" w:color="B2CDEA" w:themeColor="accent3" w:themeTint="99"/>
        <w:right w:val="single" w:sz="4" w:space="0" w:color="B2CDEA" w:themeColor="accent3" w:themeTint="99"/>
        <w:insideH w:val="single" w:sz="4" w:space="0" w:color="B2CDEA" w:themeColor="accent3" w:themeTint="99"/>
        <w:insideV w:val="single" w:sz="4" w:space="0" w:color="B2CDEA" w:themeColor="accent3" w:themeTint="99"/>
      </w:tblBorders>
    </w:tblPr>
    <w:tblStylePr w:type="firstRow">
      <w:rPr>
        <w:b/>
        <w:bCs/>
      </w:rPr>
      <w:tblPr/>
      <w:tcPr>
        <w:tcBorders>
          <w:bottom w:val="single" w:sz="12" w:space="0" w:color="B2CDEA" w:themeColor="accent3" w:themeTint="99"/>
        </w:tcBorders>
      </w:tcPr>
    </w:tblStylePr>
    <w:tblStylePr w:type="lastRow">
      <w:rPr>
        <w:b/>
        <w:bCs/>
      </w:rPr>
      <w:tblPr/>
      <w:tcPr>
        <w:tcBorders>
          <w:top w:val="double" w:sz="4" w:space="0" w:color="B2CDEA" w:themeColor="accent3" w:themeTint="99"/>
        </w:tcBorders>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GridTable6Colorful-Accent4">
    <w:name w:val="Grid Table 6 Colorful Accent 4"/>
    <w:basedOn w:val="TableNormal"/>
    <w:uiPriority w:val="99"/>
    <w:rsid w:val="00911DE3"/>
    <w:pPr>
      <w:spacing w:line="240" w:lineRule="auto"/>
    </w:pPr>
    <w:rPr>
      <w:color w:val="58595B" w:themeColor="accent4" w:themeShade="BF"/>
    </w:rPr>
    <w:tblPr>
      <w:tblStyleRowBandSize w:val="1"/>
      <w:tblStyleColBandSize w:val="1"/>
      <w:tblBorders>
        <w:top w:val="single" w:sz="4" w:space="0" w:color="ACADAF" w:themeColor="accent4" w:themeTint="99"/>
        <w:left w:val="single" w:sz="4" w:space="0" w:color="ACADAF" w:themeColor="accent4" w:themeTint="99"/>
        <w:bottom w:val="single" w:sz="4" w:space="0" w:color="ACADAF" w:themeColor="accent4" w:themeTint="99"/>
        <w:right w:val="single" w:sz="4" w:space="0" w:color="ACADAF" w:themeColor="accent4" w:themeTint="99"/>
        <w:insideH w:val="single" w:sz="4" w:space="0" w:color="ACADAF" w:themeColor="accent4" w:themeTint="99"/>
        <w:insideV w:val="single" w:sz="4" w:space="0" w:color="ACADAF" w:themeColor="accent4" w:themeTint="99"/>
      </w:tblBorders>
    </w:tblPr>
    <w:tblStylePr w:type="firstRow">
      <w:rPr>
        <w:b/>
        <w:bCs/>
      </w:rPr>
      <w:tblPr/>
      <w:tcPr>
        <w:tcBorders>
          <w:bottom w:val="single" w:sz="12" w:space="0" w:color="ACADAF" w:themeColor="accent4" w:themeTint="99"/>
        </w:tcBorders>
      </w:tcPr>
    </w:tblStylePr>
    <w:tblStylePr w:type="lastRow">
      <w:rPr>
        <w:b/>
        <w:bCs/>
      </w:rPr>
      <w:tblPr/>
      <w:tcPr>
        <w:tcBorders>
          <w:top w:val="double" w:sz="4" w:space="0" w:color="ACADAF" w:themeColor="accent4" w:themeTint="99"/>
        </w:tcBorders>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GridTable6Colorful-Accent5">
    <w:name w:val="Grid Table 6 Colorful Accent 5"/>
    <w:basedOn w:val="TableNormal"/>
    <w:uiPriority w:val="99"/>
    <w:rsid w:val="00911DE3"/>
    <w:pPr>
      <w:spacing w:line="240" w:lineRule="auto"/>
    </w:pPr>
    <w:rPr>
      <w:color w:val="0C1118" w:themeColor="accent5" w:themeShade="BF"/>
    </w:rPr>
    <w:tblPr>
      <w:tblStyleRowBandSize w:val="1"/>
      <w:tblStyleColBandSize w:val="1"/>
      <w:tblBorders>
        <w:top w:val="single" w:sz="4" w:space="0" w:color="4F709A" w:themeColor="accent5" w:themeTint="99"/>
        <w:left w:val="single" w:sz="4" w:space="0" w:color="4F709A" w:themeColor="accent5" w:themeTint="99"/>
        <w:bottom w:val="single" w:sz="4" w:space="0" w:color="4F709A" w:themeColor="accent5" w:themeTint="99"/>
        <w:right w:val="single" w:sz="4" w:space="0" w:color="4F709A" w:themeColor="accent5" w:themeTint="99"/>
        <w:insideH w:val="single" w:sz="4" w:space="0" w:color="4F709A" w:themeColor="accent5" w:themeTint="99"/>
        <w:insideV w:val="single" w:sz="4" w:space="0" w:color="4F709A" w:themeColor="accent5" w:themeTint="99"/>
      </w:tblBorders>
    </w:tblPr>
    <w:tblStylePr w:type="firstRow">
      <w:rPr>
        <w:b/>
        <w:bCs/>
      </w:rPr>
      <w:tblPr/>
      <w:tcPr>
        <w:tcBorders>
          <w:bottom w:val="single" w:sz="12" w:space="0" w:color="4F709A" w:themeColor="accent5" w:themeTint="99"/>
        </w:tcBorders>
      </w:tcPr>
    </w:tblStylePr>
    <w:tblStylePr w:type="lastRow">
      <w:rPr>
        <w:b/>
        <w:bCs/>
      </w:rPr>
      <w:tblPr/>
      <w:tcPr>
        <w:tcBorders>
          <w:top w:val="double" w:sz="4" w:space="0" w:color="4F709A" w:themeColor="accent5" w:themeTint="99"/>
        </w:tcBorders>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GridTable6Colorful-Accent6">
    <w:name w:val="Grid Table 6 Colorful Accent 6"/>
    <w:basedOn w:val="TableNormal"/>
    <w:uiPriority w:val="99"/>
    <w:rsid w:val="00911DE3"/>
    <w:pPr>
      <w:spacing w:line="240" w:lineRule="auto"/>
    </w:pPr>
    <w:rPr>
      <w:color w:val="6A9FD5" w:themeColor="accent6" w:themeShade="BF"/>
    </w:rPr>
    <w:tblPr>
      <w:tblStyleRowBandSize w:val="1"/>
      <w:tblStyleColBandSize w:val="1"/>
      <w:tblBorders>
        <w:top w:val="single" w:sz="4" w:space="0" w:color="D8E6F4" w:themeColor="accent6" w:themeTint="99"/>
        <w:left w:val="single" w:sz="4" w:space="0" w:color="D8E6F4" w:themeColor="accent6" w:themeTint="99"/>
        <w:bottom w:val="single" w:sz="4" w:space="0" w:color="D8E6F4" w:themeColor="accent6" w:themeTint="99"/>
        <w:right w:val="single" w:sz="4" w:space="0" w:color="D8E6F4" w:themeColor="accent6" w:themeTint="99"/>
        <w:insideH w:val="single" w:sz="4" w:space="0" w:color="D8E6F4" w:themeColor="accent6" w:themeTint="99"/>
        <w:insideV w:val="single" w:sz="4" w:space="0" w:color="D8E6F4" w:themeColor="accent6" w:themeTint="99"/>
      </w:tblBorders>
    </w:tblPr>
    <w:tblStylePr w:type="firstRow">
      <w:rPr>
        <w:b/>
        <w:bCs/>
      </w:rPr>
      <w:tblPr/>
      <w:tcPr>
        <w:tcBorders>
          <w:bottom w:val="single" w:sz="12" w:space="0" w:color="D8E6F4" w:themeColor="accent6" w:themeTint="99"/>
        </w:tcBorders>
      </w:tcPr>
    </w:tblStylePr>
    <w:tblStylePr w:type="lastRow">
      <w:rPr>
        <w:b/>
        <w:bCs/>
      </w:rPr>
      <w:tblPr/>
      <w:tcPr>
        <w:tcBorders>
          <w:top w:val="double" w:sz="4" w:space="0" w:color="D8E6F4" w:themeColor="accent6" w:themeTint="99"/>
        </w:tcBorders>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GridTable7Colorful">
    <w:name w:val="Grid Table 7 Colorful"/>
    <w:basedOn w:val="Table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911DE3"/>
    <w:pPr>
      <w:spacing w:line="240" w:lineRule="auto"/>
    </w:pPr>
    <w:rPr>
      <w:color w:val="00448A" w:themeColor="accent1" w:themeShade="BF"/>
    </w:rPr>
    <w:tblPr>
      <w:tblStyleRowBandSize w:val="1"/>
      <w:tblStyleColBandSize w:val="1"/>
      <w:tblBorders>
        <w:top w:val="single" w:sz="4" w:space="0" w:color="3C9CFF" w:themeColor="accent1" w:themeTint="99"/>
        <w:left w:val="single" w:sz="4" w:space="0" w:color="3C9CFF" w:themeColor="accent1" w:themeTint="99"/>
        <w:bottom w:val="single" w:sz="4" w:space="0" w:color="3C9CFF" w:themeColor="accent1" w:themeTint="99"/>
        <w:right w:val="single" w:sz="4" w:space="0" w:color="3C9CFF" w:themeColor="accent1" w:themeTint="99"/>
        <w:insideH w:val="single" w:sz="4" w:space="0" w:color="3C9CFF" w:themeColor="accent1" w:themeTint="99"/>
        <w:insideV w:val="single" w:sz="4" w:space="0" w:color="3C9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EFF" w:themeFill="accent1" w:themeFillTint="33"/>
      </w:tcPr>
    </w:tblStylePr>
    <w:tblStylePr w:type="band1Horz">
      <w:tblPr/>
      <w:tcPr>
        <w:shd w:val="clear" w:color="auto" w:fill="BEDEFF" w:themeFill="accent1" w:themeFillTint="33"/>
      </w:tcPr>
    </w:tblStylePr>
    <w:tblStylePr w:type="neCell">
      <w:tblPr/>
      <w:tcPr>
        <w:tcBorders>
          <w:bottom w:val="single" w:sz="4" w:space="0" w:color="3C9CFF" w:themeColor="accent1" w:themeTint="99"/>
        </w:tcBorders>
      </w:tcPr>
    </w:tblStylePr>
    <w:tblStylePr w:type="nwCell">
      <w:tblPr/>
      <w:tcPr>
        <w:tcBorders>
          <w:bottom w:val="single" w:sz="4" w:space="0" w:color="3C9CFF" w:themeColor="accent1" w:themeTint="99"/>
        </w:tcBorders>
      </w:tcPr>
    </w:tblStylePr>
    <w:tblStylePr w:type="seCell">
      <w:tblPr/>
      <w:tcPr>
        <w:tcBorders>
          <w:top w:val="single" w:sz="4" w:space="0" w:color="3C9CFF" w:themeColor="accent1" w:themeTint="99"/>
        </w:tcBorders>
      </w:tcPr>
    </w:tblStylePr>
    <w:tblStylePr w:type="swCell">
      <w:tblPr/>
      <w:tcPr>
        <w:tcBorders>
          <w:top w:val="single" w:sz="4" w:space="0" w:color="3C9CFF" w:themeColor="accent1" w:themeTint="99"/>
        </w:tcBorders>
      </w:tcPr>
    </w:tblStylePr>
  </w:style>
  <w:style w:type="table" w:styleId="GridTable7Colorful-Accent2">
    <w:name w:val="Grid Table 7 Colorful Accent 2"/>
    <w:basedOn w:val="TableNormal"/>
    <w:uiPriority w:val="99"/>
    <w:rsid w:val="00911DE3"/>
    <w:pPr>
      <w:spacing w:line="240" w:lineRule="auto"/>
    </w:pPr>
    <w:rPr>
      <w:color w:val="8C8C8C" w:themeColor="accent2" w:themeShade="BF"/>
    </w:rPr>
    <w:tblPr>
      <w:tblStyleRowBandSize w:val="1"/>
      <w:tblStyleColBandSize w:val="1"/>
      <w:tblBorders>
        <w:top w:val="single" w:sz="4" w:space="0" w:color="D6D6D6" w:themeColor="accent2" w:themeTint="99"/>
        <w:left w:val="single" w:sz="4" w:space="0" w:color="D6D6D6" w:themeColor="accent2" w:themeTint="99"/>
        <w:bottom w:val="single" w:sz="4" w:space="0" w:color="D6D6D6" w:themeColor="accent2" w:themeTint="99"/>
        <w:right w:val="single" w:sz="4" w:space="0" w:color="D6D6D6" w:themeColor="accent2" w:themeTint="99"/>
        <w:insideH w:val="single" w:sz="4" w:space="0" w:color="D6D6D6" w:themeColor="accent2" w:themeTint="99"/>
        <w:insideV w:val="single" w:sz="4" w:space="0" w:color="D6D6D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1F1" w:themeFill="accent2" w:themeFillTint="33"/>
      </w:tcPr>
    </w:tblStylePr>
    <w:tblStylePr w:type="band1Horz">
      <w:tblPr/>
      <w:tcPr>
        <w:shd w:val="clear" w:color="auto" w:fill="F1F1F1" w:themeFill="accent2" w:themeFillTint="33"/>
      </w:tcPr>
    </w:tblStylePr>
    <w:tblStylePr w:type="neCell">
      <w:tblPr/>
      <w:tcPr>
        <w:tcBorders>
          <w:bottom w:val="single" w:sz="4" w:space="0" w:color="D6D6D6" w:themeColor="accent2" w:themeTint="99"/>
        </w:tcBorders>
      </w:tcPr>
    </w:tblStylePr>
    <w:tblStylePr w:type="nwCell">
      <w:tblPr/>
      <w:tcPr>
        <w:tcBorders>
          <w:bottom w:val="single" w:sz="4" w:space="0" w:color="D6D6D6" w:themeColor="accent2" w:themeTint="99"/>
        </w:tcBorders>
      </w:tcPr>
    </w:tblStylePr>
    <w:tblStylePr w:type="seCell">
      <w:tblPr/>
      <w:tcPr>
        <w:tcBorders>
          <w:top w:val="single" w:sz="4" w:space="0" w:color="D6D6D6" w:themeColor="accent2" w:themeTint="99"/>
        </w:tcBorders>
      </w:tcPr>
    </w:tblStylePr>
    <w:tblStylePr w:type="swCell">
      <w:tblPr/>
      <w:tcPr>
        <w:tcBorders>
          <w:top w:val="single" w:sz="4" w:space="0" w:color="D6D6D6" w:themeColor="accent2" w:themeTint="99"/>
        </w:tcBorders>
      </w:tcPr>
    </w:tblStylePr>
  </w:style>
  <w:style w:type="table" w:styleId="GridTable7Colorful-Accent3">
    <w:name w:val="Grid Table 7 Colorful Accent 3"/>
    <w:basedOn w:val="TableNormal"/>
    <w:uiPriority w:val="99"/>
    <w:rsid w:val="00911DE3"/>
    <w:pPr>
      <w:spacing w:line="240" w:lineRule="auto"/>
    </w:pPr>
    <w:rPr>
      <w:color w:val="3A80C9" w:themeColor="accent3" w:themeShade="BF"/>
    </w:rPr>
    <w:tblPr>
      <w:tblStyleRowBandSize w:val="1"/>
      <w:tblStyleColBandSize w:val="1"/>
      <w:tblBorders>
        <w:top w:val="single" w:sz="4" w:space="0" w:color="B2CDEA" w:themeColor="accent3" w:themeTint="99"/>
        <w:left w:val="single" w:sz="4" w:space="0" w:color="B2CDEA" w:themeColor="accent3" w:themeTint="99"/>
        <w:bottom w:val="single" w:sz="4" w:space="0" w:color="B2CDEA" w:themeColor="accent3" w:themeTint="99"/>
        <w:right w:val="single" w:sz="4" w:space="0" w:color="B2CDEA" w:themeColor="accent3" w:themeTint="99"/>
        <w:insideH w:val="single" w:sz="4" w:space="0" w:color="B2CDEA" w:themeColor="accent3" w:themeTint="99"/>
        <w:insideV w:val="single" w:sz="4" w:space="0" w:color="B2CD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EF8" w:themeFill="accent3" w:themeFillTint="33"/>
      </w:tcPr>
    </w:tblStylePr>
    <w:tblStylePr w:type="band1Horz">
      <w:tblPr/>
      <w:tcPr>
        <w:shd w:val="clear" w:color="auto" w:fill="E5EEF8" w:themeFill="accent3" w:themeFillTint="33"/>
      </w:tcPr>
    </w:tblStylePr>
    <w:tblStylePr w:type="neCell">
      <w:tblPr/>
      <w:tcPr>
        <w:tcBorders>
          <w:bottom w:val="single" w:sz="4" w:space="0" w:color="B2CDEA" w:themeColor="accent3" w:themeTint="99"/>
        </w:tcBorders>
      </w:tcPr>
    </w:tblStylePr>
    <w:tblStylePr w:type="nwCell">
      <w:tblPr/>
      <w:tcPr>
        <w:tcBorders>
          <w:bottom w:val="single" w:sz="4" w:space="0" w:color="B2CDEA" w:themeColor="accent3" w:themeTint="99"/>
        </w:tcBorders>
      </w:tcPr>
    </w:tblStylePr>
    <w:tblStylePr w:type="seCell">
      <w:tblPr/>
      <w:tcPr>
        <w:tcBorders>
          <w:top w:val="single" w:sz="4" w:space="0" w:color="B2CDEA" w:themeColor="accent3" w:themeTint="99"/>
        </w:tcBorders>
      </w:tcPr>
    </w:tblStylePr>
    <w:tblStylePr w:type="swCell">
      <w:tblPr/>
      <w:tcPr>
        <w:tcBorders>
          <w:top w:val="single" w:sz="4" w:space="0" w:color="B2CDEA" w:themeColor="accent3" w:themeTint="99"/>
        </w:tcBorders>
      </w:tcPr>
    </w:tblStylePr>
  </w:style>
  <w:style w:type="table" w:styleId="GridTable7Colorful-Accent4">
    <w:name w:val="Grid Table 7 Colorful Accent 4"/>
    <w:basedOn w:val="TableNormal"/>
    <w:uiPriority w:val="99"/>
    <w:rsid w:val="00911DE3"/>
    <w:pPr>
      <w:spacing w:line="240" w:lineRule="auto"/>
    </w:pPr>
    <w:rPr>
      <w:color w:val="58595B" w:themeColor="accent4" w:themeShade="BF"/>
    </w:rPr>
    <w:tblPr>
      <w:tblStyleRowBandSize w:val="1"/>
      <w:tblStyleColBandSize w:val="1"/>
      <w:tblBorders>
        <w:top w:val="single" w:sz="4" w:space="0" w:color="ACADAF" w:themeColor="accent4" w:themeTint="99"/>
        <w:left w:val="single" w:sz="4" w:space="0" w:color="ACADAF" w:themeColor="accent4" w:themeTint="99"/>
        <w:bottom w:val="single" w:sz="4" w:space="0" w:color="ACADAF" w:themeColor="accent4" w:themeTint="99"/>
        <w:right w:val="single" w:sz="4" w:space="0" w:color="ACADAF" w:themeColor="accent4" w:themeTint="99"/>
        <w:insideH w:val="single" w:sz="4" w:space="0" w:color="ACADAF" w:themeColor="accent4" w:themeTint="99"/>
        <w:insideV w:val="single" w:sz="4" w:space="0" w:color="ACADA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3E4" w:themeFill="accent4" w:themeFillTint="33"/>
      </w:tcPr>
    </w:tblStylePr>
    <w:tblStylePr w:type="band1Horz">
      <w:tblPr/>
      <w:tcPr>
        <w:shd w:val="clear" w:color="auto" w:fill="E3E3E4" w:themeFill="accent4" w:themeFillTint="33"/>
      </w:tcPr>
    </w:tblStylePr>
    <w:tblStylePr w:type="neCell">
      <w:tblPr/>
      <w:tcPr>
        <w:tcBorders>
          <w:bottom w:val="single" w:sz="4" w:space="0" w:color="ACADAF" w:themeColor="accent4" w:themeTint="99"/>
        </w:tcBorders>
      </w:tcPr>
    </w:tblStylePr>
    <w:tblStylePr w:type="nwCell">
      <w:tblPr/>
      <w:tcPr>
        <w:tcBorders>
          <w:bottom w:val="single" w:sz="4" w:space="0" w:color="ACADAF" w:themeColor="accent4" w:themeTint="99"/>
        </w:tcBorders>
      </w:tcPr>
    </w:tblStylePr>
    <w:tblStylePr w:type="seCell">
      <w:tblPr/>
      <w:tcPr>
        <w:tcBorders>
          <w:top w:val="single" w:sz="4" w:space="0" w:color="ACADAF" w:themeColor="accent4" w:themeTint="99"/>
        </w:tcBorders>
      </w:tcPr>
    </w:tblStylePr>
    <w:tblStylePr w:type="swCell">
      <w:tblPr/>
      <w:tcPr>
        <w:tcBorders>
          <w:top w:val="single" w:sz="4" w:space="0" w:color="ACADAF" w:themeColor="accent4" w:themeTint="99"/>
        </w:tcBorders>
      </w:tcPr>
    </w:tblStylePr>
  </w:style>
  <w:style w:type="table" w:styleId="GridTable7Colorful-Accent5">
    <w:name w:val="Grid Table 7 Colorful Accent 5"/>
    <w:basedOn w:val="TableNormal"/>
    <w:uiPriority w:val="99"/>
    <w:rsid w:val="00911DE3"/>
    <w:pPr>
      <w:spacing w:line="240" w:lineRule="auto"/>
    </w:pPr>
    <w:rPr>
      <w:color w:val="0C1118" w:themeColor="accent5" w:themeShade="BF"/>
    </w:rPr>
    <w:tblPr>
      <w:tblStyleRowBandSize w:val="1"/>
      <w:tblStyleColBandSize w:val="1"/>
      <w:tblBorders>
        <w:top w:val="single" w:sz="4" w:space="0" w:color="4F709A" w:themeColor="accent5" w:themeTint="99"/>
        <w:left w:val="single" w:sz="4" w:space="0" w:color="4F709A" w:themeColor="accent5" w:themeTint="99"/>
        <w:bottom w:val="single" w:sz="4" w:space="0" w:color="4F709A" w:themeColor="accent5" w:themeTint="99"/>
        <w:right w:val="single" w:sz="4" w:space="0" w:color="4F709A" w:themeColor="accent5" w:themeTint="99"/>
        <w:insideH w:val="single" w:sz="4" w:space="0" w:color="4F709A" w:themeColor="accent5" w:themeTint="99"/>
        <w:insideV w:val="single" w:sz="4" w:space="0" w:color="4F70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FDF" w:themeFill="accent5" w:themeFillTint="33"/>
      </w:tcPr>
    </w:tblStylePr>
    <w:tblStylePr w:type="band1Horz">
      <w:tblPr/>
      <w:tcPr>
        <w:shd w:val="clear" w:color="auto" w:fill="C2CFDF" w:themeFill="accent5" w:themeFillTint="33"/>
      </w:tcPr>
    </w:tblStylePr>
    <w:tblStylePr w:type="neCell">
      <w:tblPr/>
      <w:tcPr>
        <w:tcBorders>
          <w:bottom w:val="single" w:sz="4" w:space="0" w:color="4F709A" w:themeColor="accent5" w:themeTint="99"/>
        </w:tcBorders>
      </w:tcPr>
    </w:tblStylePr>
    <w:tblStylePr w:type="nwCell">
      <w:tblPr/>
      <w:tcPr>
        <w:tcBorders>
          <w:bottom w:val="single" w:sz="4" w:space="0" w:color="4F709A" w:themeColor="accent5" w:themeTint="99"/>
        </w:tcBorders>
      </w:tcPr>
    </w:tblStylePr>
    <w:tblStylePr w:type="seCell">
      <w:tblPr/>
      <w:tcPr>
        <w:tcBorders>
          <w:top w:val="single" w:sz="4" w:space="0" w:color="4F709A" w:themeColor="accent5" w:themeTint="99"/>
        </w:tcBorders>
      </w:tcPr>
    </w:tblStylePr>
    <w:tblStylePr w:type="swCell">
      <w:tblPr/>
      <w:tcPr>
        <w:tcBorders>
          <w:top w:val="single" w:sz="4" w:space="0" w:color="4F709A" w:themeColor="accent5" w:themeTint="99"/>
        </w:tcBorders>
      </w:tcPr>
    </w:tblStylePr>
  </w:style>
  <w:style w:type="table" w:styleId="GridTable7Colorful-Accent6">
    <w:name w:val="Grid Table 7 Colorful Accent 6"/>
    <w:basedOn w:val="TableNormal"/>
    <w:uiPriority w:val="99"/>
    <w:rsid w:val="00911DE3"/>
    <w:pPr>
      <w:spacing w:line="240" w:lineRule="auto"/>
    </w:pPr>
    <w:rPr>
      <w:color w:val="6A9FD5" w:themeColor="accent6" w:themeShade="BF"/>
    </w:rPr>
    <w:tblPr>
      <w:tblStyleRowBandSize w:val="1"/>
      <w:tblStyleColBandSize w:val="1"/>
      <w:tblBorders>
        <w:top w:val="single" w:sz="4" w:space="0" w:color="D8E6F4" w:themeColor="accent6" w:themeTint="99"/>
        <w:left w:val="single" w:sz="4" w:space="0" w:color="D8E6F4" w:themeColor="accent6" w:themeTint="99"/>
        <w:bottom w:val="single" w:sz="4" w:space="0" w:color="D8E6F4" w:themeColor="accent6" w:themeTint="99"/>
        <w:right w:val="single" w:sz="4" w:space="0" w:color="D8E6F4" w:themeColor="accent6" w:themeTint="99"/>
        <w:insideH w:val="single" w:sz="4" w:space="0" w:color="D8E6F4" w:themeColor="accent6" w:themeTint="99"/>
        <w:insideV w:val="single" w:sz="4" w:space="0" w:color="D8E6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6FB" w:themeFill="accent6" w:themeFillTint="33"/>
      </w:tcPr>
    </w:tblStylePr>
    <w:tblStylePr w:type="band1Horz">
      <w:tblPr/>
      <w:tcPr>
        <w:shd w:val="clear" w:color="auto" w:fill="F1F6FB" w:themeFill="accent6" w:themeFillTint="33"/>
      </w:tcPr>
    </w:tblStylePr>
    <w:tblStylePr w:type="neCell">
      <w:tblPr/>
      <w:tcPr>
        <w:tcBorders>
          <w:bottom w:val="single" w:sz="4" w:space="0" w:color="D8E6F4" w:themeColor="accent6" w:themeTint="99"/>
        </w:tcBorders>
      </w:tcPr>
    </w:tblStylePr>
    <w:tblStylePr w:type="nwCell">
      <w:tblPr/>
      <w:tcPr>
        <w:tcBorders>
          <w:bottom w:val="single" w:sz="4" w:space="0" w:color="D8E6F4" w:themeColor="accent6" w:themeTint="99"/>
        </w:tcBorders>
      </w:tcPr>
    </w:tblStylePr>
    <w:tblStylePr w:type="seCell">
      <w:tblPr/>
      <w:tcPr>
        <w:tcBorders>
          <w:top w:val="single" w:sz="4" w:space="0" w:color="D8E6F4" w:themeColor="accent6" w:themeTint="99"/>
        </w:tcBorders>
      </w:tcPr>
    </w:tblStylePr>
    <w:tblStylePr w:type="swCell">
      <w:tblPr/>
      <w:tcPr>
        <w:tcBorders>
          <w:top w:val="single" w:sz="4" w:space="0" w:color="D8E6F4" w:themeColor="accent6" w:themeTint="99"/>
        </w:tcBorders>
      </w:tcPr>
    </w:tblStylePr>
  </w:style>
  <w:style w:type="character" w:styleId="Hashtag">
    <w:name w:val="Hashtag"/>
    <w:basedOn w:val="DefaultParagraphFont"/>
    <w:uiPriority w:val="99"/>
    <w:semiHidden/>
    <w:rsid w:val="00911DE3"/>
    <w:rPr>
      <w:color w:val="2B579A"/>
      <w:shd w:val="clear" w:color="auto" w:fill="E1DFDD"/>
    </w:rPr>
  </w:style>
  <w:style w:type="paragraph" w:styleId="Header">
    <w:name w:val="header"/>
    <w:basedOn w:val="Normal"/>
    <w:link w:val="HeaderChar"/>
    <w:uiPriority w:val="13"/>
    <w:semiHidden/>
    <w:rsid w:val="00C26C62"/>
    <w:pPr>
      <w:spacing w:line="200" w:lineRule="atLeast"/>
    </w:pPr>
    <w:rPr>
      <w:sz w:val="16"/>
    </w:rPr>
  </w:style>
  <w:style w:type="character" w:customStyle="1" w:styleId="HeaderChar">
    <w:name w:val="Header Char"/>
    <w:basedOn w:val="DefaultParagraphFont"/>
    <w:link w:val="Header"/>
    <w:uiPriority w:val="13"/>
    <w:semiHidden/>
    <w:rsid w:val="00C26C62"/>
    <w:rPr>
      <w:sz w:val="16"/>
    </w:rPr>
  </w:style>
  <w:style w:type="character" w:customStyle="1" w:styleId="Heading1Char">
    <w:name w:val="Heading 1 Char"/>
    <w:basedOn w:val="DefaultParagraphFont"/>
    <w:link w:val="Heading1"/>
    <w:uiPriority w:val="9"/>
    <w:rsid w:val="00060821"/>
    <w:rPr>
      <w:rFonts w:asciiTheme="majorHAnsi" w:eastAsiaTheme="majorEastAsia" w:hAnsiTheme="majorHAnsi" w:cstheme="majorBidi"/>
      <w:color w:val="00448A" w:themeColor="accent1" w:themeShade="BF"/>
      <w:sz w:val="40"/>
      <w:szCs w:val="40"/>
    </w:rPr>
  </w:style>
  <w:style w:type="character" w:customStyle="1" w:styleId="Heading2Char">
    <w:name w:val="Heading 2 Char"/>
    <w:basedOn w:val="DefaultParagraphFont"/>
    <w:link w:val="Heading2"/>
    <w:uiPriority w:val="9"/>
    <w:rsid w:val="00060821"/>
    <w:rPr>
      <w:rFonts w:asciiTheme="majorHAnsi" w:eastAsiaTheme="majorEastAsia" w:hAnsiTheme="majorHAnsi" w:cstheme="majorBidi"/>
      <w:color w:val="00448A" w:themeColor="accent1" w:themeShade="BF"/>
      <w:sz w:val="32"/>
      <w:szCs w:val="32"/>
    </w:rPr>
  </w:style>
  <w:style w:type="character" w:customStyle="1" w:styleId="Heading3Char">
    <w:name w:val="Heading 3 Char"/>
    <w:basedOn w:val="DefaultParagraphFont"/>
    <w:link w:val="Heading3"/>
    <w:uiPriority w:val="9"/>
    <w:rsid w:val="00060821"/>
    <w:rPr>
      <w:rFonts w:eastAsiaTheme="majorEastAsia" w:cstheme="majorBidi"/>
      <w:color w:val="00448A" w:themeColor="accent1" w:themeShade="BF"/>
      <w:sz w:val="28"/>
      <w:szCs w:val="28"/>
    </w:rPr>
  </w:style>
  <w:style w:type="character" w:customStyle="1" w:styleId="Heading4Char">
    <w:name w:val="Heading 4 Char"/>
    <w:basedOn w:val="DefaultParagraphFont"/>
    <w:link w:val="Heading4"/>
    <w:uiPriority w:val="9"/>
    <w:rsid w:val="00060821"/>
    <w:rPr>
      <w:rFonts w:eastAsiaTheme="majorEastAsia" w:cstheme="majorBidi"/>
      <w:i/>
      <w:iCs/>
      <w:color w:val="00448A" w:themeColor="accent1" w:themeShade="BF"/>
    </w:rPr>
  </w:style>
  <w:style w:type="character" w:customStyle="1" w:styleId="Heading5Char">
    <w:name w:val="Heading 5 Char"/>
    <w:basedOn w:val="DefaultParagraphFont"/>
    <w:link w:val="Heading5"/>
    <w:uiPriority w:val="9"/>
    <w:semiHidden/>
    <w:rsid w:val="00060821"/>
    <w:rPr>
      <w:rFonts w:eastAsiaTheme="majorEastAsia" w:cstheme="majorBidi"/>
      <w:color w:val="00448A" w:themeColor="accent1" w:themeShade="BF"/>
    </w:rPr>
  </w:style>
  <w:style w:type="character" w:customStyle="1" w:styleId="Heading6Char">
    <w:name w:val="Heading 6 Char"/>
    <w:basedOn w:val="DefaultParagraphFont"/>
    <w:link w:val="Heading6"/>
    <w:uiPriority w:val="9"/>
    <w:semiHidden/>
    <w:rsid w:val="00060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821"/>
    <w:rPr>
      <w:rFonts w:eastAsiaTheme="majorEastAsia" w:cstheme="majorBidi"/>
      <w:color w:val="272727" w:themeColor="text1" w:themeTint="D8"/>
    </w:rPr>
  </w:style>
  <w:style w:type="character" w:styleId="HTMLAcronym">
    <w:name w:val="HTML Acronym"/>
    <w:basedOn w:val="DefaultParagraphFont"/>
    <w:uiPriority w:val="99"/>
    <w:semiHidden/>
    <w:rsid w:val="00911DE3"/>
  </w:style>
  <w:style w:type="paragraph" w:styleId="HTMLAddress">
    <w:name w:val="HTML Address"/>
    <w:basedOn w:val="Normal"/>
    <w:link w:val="HTMLAddressChar"/>
    <w:uiPriority w:val="99"/>
    <w:semiHidden/>
    <w:rsid w:val="00911DE3"/>
    <w:pPr>
      <w:spacing w:line="240" w:lineRule="auto"/>
    </w:pPr>
    <w:rPr>
      <w:i/>
      <w:iCs/>
    </w:rPr>
  </w:style>
  <w:style w:type="character" w:customStyle="1" w:styleId="HTMLAddressChar">
    <w:name w:val="HTML Address Char"/>
    <w:basedOn w:val="DefaultParagraphFont"/>
    <w:link w:val="HTMLAddress"/>
    <w:uiPriority w:val="99"/>
    <w:semiHidden/>
    <w:rsid w:val="00911DE3"/>
    <w:rPr>
      <w:i/>
      <w:iCs/>
    </w:rPr>
  </w:style>
  <w:style w:type="character" w:styleId="HTMLCite">
    <w:name w:val="HTML Cite"/>
    <w:basedOn w:val="DefaultParagraphFont"/>
    <w:uiPriority w:val="99"/>
    <w:semiHidden/>
    <w:rsid w:val="00911DE3"/>
    <w:rPr>
      <w:i/>
      <w:iCs/>
    </w:rPr>
  </w:style>
  <w:style w:type="character" w:styleId="HTMLCode">
    <w:name w:val="HTML Code"/>
    <w:basedOn w:val="DefaultParagraphFont"/>
    <w:uiPriority w:val="99"/>
    <w:semiHidden/>
    <w:rsid w:val="00911DE3"/>
    <w:rPr>
      <w:rFonts w:ascii="AvenirNext LT Pro Regular" w:hAnsi="AvenirNext LT Pro Regular" w:cs="Arial"/>
      <w:sz w:val="20"/>
      <w:szCs w:val="20"/>
    </w:rPr>
  </w:style>
  <w:style w:type="character" w:styleId="HTMLDefinition">
    <w:name w:val="HTML Definition"/>
    <w:basedOn w:val="DefaultParagraphFont"/>
    <w:uiPriority w:val="99"/>
    <w:semiHidden/>
    <w:rsid w:val="00911DE3"/>
    <w:rPr>
      <w:i/>
      <w:iCs/>
    </w:rPr>
  </w:style>
  <w:style w:type="character" w:styleId="HTMLKeyboard">
    <w:name w:val="HTML Keyboard"/>
    <w:basedOn w:val="DefaultParagraphFont"/>
    <w:uiPriority w:val="99"/>
    <w:semiHidden/>
    <w:rsid w:val="00911DE3"/>
    <w:rPr>
      <w:rFonts w:ascii="AvenirNext LT Pro Regular" w:hAnsi="AvenirNext LT Pro Regular" w:cs="Arial"/>
      <w:sz w:val="20"/>
      <w:szCs w:val="20"/>
    </w:rPr>
  </w:style>
  <w:style w:type="paragraph" w:styleId="HTMLPreformatted">
    <w:name w:val="HTML Preformatted"/>
    <w:basedOn w:val="Normal"/>
    <w:link w:val="HTMLPreformattedChar"/>
    <w:uiPriority w:val="99"/>
    <w:semiHidden/>
    <w:rsid w:val="00911DE3"/>
    <w:pPr>
      <w:spacing w:line="240" w:lineRule="auto"/>
    </w:pPr>
    <w:rPr>
      <w:rFonts w:cs="Arial"/>
    </w:rPr>
  </w:style>
  <w:style w:type="character" w:customStyle="1" w:styleId="HTMLPreformattedChar">
    <w:name w:val="HTML Preformatted Char"/>
    <w:basedOn w:val="DefaultParagraphFont"/>
    <w:link w:val="HTMLPreformatted"/>
    <w:uiPriority w:val="99"/>
    <w:semiHidden/>
    <w:rsid w:val="00911DE3"/>
    <w:rPr>
      <w:rFonts w:cs="Arial"/>
    </w:rPr>
  </w:style>
  <w:style w:type="character" w:styleId="HTMLSample">
    <w:name w:val="HTML Sample"/>
    <w:basedOn w:val="DefaultParagraphFont"/>
    <w:uiPriority w:val="99"/>
    <w:semiHidden/>
    <w:rsid w:val="00911DE3"/>
    <w:rPr>
      <w:rFonts w:ascii="AvenirNext LT Pro Regular" w:hAnsi="AvenirNext LT Pro Regular" w:cs="Arial"/>
      <w:sz w:val="24"/>
      <w:szCs w:val="24"/>
    </w:rPr>
  </w:style>
  <w:style w:type="character" w:styleId="HTMLTypewriter">
    <w:name w:val="HTML Typewriter"/>
    <w:basedOn w:val="DefaultParagraphFont"/>
    <w:uiPriority w:val="99"/>
    <w:semiHidden/>
    <w:rsid w:val="00911DE3"/>
    <w:rPr>
      <w:rFonts w:ascii="AvenirNext LT Pro Regular" w:hAnsi="AvenirNext LT Pro Regular" w:cs="Arial"/>
      <w:sz w:val="20"/>
      <w:szCs w:val="20"/>
    </w:rPr>
  </w:style>
  <w:style w:type="character" w:styleId="HTMLVariable">
    <w:name w:val="HTML Variable"/>
    <w:basedOn w:val="DefaultParagraphFont"/>
    <w:uiPriority w:val="99"/>
    <w:semiHidden/>
    <w:rsid w:val="00911DE3"/>
    <w:rPr>
      <w:i/>
      <w:iCs/>
    </w:rPr>
  </w:style>
  <w:style w:type="character" w:styleId="Hyperlink">
    <w:name w:val="Hyperlink"/>
    <w:basedOn w:val="DefaultParagraphFont"/>
    <w:uiPriority w:val="99"/>
    <w:rsid w:val="00911DE3"/>
    <w:rPr>
      <w:color w:val="0563C1" w:themeColor="hyperlink"/>
      <w:u w:val="single"/>
    </w:rPr>
  </w:style>
  <w:style w:type="paragraph" w:styleId="Index1">
    <w:name w:val="index 1"/>
    <w:basedOn w:val="Normal"/>
    <w:next w:val="Normal"/>
    <w:autoRedefine/>
    <w:uiPriority w:val="99"/>
    <w:semiHidden/>
    <w:rsid w:val="00911DE3"/>
    <w:pPr>
      <w:spacing w:line="240" w:lineRule="auto"/>
      <w:ind w:left="200" w:hanging="200"/>
    </w:pPr>
  </w:style>
  <w:style w:type="paragraph" w:styleId="Index2">
    <w:name w:val="index 2"/>
    <w:basedOn w:val="Normal"/>
    <w:next w:val="Normal"/>
    <w:autoRedefine/>
    <w:uiPriority w:val="99"/>
    <w:semiHidden/>
    <w:rsid w:val="00911DE3"/>
    <w:pPr>
      <w:spacing w:line="240" w:lineRule="auto"/>
      <w:ind w:left="400" w:hanging="200"/>
    </w:pPr>
  </w:style>
  <w:style w:type="paragraph" w:styleId="Index3">
    <w:name w:val="index 3"/>
    <w:basedOn w:val="Normal"/>
    <w:next w:val="Normal"/>
    <w:autoRedefine/>
    <w:uiPriority w:val="99"/>
    <w:semiHidden/>
    <w:rsid w:val="00911DE3"/>
    <w:pPr>
      <w:spacing w:line="240" w:lineRule="auto"/>
      <w:ind w:left="600" w:hanging="200"/>
    </w:pPr>
  </w:style>
  <w:style w:type="paragraph" w:styleId="Index4">
    <w:name w:val="index 4"/>
    <w:basedOn w:val="Normal"/>
    <w:next w:val="Normal"/>
    <w:autoRedefine/>
    <w:uiPriority w:val="99"/>
    <w:semiHidden/>
    <w:rsid w:val="00911DE3"/>
    <w:pPr>
      <w:spacing w:line="240" w:lineRule="auto"/>
      <w:ind w:left="800" w:hanging="200"/>
    </w:pPr>
  </w:style>
  <w:style w:type="paragraph" w:styleId="Index5">
    <w:name w:val="index 5"/>
    <w:basedOn w:val="Normal"/>
    <w:next w:val="Normal"/>
    <w:autoRedefine/>
    <w:uiPriority w:val="99"/>
    <w:semiHidden/>
    <w:rsid w:val="00911DE3"/>
    <w:pPr>
      <w:spacing w:line="240" w:lineRule="auto"/>
      <w:ind w:left="1000" w:hanging="200"/>
    </w:pPr>
  </w:style>
  <w:style w:type="paragraph" w:styleId="Index6">
    <w:name w:val="index 6"/>
    <w:basedOn w:val="Normal"/>
    <w:next w:val="Normal"/>
    <w:autoRedefine/>
    <w:uiPriority w:val="99"/>
    <w:semiHidden/>
    <w:rsid w:val="00911DE3"/>
    <w:pPr>
      <w:spacing w:line="240" w:lineRule="auto"/>
      <w:ind w:left="1200" w:hanging="200"/>
    </w:pPr>
  </w:style>
  <w:style w:type="paragraph" w:styleId="Index7">
    <w:name w:val="index 7"/>
    <w:basedOn w:val="Normal"/>
    <w:next w:val="Normal"/>
    <w:autoRedefine/>
    <w:uiPriority w:val="99"/>
    <w:semiHidden/>
    <w:rsid w:val="00911DE3"/>
    <w:pPr>
      <w:spacing w:line="240" w:lineRule="auto"/>
      <w:ind w:left="1400" w:hanging="200"/>
    </w:pPr>
  </w:style>
  <w:style w:type="paragraph" w:styleId="Index8">
    <w:name w:val="index 8"/>
    <w:basedOn w:val="Normal"/>
    <w:next w:val="Normal"/>
    <w:autoRedefine/>
    <w:uiPriority w:val="99"/>
    <w:semiHidden/>
    <w:rsid w:val="00911DE3"/>
    <w:pPr>
      <w:spacing w:line="240" w:lineRule="auto"/>
      <w:ind w:left="1600" w:hanging="200"/>
    </w:pPr>
  </w:style>
  <w:style w:type="paragraph" w:styleId="Index9">
    <w:name w:val="index 9"/>
    <w:basedOn w:val="Normal"/>
    <w:next w:val="Normal"/>
    <w:autoRedefine/>
    <w:uiPriority w:val="99"/>
    <w:semiHidden/>
    <w:rsid w:val="00911DE3"/>
    <w:pPr>
      <w:spacing w:line="240" w:lineRule="auto"/>
      <w:ind w:left="1800" w:hanging="200"/>
    </w:pPr>
  </w:style>
  <w:style w:type="paragraph" w:styleId="IndexHeading">
    <w:name w:val="index heading"/>
    <w:basedOn w:val="Normal"/>
    <w:next w:val="Index1"/>
    <w:uiPriority w:val="99"/>
    <w:semiHidden/>
    <w:rsid w:val="00911DE3"/>
    <w:rPr>
      <w:rFonts w:eastAsiaTheme="majorEastAsia" w:cs="Arial"/>
      <w:b/>
      <w:bCs/>
    </w:rPr>
  </w:style>
  <w:style w:type="character" w:styleId="IntenseEmphasis">
    <w:name w:val="Intense Emphasis"/>
    <w:basedOn w:val="DefaultParagraphFont"/>
    <w:uiPriority w:val="21"/>
    <w:qFormat/>
    <w:rsid w:val="00060821"/>
    <w:rPr>
      <w:i/>
      <w:iCs/>
      <w:color w:val="00448A" w:themeColor="accent1" w:themeShade="BF"/>
    </w:rPr>
  </w:style>
  <w:style w:type="paragraph" w:styleId="IntenseQuote">
    <w:name w:val="Intense Quote"/>
    <w:basedOn w:val="Normal"/>
    <w:next w:val="Normal"/>
    <w:link w:val="IntenseQuoteChar"/>
    <w:uiPriority w:val="30"/>
    <w:qFormat/>
    <w:rsid w:val="00060821"/>
    <w:pPr>
      <w:pBdr>
        <w:top w:val="single" w:sz="4" w:space="10" w:color="00448A" w:themeColor="accent1" w:themeShade="BF"/>
        <w:bottom w:val="single" w:sz="4" w:space="10" w:color="00448A" w:themeColor="accent1" w:themeShade="BF"/>
      </w:pBdr>
      <w:spacing w:before="360" w:after="360"/>
      <w:ind w:left="864" w:right="864"/>
      <w:jc w:val="center"/>
    </w:pPr>
    <w:rPr>
      <w:i/>
      <w:iCs/>
      <w:color w:val="00448A" w:themeColor="accent1" w:themeShade="BF"/>
    </w:rPr>
  </w:style>
  <w:style w:type="character" w:customStyle="1" w:styleId="IntenseQuoteChar">
    <w:name w:val="Intense Quote Char"/>
    <w:basedOn w:val="DefaultParagraphFont"/>
    <w:link w:val="IntenseQuote"/>
    <w:uiPriority w:val="30"/>
    <w:rsid w:val="00060821"/>
    <w:rPr>
      <w:i/>
      <w:iCs/>
      <w:color w:val="00448A" w:themeColor="accent1" w:themeShade="BF"/>
    </w:rPr>
  </w:style>
  <w:style w:type="character" w:styleId="IntenseReference">
    <w:name w:val="Intense Reference"/>
    <w:basedOn w:val="DefaultParagraphFont"/>
    <w:uiPriority w:val="32"/>
    <w:qFormat/>
    <w:rsid w:val="00060821"/>
    <w:rPr>
      <w:b/>
      <w:bCs/>
      <w:smallCaps/>
      <w:color w:val="00448A" w:themeColor="accent1" w:themeShade="BF"/>
      <w:spacing w:val="5"/>
    </w:rPr>
  </w:style>
  <w:style w:type="table" w:styleId="LightGrid">
    <w:name w:val="Light Grid"/>
    <w:basedOn w:val="Table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911DE3"/>
    <w:pPr>
      <w:spacing w:line="240" w:lineRule="auto"/>
    </w:pPr>
    <w:tblPr>
      <w:tblStyleRowBandSize w:val="1"/>
      <w:tblStyleColBandSize w:val="1"/>
      <w:tblBorders>
        <w:top w:val="single" w:sz="8" w:space="0" w:color="005CB9" w:themeColor="accent1"/>
        <w:left w:val="single" w:sz="8" w:space="0" w:color="005CB9" w:themeColor="accent1"/>
        <w:bottom w:val="single" w:sz="8" w:space="0" w:color="005CB9" w:themeColor="accent1"/>
        <w:right w:val="single" w:sz="8" w:space="0" w:color="005CB9" w:themeColor="accent1"/>
        <w:insideH w:val="single" w:sz="8" w:space="0" w:color="005CB9" w:themeColor="accent1"/>
        <w:insideV w:val="single" w:sz="8" w:space="0" w:color="005C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CB9" w:themeColor="accent1"/>
          <w:left w:val="single" w:sz="8" w:space="0" w:color="005CB9" w:themeColor="accent1"/>
          <w:bottom w:val="single" w:sz="18" w:space="0" w:color="005CB9" w:themeColor="accent1"/>
          <w:right w:val="single" w:sz="8" w:space="0" w:color="005CB9" w:themeColor="accent1"/>
          <w:insideH w:val="nil"/>
          <w:insideV w:val="single" w:sz="8" w:space="0" w:color="005C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CB9" w:themeColor="accent1"/>
          <w:left w:val="single" w:sz="8" w:space="0" w:color="005CB9" w:themeColor="accent1"/>
          <w:bottom w:val="single" w:sz="8" w:space="0" w:color="005CB9" w:themeColor="accent1"/>
          <w:right w:val="single" w:sz="8" w:space="0" w:color="005CB9" w:themeColor="accent1"/>
          <w:insideH w:val="nil"/>
          <w:insideV w:val="single" w:sz="8" w:space="0" w:color="005C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CB9" w:themeColor="accent1"/>
          <w:left w:val="single" w:sz="8" w:space="0" w:color="005CB9" w:themeColor="accent1"/>
          <w:bottom w:val="single" w:sz="8" w:space="0" w:color="005CB9" w:themeColor="accent1"/>
          <w:right w:val="single" w:sz="8" w:space="0" w:color="005CB9" w:themeColor="accent1"/>
        </w:tcBorders>
      </w:tcPr>
    </w:tblStylePr>
    <w:tblStylePr w:type="band1Vert">
      <w:tblPr/>
      <w:tcPr>
        <w:tcBorders>
          <w:top w:val="single" w:sz="8" w:space="0" w:color="005CB9" w:themeColor="accent1"/>
          <w:left w:val="single" w:sz="8" w:space="0" w:color="005CB9" w:themeColor="accent1"/>
          <w:bottom w:val="single" w:sz="8" w:space="0" w:color="005CB9" w:themeColor="accent1"/>
          <w:right w:val="single" w:sz="8" w:space="0" w:color="005CB9" w:themeColor="accent1"/>
        </w:tcBorders>
        <w:shd w:val="clear" w:color="auto" w:fill="AED6FF" w:themeFill="accent1" w:themeFillTint="3F"/>
      </w:tcPr>
    </w:tblStylePr>
    <w:tblStylePr w:type="band1Horz">
      <w:tblPr/>
      <w:tcPr>
        <w:tcBorders>
          <w:top w:val="single" w:sz="8" w:space="0" w:color="005CB9" w:themeColor="accent1"/>
          <w:left w:val="single" w:sz="8" w:space="0" w:color="005CB9" w:themeColor="accent1"/>
          <w:bottom w:val="single" w:sz="8" w:space="0" w:color="005CB9" w:themeColor="accent1"/>
          <w:right w:val="single" w:sz="8" w:space="0" w:color="005CB9" w:themeColor="accent1"/>
          <w:insideV w:val="single" w:sz="8" w:space="0" w:color="005CB9" w:themeColor="accent1"/>
        </w:tcBorders>
        <w:shd w:val="clear" w:color="auto" w:fill="AED6FF" w:themeFill="accent1" w:themeFillTint="3F"/>
      </w:tcPr>
    </w:tblStylePr>
    <w:tblStylePr w:type="band2Horz">
      <w:tblPr/>
      <w:tcPr>
        <w:tcBorders>
          <w:top w:val="single" w:sz="8" w:space="0" w:color="005CB9" w:themeColor="accent1"/>
          <w:left w:val="single" w:sz="8" w:space="0" w:color="005CB9" w:themeColor="accent1"/>
          <w:bottom w:val="single" w:sz="8" w:space="0" w:color="005CB9" w:themeColor="accent1"/>
          <w:right w:val="single" w:sz="8" w:space="0" w:color="005CB9" w:themeColor="accent1"/>
          <w:insideV w:val="single" w:sz="8" w:space="0" w:color="005CB9" w:themeColor="accent1"/>
        </w:tcBorders>
      </w:tcPr>
    </w:tblStylePr>
  </w:style>
  <w:style w:type="table" w:styleId="LightGrid-Accent2">
    <w:name w:val="Light Grid Accent 2"/>
    <w:basedOn w:val="TableNormal"/>
    <w:uiPriority w:val="99"/>
    <w:semiHidden/>
    <w:unhideWhenUsed/>
    <w:rsid w:val="00911DE3"/>
    <w:pPr>
      <w:spacing w:line="240" w:lineRule="auto"/>
    </w:pPr>
    <w:tblPr>
      <w:tblStyleRowBandSize w:val="1"/>
      <w:tblStyleColBandSize w:val="1"/>
      <w:tblBorders>
        <w:top w:val="single" w:sz="8" w:space="0" w:color="BBBBBB" w:themeColor="accent2"/>
        <w:left w:val="single" w:sz="8" w:space="0" w:color="BBBBBB" w:themeColor="accent2"/>
        <w:bottom w:val="single" w:sz="8" w:space="0" w:color="BBBBBB" w:themeColor="accent2"/>
        <w:right w:val="single" w:sz="8" w:space="0" w:color="BBBBBB" w:themeColor="accent2"/>
        <w:insideH w:val="single" w:sz="8" w:space="0" w:color="BBBBBB" w:themeColor="accent2"/>
        <w:insideV w:val="single" w:sz="8" w:space="0" w:color="BBBBB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BBBB" w:themeColor="accent2"/>
          <w:left w:val="single" w:sz="8" w:space="0" w:color="BBBBBB" w:themeColor="accent2"/>
          <w:bottom w:val="single" w:sz="18" w:space="0" w:color="BBBBBB" w:themeColor="accent2"/>
          <w:right w:val="single" w:sz="8" w:space="0" w:color="BBBBBB" w:themeColor="accent2"/>
          <w:insideH w:val="nil"/>
          <w:insideV w:val="single" w:sz="8" w:space="0" w:color="BBBBB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BBBB" w:themeColor="accent2"/>
          <w:left w:val="single" w:sz="8" w:space="0" w:color="BBBBBB" w:themeColor="accent2"/>
          <w:bottom w:val="single" w:sz="8" w:space="0" w:color="BBBBBB" w:themeColor="accent2"/>
          <w:right w:val="single" w:sz="8" w:space="0" w:color="BBBBBB" w:themeColor="accent2"/>
          <w:insideH w:val="nil"/>
          <w:insideV w:val="single" w:sz="8" w:space="0" w:color="BBBBB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BBBB" w:themeColor="accent2"/>
          <w:left w:val="single" w:sz="8" w:space="0" w:color="BBBBBB" w:themeColor="accent2"/>
          <w:bottom w:val="single" w:sz="8" w:space="0" w:color="BBBBBB" w:themeColor="accent2"/>
          <w:right w:val="single" w:sz="8" w:space="0" w:color="BBBBBB" w:themeColor="accent2"/>
        </w:tcBorders>
      </w:tcPr>
    </w:tblStylePr>
    <w:tblStylePr w:type="band1Vert">
      <w:tblPr/>
      <w:tcPr>
        <w:tcBorders>
          <w:top w:val="single" w:sz="8" w:space="0" w:color="BBBBBB" w:themeColor="accent2"/>
          <w:left w:val="single" w:sz="8" w:space="0" w:color="BBBBBB" w:themeColor="accent2"/>
          <w:bottom w:val="single" w:sz="8" w:space="0" w:color="BBBBBB" w:themeColor="accent2"/>
          <w:right w:val="single" w:sz="8" w:space="0" w:color="BBBBBB" w:themeColor="accent2"/>
        </w:tcBorders>
        <w:shd w:val="clear" w:color="auto" w:fill="EEEEEE" w:themeFill="accent2" w:themeFillTint="3F"/>
      </w:tcPr>
    </w:tblStylePr>
    <w:tblStylePr w:type="band1Horz">
      <w:tblPr/>
      <w:tcPr>
        <w:tcBorders>
          <w:top w:val="single" w:sz="8" w:space="0" w:color="BBBBBB" w:themeColor="accent2"/>
          <w:left w:val="single" w:sz="8" w:space="0" w:color="BBBBBB" w:themeColor="accent2"/>
          <w:bottom w:val="single" w:sz="8" w:space="0" w:color="BBBBBB" w:themeColor="accent2"/>
          <w:right w:val="single" w:sz="8" w:space="0" w:color="BBBBBB" w:themeColor="accent2"/>
          <w:insideV w:val="single" w:sz="8" w:space="0" w:color="BBBBBB" w:themeColor="accent2"/>
        </w:tcBorders>
        <w:shd w:val="clear" w:color="auto" w:fill="EEEEEE" w:themeFill="accent2" w:themeFillTint="3F"/>
      </w:tcPr>
    </w:tblStylePr>
    <w:tblStylePr w:type="band2Horz">
      <w:tblPr/>
      <w:tcPr>
        <w:tcBorders>
          <w:top w:val="single" w:sz="8" w:space="0" w:color="BBBBBB" w:themeColor="accent2"/>
          <w:left w:val="single" w:sz="8" w:space="0" w:color="BBBBBB" w:themeColor="accent2"/>
          <w:bottom w:val="single" w:sz="8" w:space="0" w:color="BBBBBB" w:themeColor="accent2"/>
          <w:right w:val="single" w:sz="8" w:space="0" w:color="BBBBBB" w:themeColor="accent2"/>
          <w:insideV w:val="single" w:sz="8" w:space="0" w:color="BBBBBB" w:themeColor="accent2"/>
        </w:tcBorders>
      </w:tcPr>
    </w:tblStylePr>
  </w:style>
  <w:style w:type="table" w:styleId="LightGrid-Accent3">
    <w:name w:val="Light Grid Accent 3"/>
    <w:basedOn w:val="TableNormal"/>
    <w:uiPriority w:val="99"/>
    <w:semiHidden/>
    <w:unhideWhenUsed/>
    <w:rsid w:val="00911DE3"/>
    <w:pPr>
      <w:spacing w:line="240" w:lineRule="auto"/>
    </w:pPr>
    <w:tblPr>
      <w:tblStyleRowBandSize w:val="1"/>
      <w:tblStyleColBandSize w:val="1"/>
      <w:tblBorders>
        <w:top w:val="single" w:sz="8" w:space="0" w:color="7FADDC" w:themeColor="accent3"/>
        <w:left w:val="single" w:sz="8" w:space="0" w:color="7FADDC" w:themeColor="accent3"/>
        <w:bottom w:val="single" w:sz="8" w:space="0" w:color="7FADDC" w:themeColor="accent3"/>
        <w:right w:val="single" w:sz="8" w:space="0" w:color="7FADDC" w:themeColor="accent3"/>
        <w:insideH w:val="single" w:sz="8" w:space="0" w:color="7FADDC" w:themeColor="accent3"/>
        <w:insideV w:val="single" w:sz="8" w:space="0" w:color="7FADD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ADDC" w:themeColor="accent3"/>
          <w:left w:val="single" w:sz="8" w:space="0" w:color="7FADDC" w:themeColor="accent3"/>
          <w:bottom w:val="single" w:sz="18" w:space="0" w:color="7FADDC" w:themeColor="accent3"/>
          <w:right w:val="single" w:sz="8" w:space="0" w:color="7FADDC" w:themeColor="accent3"/>
          <w:insideH w:val="nil"/>
          <w:insideV w:val="single" w:sz="8" w:space="0" w:color="7FADD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ADDC" w:themeColor="accent3"/>
          <w:left w:val="single" w:sz="8" w:space="0" w:color="7FADDC" w:themeColor="accent3"/>
          <w:bottom w:val="single" w:sz="8" w:space="0" w:color="7FADDC" w:themeColor="accent3"/>
          <w:right w:val="single" w:sz="8" w:space="0" w:color="7FADDC" w:themeColor="accent3"/>
          <w:insideH w:val="nil"/>
          <w:insideV w:val="single" w:sz="8" w:space="0" w:color="7FADD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ADDC" w:themeColor="accent3"/>
          <w:left w:val="single" w:sz="8" w:space="0" w:color="7FADDC" w:themeColor="accent3"/>
          <w:bottom w:val="single" w:sz="8" w:space="0" w:color="7FADDC" w:themeColor="accent3"/>
          <w:right w:val="single" w:sz="8" w:space="0" w:color="7FADDC" w:themeColor="accent3"/>
        </w:tcBorders>
      </w:tcPr>
    </w:tblStylePr>
    <w:tblStylePr w:type="band1Vert">
      <w:tblPr/>
      <w:tcPr>
        <w:tcBorders>
          <w:top w:val="single" w:sz="8" w:space="0" w:color="7FADDC" w:themeColor="accent3"/>
          <w:left w:val="single" w:sz="8" w:space="0" w:color="7FADDC" w:themeColor="accent3"/>
          <w:bottom w:val="single" w:sz="8" w:space="0" w:color="7FADDC" w:themeColor="accent3"/>
          <w:right w:val="single" w:sz="8" w:space="0" w:color="7FADDC" w:themeColor="accent3"/>
        </w:tcBorders>
        <w:shd w:val="clear" w:color="auto" w:fill="DFEAF6" w:themeFill="accent3" w:themeFillTint="3F"/>
      </w:tcPr>
    </w:tblStylePr>
    <w:tblStylePr w:type="band1Horz">
      <w:tblPr/>
      <w:tcPr>
        <w:tcBorders>
          <w:top w:val="single" w:sz="8" w:space="0" w:color="7FADDC" w:themeColor="accent3"/>
          <w:left w:val="single" w:sz="8" w:space="0" w:color="7FADDC" w:themeColor="accent3"/>
          <w:bottom w:val="single" w:sz="8" w:space="0" w:color="7FADDC" w:themeColor="accent3"/>
          <w:right w:val="single" w:sz="8" w:space="0" w:color="7FADDC" w:themeColor="accent3"/>
          <w:insideV w:val="single" w:sz="8" w:space="0" w:color="7FADDC" w:themeColor="accent3"/>
        </w:tcBorders>
        <w:shd w:val="clear" w:color="auto" w:fill="DFEAF6" w:themeFill="accent3" w:themeFillTint="3F"/>
      </w:tcPr>
    </w:tblStylePr>
    <w:tblStylePr w:type="band2Horz">
      <w:tblPr/>
      <w:tcPr>
        <w:tcBorders>
          <w:top w:val="single" w:sz="8" w:space="0" w:color="7FADDC" w:themeColor="accent3"/>
          <w:left w:val="single" w:sz="8" w:space="0" w:color="7FADDC" w:themeColor="accent3"/>
          <w:bottom w:val="single" w:sz="8" w:space="0" w:color="7FADDC" w:themeColor="accent3"/>
          <w:right w:val="single" w:sz="8" w:space="0" w:color="7FADDC" w:themeColor="accent3"/>
          <w:insideV w:val="single" w:sz="8" w:space="0" w:color="7FADDC" w:themeColor="accent3"/>
        </w:tcBorders>
      </w:tcPr>
    </w:tblStylePr>
  </w:style>
  <w:style w:type="table" w:styleId="LightGrid-Accent4">
    <w:name w:val="Light Grid Accent 4"/>
    <w:basedOn w:val="TableNormal"/>
    <w:uiPriority w:val="99"/>
    <w:semiHidden/>
    <w:unhideWhenUsed/>
    <w:rsid w:val="00911DE3"/>
    <w:pPr>
      <w:spacing w:line="240" w:lineRule="auto"/>
    </w:pPr>
    <w:tblPr>
      <w:tblStyleRowBandSize w:val="1"/>
      <w:tblStyleColBandSize w:val="1"/>
      <w:tblBorders>
        <w:top w:val="single" w:sz="8" w:space="0" w:color="76777B" w:themeColor="accent4"/>
        <w:left w:val="single" w:sz="8" w:space="0" w:color="76777B" w:themeColor="accent4"/>
        <w:bottom w:val="single" w:sz="8" w:space="0" w:color="76777B" w:themeColor="accent4"/>
        <w:right w:val="single" w:sz="8" w:space="0" w:color="76777B" w:themeColor="accent4"/>
        <w:insideH w:val="single" w:sz="8" w:space="0" w:color="76777B" w:themeColor="accent4"/>
        <w:insideV w:val="single" w:sz="8" w:space="0" w:color="76777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777B" w:themeColor="accent4"/>
          <w:left w:val="single" w:sz="8" w:space="0" w:color="76777B" w:themeColor="accent4"/>
          <w:bottom w:val="single" w:sz="18" w:space="0" w:color="76777B" w:themeColor="accent4"/>
          <w:right w:val="single" w:sz="8" w:space="0" w:color="76777B" w:themeColor="accent4"/>
          <w:insideH w:val="nil"/>
          <w:insideV w:val="single" w:sz="8" w:space="0" w:color="76777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777B" w:themeColor="accent4"/>
          <w:left w:val="single" w:sz="8" w:space="0" w:color="76777B" w:themeColor="accent4"/>
          <w:bottom w:val="single" w:sz="8" w:space="0" w:color="76777B" w:themeColor="accent4"/>
          <w:right w:val="single" w:sz="8" w:space="0" w:color="76777B" w:themeColor="accent4"/>
          <w:insideH w:val="nil"/>
          <w:insideV w:val="single" w:sz="8" w:space="0" w:color="76777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777B" w:themeColor="accent4"/>
          <w:left w:val="single" w:sz="8" w:space="0" w:color="76777B" w:themeColor="accent4"/>
          <w:bottom w:val="single" w:sz="8" w:space="0" w:color="76777B" w:themeColor="accent4"/>
          <w:right w:val="single" w:sz="8" w:space="0" w:color="76777B" w:themeColor="accent4"/>
        </w:tcBorders>
      </w:tcPr>
    </w:tblStylePr>
    <w:tblStylePr w:type="band1Vert">
      <w:tblPr/>
      <w:tcPr>
        <w:tcBorders>
          <w:top w:val="single" w:sz="8" w:space="0" w:color="76777B" w:themeColor="accent4"/>
          <w:left w:val="single" w:sz="8" w:space="0" w:color="76777B" w:themeColor="accent4"/>
          <w:bottom w:val="single" w:sz="8" w:space="0" w:color="76777B" w:themeColor="accent4"/>
          <w:right w:val="single" w:sz="8" w:space="0" w:color="76777B" w:themeColor="accent4"/>
        </w:tcBorders>
        <w:shd w:val="clear" w:color="auto" w:fill="DCDDDE" w:themeFill="accent4" w:themeFillTint="3F"/>
      </w:tcPr>
    </w:tblStylePr>
    <w:tblStylePr w:type="band1Horz">
      <w:tblPr/>
      <w:tcPr>
        <w:tcBorders>
          <w:top w:val="single" w:sz="8" w:space="0" w:color="76777B" w:themeColor="accent4"/>
          <w:left w:val="single" w:sz="8" w:space="0" w:color="76777B" w:themeColor="accent4"/>
          <w:bottom w:val="single" w:sz="8" w:space="0" w:color="76777B" w:themeColor="accent4"/>
          <w:right w:val="single" w:sz="8" w:space="0" w:color="76777B" w:themeColor="accent4"/>
          <w:insideV w:val="single" w:sz="8" w:space="0" w:color="76777B" w:themeColor="accent4"/>
        </w:tcBorders>
        <w:shd w:val="clear" w:color="auto" w:fill="DCDDDE" w:themeFill="accent4" w:themeFillTint="3F"/>
      </w:tcPr>
    </w:tblStylePr>
    <w:tblStylePr w:type="band2Horz">
      <w:tblPr/>
      <w:tcPr>
        <w:tcBorders>
          <w:top w:val="single" w:sz="8" w:space="0" w:color="76777B" w:themeColor="accent4"/>
          <w:left w:val="single" w:sz="8" w:space="0" w:color="76777B" w:themeColor="accent4"/>
          <w:bottom w:val="single" w:sz="8" w:space="0" w:color="76777B" w:themeColor="accent4"/>
          <w:right w:val="single" w:sz="8" w:space="0" w:color="76777B" w:themeColor="accent4"/>
          <w:insideV w:val="single" w:sz="8" w:space="0" w:color="76777B" w:themeColor="accent4"/>
        </w:tcBorders>
      </w:tcPr>
    </w:tblStylePr>
  </w:style>
  <w:style w:type="table" w:styleId="LightGrid-Accent5">
    <w:name w:val="Light Grid Accent 5"/>
    <w:basedOn w:val="TableNormal"/>
    <w:uiPriority w:val="99"/>
    <w:semiHidden/>
    <w:unhideWhenUsed/>
    <w:rsid w:val="00911DE3"/>
    <w:pPr>
      <w:spacing w:line="240" w:lineRule="auto"/>
    </w:pPr>
    <w:tblPr>
      <w:tblStyleRowBandSize w:val="1"/>
      <w:tblStyleColBandSize w:val="1"/>
      <w:tblBorders>
        <w:top w:val="single" w:sz="8" w:space="0" w:color="111821" w:themeColor="accent5"/>
        <w:left w:val="single" w:sz="8" w:space="0" w:color="111821" w:themeColor="accent5"/>
        <w:bottom w:val="single" w:sz="8" w:space="0" w:color="111821" w:themeColor="accent5"/>
        <w:right w:val="single" w:sz="8" w:space="0" w:color="111821" w:themeColor="accent5"/>
        <w:insideH w:val="single" w:sz="8" w:space="0" w:color="111821" w:themeColor="accent5"/>
        <w:insideV w:val="single" w:sz="8" w:space="0" w:color="11182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1821" w:themeColor="accent5"/>
          <w:left w:val="single" w:sz="8" w:space="0" w:color="111821" w:themeColor="accent5"/>
          <w:bottom w:val="single" w:sz="18" w:space="0" w:color="111821" w:themeColor="accent5"/>
          <w:right w:val="single" w:sz="8" w:space="0" w:color="111821" w:themeColor="accent5"/>
          <w:insideH w:val="nil"/>
          <w:insideV w:val="single" w:sz="8" w:space="0" w:color="11182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1821" w:themeColor="accent5"/>
          <w:left w:val="single" w:sz="8" w:space="0" w:color="111821" w:themeColor="accent5"/>
          <w:bottom w:val="single" w:sz="8" w:space="0" w:color="111821" w:themeColor="accent5"/>
          <w:right w:val="single" w:sz="8" w:space="0" w:color="111821" w:themeColor="accent5"/>
          <w:insideH w:val="nil"/>
          <w:insideV w:val="single" w:sz="8" w:space="0" w:color="11182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1821" w:themeColor="accent5"/>
          <w:left w:val="single" w:sz="8" w:space="0" w:color="111821" w:themeColor="accent5"/>
          <w:bottom w:val="single" w:sz="8" w:space="0" w:color="111821" w:themeColor="accent5"/>
          <w:right w:val="single" w:sz="8" w:space="0" w:color="111821" w:themeColor="accent5"/>
        </w:tcBorders>
      </w:tcPr>
    </w:tblStylePr>
    <w:tblStylePr w:type="band1Vert">
      <w:tblPr/>
      <w:tcPr>
        <w:tcBorders>
          <w:top w:val="single" w:sz="8" w:space="0" w:color="111821" w:themeColor="accent5"/>
          <w:left w:val="single" w:sz="8" w:space="0" w:color="111821" w:themeColor="accent5"/>
          <w:bottom w:val="single" w:sz="8" w:space="0" w:color="111821" w:themeColor="accent5"/>
          <w:right w:val="single" w:sz="8" w:space="0" w:color="111821" w:themeColor="accent5"/>
        </w:tcBorders>
        <w:shd w:val="clear" w:color="auto" w:fill="B4C3D8" w:themeFill="accent5" w:themeFillTint="3F"/>
      </w:tcPr>
    </w:tblStylePr>
    <w:tblStylePr w:type="band1Horz">
      <w:tblPr/>
      <w:tcPr>
        <w:tcBorders>
          <w:top w:val="single" w:sz="8" w:space="0" w:color="111821" w:themeColor="accent5"/>
          <w:left w:val="single" w:sz="8" w:space="0" w:color="111821" w:themeColor="accent5"/>
          <w:bottom w:val="single" w:sz="8" w:space="0" w:color="111821" w:themeColor="accent5"/>
          <w:right w:val="single" w:sz="8" w:space="0" w:color="111821" w:themeColor="accent5"/>
          <w:insideV w:val="single" w:sz="8" w:space="0" w:color="111821" w:themeColor="accent5"/>
        </w:tcBorders>
        <w:shd w:val="clear" w:color="auto" w:fill="B4C3D8" w:themeFill="accent5" w:themeFillTint="3F"/>
      </w:tcPr>
    </w:tblStylePr>
    <w:tblStylePr w:type="band2Horz">
      <w:tblPr/>
      <w:tcPr>
        <w:tcBorders>
          <w:top w:val="single" w:sz="8" w:space="0" w:color="111821" w:themeColor="accent5"/>
          <w:left w:val="single" w:sz="8" w:space="0" w:color="111821" w:themeColor="accent5"/>
          <w:bottom w:val="single" w:sz="8" w:space="0" w:color="111821" w:themeColor="accent5"/>
          <w:right w:val="single" w:sz="8" w:space="0" w:color="111821" w:themeColor="accent5"/>
          <w:insideV w:val="single" w:sz="8" w:space="0" w:color="111821" w:themeColor="accent5"/>
        </w:tcBorders>
      </w:tcPr>
    </w:tblStylePr>
  </w:style>
  <w:style w:type="table" w:styleId="LightGrid-Accent6">
    <w:name w:val="Light Grid Accent 6"/>
    <w:basedOn w:val="TableNormal"/>
    <w:uiPriority w:val="99"/>
    <w:semiHidden/>
    <w:unhideWhenUsed/>
    <w:rsid w:val="00911DE3"/>
    <w:pPr>
      <w:spacing w:line="240" w:lineRule="auto"/>
    </w:pPr>
    <w:tblPr>
      <w:tblStyleRowBandSize w:val="1"/>
      <w:tblStyleColBandSize w:val="1"/>
      <w:tblBorders>
        <w:top w:val="single" w:sz="8" w:space="0" w:color="BFD6ED" w:themeColor="accent6"/>
        <w:left w:val="single" w:sz="8" w:space="0" w:color="BFD6ED" w:themeColor="accent6"/>
        <w:bottom w:val="single" w:sz="8" w:space="0" w:color="BFD6ED" w:themeColor="accent6"/>
        <w:right w:val="single" w:sz="8" w:space="0" w:color="BFD6ED" w:themeColor="accent6"/>
        <w:insideH w:val="single" w:sz="8" w:space="0" w:color="BFD6ED" w:themeColor="accent6"/>
        <w:insideV w:val="single" w:sz="8" w:space="0" w:color="BFD6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D6ED" w:themeColor="accent6"/>
          <w:left w:val="single" w:sz="8" w:space="0" w:color="BFD6ED" w:themeColor="accent6"/>
          <w:bottom w:val="single" w:sz="18" w:space="0" w:color="BFD6ED" w:themeColor="accent6"/>
          <w:right w:val="single" w:sz="8" w:space="0" w:color="BFD6ED" w:themeColor="accent6"/>
          <w:insideH w:val="nil"/>
          <w:insideV w:val="single" w:sz="8" w:space="0" w:color="BFD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D6ED" w:themeColor="accent6"/>
          <w:left w:val="single" w:sz="8" w:space="0" w:color="BFD6ED" w:themeColor="accent6"/>
          <w:bottom w:val="single" w:sz="8" w:space="0" w:color="BFD6ED" w:themeColor="accent6"/>
          <w:right w:val="single" w:sz="8" w:space="0" w:color="BFD6ED" w:themeColor="accent6"/>
          <w:insideH w:val="nil"/>
          <w:insideV w:val="single" w:sz="8" w:space="0" w:color="BFD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D6ED" w:themeColor="accent6"/>
          <w:left w:val="single" w:sz="8" w:space="0" w:color="BFD6ED" w:themeColor="accent6"/>
          <w:bottom w:val="single" w:sz="8" w:space="0" w:color="BFD6ED" w:themeColor="accent6"/>
          <w:right w:val="single" w:sz="8" w:space="0" w:color="BFD6ED" w:themeColor="accent6"/>
        </w:tcBorders>
      </w:tcPr>
    </w:tblStylePr>
    <w:tblStylePr w:type="band1Vert">
      <w:tblPr/>
      <w:tcPr>
        <w:tcBorders>
          <w:top w:val="single" w:sz="8" w:space="0" w:color="BFD6ED" w:themeColor="accent6"/>
          <w:left w:val="single" w:sz="8" w:space="0" w:color="BFD6ED" w:themeColor="accent6"/>
          <w:bottom w:val="single" w:sz="8" w:space="0" w:color="BFD6ED" w:themeColor="accent6"/>
          <w:right w:val="single" w:sz="8" w:space="0" w:color="BFD6ED" w:themeColor="accent6"/>
        </w:tcBorders>
        <w:shd w:val="clear" w:color="auto" w:fill="EFF4FA" w:themeFill="accent6" w:themeFillTint="3F"/>
      </w:tcPr>
    </w:tblStylePr>
    <w:tblStylePr w:type="band1Horz">
      <w:tblPr/>
      <w:tcPr>
        <w:tcBorders>
          <w:top w:val="single" w:sz="8" w:space="0" w:color="BFD6ED" w:themeColor="accent6"/>
          <w:left w:val="single" w:sz="8" w:space="0" w:color="BFD6ED" w:themeColor="accent6"/>
          <w:bottom w:val="single" w:sz="8" w:space="0" w:color="BFD6ED" w:themeColor="accent6"/>
          <w:right w:val="single" w:sz="8" w:space="0" w:color="BFD6ED" w:themeColor="accent6"/>
          <w:insideV w:val="single" w:sz="8" w:space="0" w:color="BFD6ED" w:themeColor="accent6"/>
        </w:tcBorders>
        <w:shd w:val="clear" w:color="auto" w:fill="EFF4FA" w:themeFill="accent6" w:themeFillTint="3F"/>
      </w:tcPr>
    </w:tblStylePr>
    <w:tblStylePr w:type="band2Horz">
      <w:tblPr/>
      <w:tcPr>
        <w:tcBorders>
          <w:top w:val="single" w:sz="8" w:space="0" w:color="BFD6ED" w:themeColor="accent6"/>
          <w:left w:val="single" w:sz="8" w:space="0" w:color="BFD6ED" w:themeColor="accent6"/>
          <w:bottom w:val="single" w:sz="8" w:space="0" w:color="BFD6ED" w:themeColor="accent6"/>
          <w:right w:val="single" w:sz="8" w:space="0" w:color="BFD6ED" w:themeColor="accent6"/>
          <w:insideV w:val="single" w:sz="8" w:space="0" w:color="BFD6ED" w:themeColor="accent6"/>
        </w:tcBorders>
      </w:tcPr>
    </w:tblStylePr>
  </w:style>
  <w:style w:type="table" w:styleId="LightList">
    <w:name w:val="Light List"/>
    <w:basedOn w:val="TableNormal"/>
    <w:uiPriority w:val="99"/>
    <w:semiHidden/>
    <w:unhideWhenUsed/>
    <w:rsid w:val="00911DE3"/>
    <w:pPr>
      <w:spacing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99"/>
    <w:semiHidden/>
    <w:unhideWhenUsed/>
    <w:rsid w:val="00911DE3"/>
    <w:pPr>
      <w:spacing w:line="240" w:lineRule="auto"/>
    </w:pPr>
    <w:tblPr>
      <w:tblStyleRowBandSize w:val="1"/>
      <w:tblStyleColBandSize w:val="1"/>
    </w:tblPr>
    <w:tcPr>
      <w:tcBorders>
        <w:top w:val="single" w:sz="8" w:space="0" w:color="005CB9" w:themeColor="accent1"/>
        <w:left w:val="single" w:sz="8" w:space="0" w:color="005CB9" w:themeColor="accent1"/>
        <w:bottom w:val="single" w:sz="8" w:space="0" w:color="005CB9" w:themeColor="accent1"/>
        <w:right w:val="single" w:sz="8" w:space="0" w:color="005CB9" w:themeColor="accent1"/>
      </w:tcBorders>
    </w:tcPr>
    <w:tblStylePr w:type="firstRow">
      <w:pPr>
        <w:spacing w:before="0" w:after="0" w:line="240" w:lineRule="auto"/>
      </w:pPr>
      <w:rPr>
        <w:b/>
        <w:bCs/>
        <w:color w:val="FFFFFF" w:themeColor="background1"/>
      </w:rPr>
      <w:tblPr/>
      <w:tcPr>
        <w:shd w:val="clear" w:color="auto" w:fill="005CB9"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99"/>
    <w:semiHidden/>
    <w:unhideWhenUsed/>
    <w:rsid w:val="00911DE3"/>
    <w:pPr>
      <w:spacing w:line="240" w:lineRule="auto"/>
    </w:pPr>
    <w:tblPr>
      <w:tblStyleRowBandSize w:val="1"/>
      <w:tblStyleColBandSize w:val="1"/>
    </w:tblPr>
    <w:tcPr>
      <w:tcBorders>
        <w:top w:val="single" w:sz="8" w:space="0" w:color="BBBBBB" w:themeColor="accent2"/>
        <w:left w:val="single" w:sz="8" w:space="0" w:color="BBBBBB" w:themeColor="accent2"/>
        <w:bottom w:val="single" w:sz="8" w:space="0" w:color="BBBBBB" w:themeColor="accent2"/>
        <w:right w:val="single" w:sz="8" w:space="0" w:color="BBBBBB" w:themeColor="accent2"/>
      </w:tcBorders>
    </w:tcPr>
    <w:tblStylePr w:type="firstRow">
      <w:pPr>
        <w:spacing w:before="0" w:after="0" w:line="240" w:lineRule="auto"/>
      </w:pPr>
      <w:rPr>
        <w:b/>
        <w:bCs/>
        <w:color w:val="FFFFFF" w:themeColor="background1"/>
      </w:rPr>
      <w:tblPr/>
      <w:tcPr>
        <w:shd w:val="clear" w:color="auto" w:fill="BBBBBB"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99"/>
    <w:semiHidden/>
    <w:unhideWhenUsed/>
    <w:rsid w:val="00911DE3"/>
    <w:pPr>
      <w:spacing w:line="240" w:lineRule="auto"/>
    </w:pPr>
    <w:tblPr>
      <w:tblStyleRowBandSize w:val="1"/>
      <w:tblStyleColBandSize w:val="1"/>
    </w:tblPr>
    <w:tcPr>
      <w:tcBorders>
        <w:top w:val="single" w:sz="8" w:space="0" w:color="7FADDC" w:themeColor="accent3"/>
        <w:left w:val="single" w:sz="8" w:space="0" w:color="7FADDC" w:themeColor="accent3"/>
        <w:bottom w:val="single" w:sz="8" w:space="0" w:color="7FADDC" w:themeColor="accent3"/>
        <w:right w:val="single" w:sz="8" w:space="0" w:color="7FADDC" w:themeColor="accent3"/>
      </w:tcBorders>
    </w:tcPr>
    <w:tblStylePr w:type="firstRow">
      <w:pPr>
        <w:spacing w:before="0" w:after="0" w:line="240" w:lineRule="auto"/>
      </w:pPr>
      <w:rPr>
        <w:b/>
        <w:bCs/>
        <w:color w:val="FFFFFF" w:themeColor="background1"/>
      </w:rPr>
      <w:tblPr/>
      <w:tcPr>
        <w:shd w:val="clear" w:color="auto" w:fill="7FADDC"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99"/>
    <w:semiHidden/>
    <w:unhideWhenUsed/>
    <w:rsid w:val="00911DE3"/>
    <w:pPr>
      <w:spacing w:line="240" w:lineRule="auto"/>
    </w:pPr>
    <w:tblPr>
      <w:tblStyleRowBandSize w:val="1"/>
      <w:tblStyleColBandSize w:val="1"/>
    </w:tblPr>
    <w:tcPr>
      <w:tcBorders>
        <w:top w:val="single" w:sz="8" w:space="0" w:color="76777B" w:themeColor="accent4"/>
        <w:left w:val="single" w:sz="8" w:space="0" w:color="76777B" w:themeColor="accent4"/>
        <w:bottom w:val="single" w:sz="8" w:space="0" w:color="76777B" w:themeColor="accent4"/>
        <w:right w:val="single" w:sz="8" w:space="0" w:color="76777B" w:themeColor="accent4"/>
      </w:tcBorders>
    </w:tcPr>
    <w:tblStylePr w:type="firstRow">
      <w:pPr>
        <w:spacing w:before="0" w:after="0" w:line="240" w:lineRule="auto"/>
      </w:pPr>
      <w:rPr>
        <w:b/>
        <w:bCs/>
        <w:color w:val="FFFFFF" w:themeColor="background1"/>
      </w:rPr>
      <w:tblPr/>
      <w:tcPr>
        <w:shd w:val="clear" w:color="auto" w:fill="76777B"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99"/>
    <w:semiHidden/>
    <w:unhideWhenUsed/>
    <w:rsid w:val="00911DE3"/>
    <w:pPr>
      <w:spacing w:line="240" w:lineRule="auto"/>
    </w:pPr>
    <w:tblPr>
      <w:tblStyleRowBandSize w:val="1"/>
      <w:tblStyleColBandSize w:val="1"/>
    </w:tblPr>
    <w:tcPr>
      <w:tcBorders>
        <w:top w:val="single" w:sz="8" w:space="0" w:color="111821" w:themeColor="accent5"/>
        <w:left w:val="single" w:sz="8" w:space="0" w:color="111821" w:themeColor="accent5"/>
        <w:bottom w:val="single" w:sz="8" w:space="0" w:color="111821" w:themeColor="accent5"/>
        <w:right w:val="single" w:sz="8" w:space="0" w:color="111821" w:themeColor="accent5"/>
      </w:tcBorders>
    </w:tcPr>
    <w:tblStylePr w:type="firstRow">
      <w:pPr>
        <w:spacing w:before="0" w:after="0" w:line="240" w:lineRule="auto"/>
      </w:pPr>
      <w:rPr>
        <w:b/>
        <w:bCs/>
        <w:color w:val="FFFFFF" w:themeColor="background1"/>
      </w:rPr>
      <w:tblPr/>
      <w:tcPr>
        <w:shd w:val="clear" w:color="auto" w:fill="111821" w:themeFill="accent5"/>
      </w:tcPr>
    </w:tblStylePr>
    <w:tblStylePr w:type="lastRow">
      <w:pPr>
        <w:spacing w:before="0" w:after="0" w:line="240" w:lineRule="auto"/>
      </w:pPr>
      <w:rPr>
        <w:b/>
        <w:bCs/>
      </w:rPr>
      <w:tblPr/>
      <w:tcPr>
        <w:tcBorders>
          <w:top w:val="double" w:sz="6" w:space="0" w:color="111821" w:themeColor="accent5"/>
          <w:left w:val="single" w:sz="8" w:space="0" w:color="111821" w:themeColor="accent5"/>
          <w:bottom w:val="single" w:sz="8" w:space="0" w:color="111821" w:themeColor="accent5"/>
          <w:right w:val="single" w:sz="8" w:space="0" w:color="111821" w:themeColor="accent5"/>
        </w:tcBorders>
      </w:tcPr>
    </w:tblStylePr>
    <w:tblStylePr w:type="firstCol">
      <w:rPr>
        <w:b/>
        <w:bCs/>
      </w:rPr>
    </w:tblStylePr>
    <w:tblStylePr w:type="lastCol">
      <w:rPr>
        <w:b/>
        <w:bCs/>
      </w:rPr>
    </w:tblStylePr>
    <w:tblStylePr w:type="band1Vert">
      <w:tblPr/>
      <w:tcPr>
        <w:tcBorders>
          <w:top w:val="single" w:sz="8" w:space="0" w:color="111821" w:themeColor="accent5"/>
          <w:left w:val="single" w:sz="8" w:space="0" w:color="111821" w:themeColor="accent5"/>
          <w:bottom w:val="single" w:sz="8" w:space="0" w:color="111821" w:themeColor="accent5"/>
          <w:right w:val="single" w:sz="8" w:space="0" w:color="111821" w:themeColor="accent5"/>
        </w:tcBorders>
      </w:tcPr>
    </w:tblStylePr>
  </w:style>
  <w:style w:type="table" w:styleId="LightList-Accent6">
    <w:name w:val="Light List Accent 6"/>
    <w:basedOn w:val="TableNormal"/>
    <w:uiPriority w:val="99"/>
    <w:semiHidden/>
    <w:unhideWhenUsed/>
    <w:rsid w:val="00911DE3"/>
    <w:pPr>
      <w:spacing w:line="240" w:lineRule="auto"/>
    </w:pPr>
    <w:tblPr>
      <w:tblStyleRowBandSize w:val="1"/>
      <w:tblStyleColBandSize w:val="1"/>
    </w:tblPr>
    <w:tcPr>
      <w:tcBorders>
        <w:top w:val="single" w:sz="8" w:space="0" w:color="BFD6ED" w:themeColor="accent6"/>
        <w:left w:val="single" w:sz="8" w:space="0" w:color="BFD6ED" w:themeColor="accent6"/>
        <w:bottom w:val="single" w:sz="8" w:space="0" w:color="BFD6ED" w:themeColor="accent6"/>
        <w:right w:val="single" w:sz="8" w:space="0" w:color="BFD6ED" w:themeColor="accent6"/>
      </w:tcBorders>
    </w:tcPr>
    <w:tblStylePr w:type="firstRow">
      <w:pPr>
        <w:spacing w:before="0" w:after="0" w:line="240" w:lineRule="auto"/>
      </w:pPr>
      <w:rPr>
        <w:b/>
        <w:bCs/>
        <w:color w:val="FFFFFF" w:themeColor="background1"/>
      </w:rPr>
      <w:tblPr/>
      <w:tcPr>
        <w:shd w:val="clear" w:color="auto" w:fill="BFD6ED" w:themeFill="accent6"/>
      </w:tcPr>
    </w:tblStylePr>
    <w:tblStylePr w:type="lastRow">
      <w:pPr>
        <w:spacing w:before="0" w:after="0" w:line="240" w:lineRule="auto"/>
      </w:pPr>
      <w:rPr>
        <w:b/>
        <w:bCs/>
      </w:rPr>
      <w:tblPr/>
      <w:tcPr>
        <w:tcBorders>
          <w:top w:val="double" w:sz="6" w:space="0" w:color="BFD6ED" w:themeColor="accent6"/>
          <w:left w:val="single" w:sz="8" w:space="0" w:color="BFD6ED" w:themeColor="accent6"/>
          <w:bottom w:val="single" w:sz="8" w:space="0" w:color="BFD6ED" w:themeColor="accent6"/>
          <w:right w:val="single" w:sz="8" w:space="0" w:color="BFD6ED" w:themeColor="accent6"/>
        </w:tcBorders>
      </w:tcPr>
    </w:tblStylePr>
    <w:tblStylePr w:type="firstCol">
      <w:rPr>
        <w:b/>
        <w:bCs/>
      </w:rPr>
    </w:tblStylePr>
    <w:tblStylePr w:type="lastCol">
      <w:rPr>
        <w:b/>
        <w:bCs/>
      </w:rPr>
    </w:tblStylePr>
    <w:tblStylePr w:type="band1Vert">
      <w:tblPr/>
      <w:tcPr>
        <w:tcBorders>
          <w:top w:val="single" w:sz="8" w:space="0" w:color="BFD6ED" w:themeColor="accent6"/>
          <w:left w:val="single" w:sz="8" w:space="0" w:color="BFD6ED" w:themeColor="accent6"/>
          <w:bottom w:val="single" w:sz="8" w:space="0" w:color="BFD6ED" w:themeColor="accent6"/>
          <w:right w:val="single" w:sz="8" w:space="0" w:color="BFD6ED" w:themeColor="accent6"/>
        </w:tcBorders>
      </w:tcPr>
    </w:tblStylePr>
  </w:style>
  <w:style w:type="table" w:styleId="LightShading">
    <w:name w:val="Light Shading"/>
    <w:basedOn w:val="Table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911DE3"/>
    <w:pPr>
      <w:spacing w:line="240" w:lineRule="auto"/>
    </w:pPr>
    <w:rPr>
      <w:color w:val="00448A" w:themeColor="accent1" w:themeShade="BF"/>
    </w:rPr>
    <w:tblPr>
      <w:tblStyleRowBandSize w:val="1"/>
      <w:tblStyleColBandSize w:val="1"/>
      <w:tblBorders>
        <w:top w:val="single" w:sz="8" w:space="0" w:color="005CB9" w:themeColor="accent1"/>
        <w:bottom w:val="single" w:sz="8" w:space="0" w:color="005CB9" w:themeColor="accent1"/>
      </w:tblBorders>
    </w:tblPr>
    <w:tblStylePr w:type="firstRow">
      <w:pPr>
        <w:spacing w:before="0" w:after="0" w:line="240" w:lineRule="auto"/>
      </w:pPr>
      <w:rPr>
        <w:b/>
        <w:bCs/>
      </w:rPr>
      <w:tblPr/>
      <w:tcPr>
        <w:tcBorders>
          <w:top w:val="single" w:sz="8" w:space="0" w:color="005CB9" w:themeColor="accent1"/>
          <w:left w:val="nil"/>
          <w:bottom w:val="single" w:sz="8" w:space="0" w:color="005CB9" w:themeColor="accent1"/>
          <w:right w:val="nil"/>
          <w:insideH w:val="nil"/>
          <w:insideV w:val="nil"/>
        </w:tcBorders>
      </w:tcPr>
    </w:tblStylePr>
    <w:tblStylePr w:type="lastRow">
      <w:pPr>
        <w:spacing w:before="0" w:after="0" w:line="240" w:lineRule="auto"/>
      </w:pPr>
      <w:rPr>
        <w:b/>
        <w:bCs/>
      </w:rPr>
      <w:tblPr/>
      <w:tcPr>
        <w:tcBorders>
          <w:top w:val="single" w:sz="8" w:space="0" w:color="005CB9" w:themeColor="accent1"/>
          <w:left w:val="nil"/>
          <w:bottom w:val="single" w:sz="8" w:space="0" w:color="005C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6FF" w:themeFill="accent1" w:themeFillTint="3F"/>
      </w:tcPr>
    </w:tblStylePr>
    <w:tblStylePr w:type="band1Horz">
      <w:tblPr/>
      <w:tcPr>
        <w:tcBorders>
          <w:left w:val="nil"/>
          <w:right w:val="nil"/>
          <w:insideH w:val="nil"/>
          <w:insideV w:val="nil"/>
        </w:tcBorders>
        <w:shd w:val="clear" w:color="auto" w:fill="AED6FF" w:themeFill="accent1" w:themeFillTint="3F"/>
      </w:tcPr>
    </w:tblStylePr>
  </w:style>
  <w:style w:type="table" w:styleId="LightShading-Accent2">
    <w:name w:val="Light Shading Accent 2"/>
    <w:basedOn w:val="TableNormal"/>
    <w:uiPriority w:val="99"/>
    <w:semiHidden/>
    <w:unhideWhenUsed/>
    <w:rsid w:val="00911DE3"/>
    <w:pPr>
      <w:spacing w:line="240" w:lineRule="auto"/>
    </w:pPr>
    <w:rPr>
      <w:color w:val="8C8C8C" w:themeColor="accent2" w:themeShade="BF"/>
    </w:rPr>
    <w:tblPr>
      <w:tblStyleRowBandSize w:val="1"/>
      <w:tblStyleColBandSize w:val="1"/>
      <w:tblBorders>
        <w:top w:val="single" w:sz="8" w:space="0" w:color="BBBBBB" w:themeColor="accent2"/>
        <w:bottom w:val="single" w:sz="8" w:space="0" w:color="BBBBBB" w:themeColor="accent2"/>
      </w:tblBorders>
    </w:tblPr>
    <w:tblStylePr w:type="firstRow">
      <w:pPr>
        <w:spacing w:before="0" w:after="0" w:line="240" w:lineRule="auto"/>
      </w:pPr>
      <w:rPr>
        <w:b/>
        <w:bCs/>
      </w:rPr>
      <w:tblPr/>
      <w:tcPr>
        <w:tcBorders>
          <w:top w:val="single" w:sz="8" w:space="0" w:color="BBBBBB" w:themeColor="accent2"/>
          <w:left w:val="nil"/>
          <w:bottom w:val="single" w:sz="8" w:space="0" w:color="BBBBBB" w:themeColor="accent2"/>
          <w:right w:val="nil"/>
          <w:insideH w:val="nil"/>
          <w:insideV w:val="nil"/>
        </w:tcBorders>
      </w:tcPr>
    </w:tblStylePr>
    <w:tblStylePr w:type="lastRow">
      <w:pPr>
        <w:spacing w:before="0" w:after="0" w:line="240" w:lineRule="auto"/>
      </w:pPr>
      <w:rPr>
        <w:b/>
        <w:bCs/>
      </w:rPr>
      <w:tblPr/>
      <w:tcPr>
        <w:tcBorders>
          <w:top w:val="single" w:sz="8" w:space="0" w:color="BBBBBB" w:themeColor="accent2"/>
          <w:left w:val="nil"/>
          <w:bottom w:val="single" w:sz="8" w:space="0" w:color="BBBBB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left w:val="nil"/>
          <w:right w:val="nil"/>
          <w:insideH w:val="nil"/>
          <w:insideV w:val="nil"/>
        </w:tcBorders>
        <w:shd w:val="clear" w:color="auto" w:fill="EEEEEE" w:themeFill="accent2" w:themeFillTint="3F"/>
      </w:tcPr>
    </w:tblStylePr>
  </w:style>
  <w:style w:type="table" w:styleId="LightShading-Accent3">
    <w:name w:val="Light Shading Accent 3"/>
    <w:basedOn w:val="TableNormal"/>
    <w:uiPriority w:val="99"/>
    <w:semiHidden/>
    <w:unhideWhenUsed/>
    <w:rsid w:val="00911DE3"/>
    <w:pPr>
      <w:spacing w:line="240" w:lineRule="auto"/>
    </w:pPr>
    <w:rPr>
      <w:color w:val="3A80C9" w:themeColor="accent3" w:themeShade="BF"/>
    </w:rPr>
    <w:tblPr>
      <w:tblStyleRowBandSize w:val="1"/>
      <w:tblStyleColBandSize w:val="1"/>
      <w:tblBorders>
        <w:top w:val="single" w:sz="8" w:space="0" w:color="7FADDC" w:themeColor="accent3"/>
        <w:bottom w:val="single" w:sz="8" w:space="0" w:color="7FADDC" w:themeColor="accent3"/>
      </w:tblBorders>
    </w:tblPr>
    <w:tblStylePr w:type="firstRow">
      <w:pPr>
        <w:spacing w:before="0" w:after="0" w:line="240" w:lineRule="auto"/>
      </w:pPr>
      <w:rPr>
        <w:b/>
        <w:bCs/>
      </w:rPr>
      <w:tblPr/>
      <w:tcPr>
        <w:tcBorders>
          <w:top w:val="single" w:sz="8" w:space="0" w:color="7FADDC" w:themeColor="accent3"/>
          <w:left w:val="nil"/>
          <w:bottom w:val="single" w:sz="8" w:space="0" w:color="7FADDC" w:themeColor="accent3"/>
          <w:right w:val="nil"/>
          <w:insideH w:val="nil"/>
          <w:insideV w:val="nil"/>
        </w:tcBorders>
      </w:tcPr>
    </w:tblStylePr>
    <w:tblStylePr w:type="lastRow">
      <w:pPr>
        <w:spacing w:before="0" w:after="0" w:line="240" w:lineRule="auto"/>
      </w:pPr>
      <w:rPr>
        <w:b/>
        <w:bCs/>
      </w:rPr>
      <w:tblPr/>
      <w:tcPr>
        <w:tcBorders>
          <w:top w:val="single" w:sz="8" w:space="0" w:color="7FADDC" w:themeColor="accent3"/>
          <w:left w:val="nil"/>
          <w:bottom w:val="single" w:sz="8" w:space="0" w:color="7FADD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AF6" w:themeFill="accent3" w:themeFillTint="3F"/>
      </w:tcPr>
    </w:tblStylePr>
    <w:tblStylePr w:type="band1Horz">
      <w:tblPr/>
      <w:tcPr>
        <w:tcBorders>
          <w:left w:val="nil"/>
          <w:right w:val="nil"/>
          <w:insideH w:val="nil"/>
          <w:insideV w:val="nil"/>
        </w:tcBorders>
        <w:shd w:val="clear" w:color="auto" w:fill="DFEAF6" w:themeFill="accent3" w:themeFillTint="3F"/>
      </w:tcPr>
    </w:tblStylePr>
  </w:style>
  <w:style w:type="table" w:styleId="LightShading-Accent4">
    <w:name w:val="Light Shading Accent 4"/>
    <w:basedOn w:val="TableNormal"/>
    <w:uiPriority w:val="99"/>
    <w:semiHidden/>
    <w:unhideWhenUsed/>
    <w:rsid w:val="00911DE3"/>
    <w:pPr>
      <w:spacing w:line="240" w:lineRule="auto"/>
    </w:pPr>
    <w:rPr>
      <w:color w:val="58595B" w:themeColor="accent4" w:themeShade="BF"/>
    </w:rPr>
    <w:tblPr>
      <w:tblStyleRowBandSize w:val="1"/>
      <w:tblStyleColBandSize w:val="1"/>
      <w:tblBorders>
        <w:top w:val="single" w:sz="8" w:space="0" w:color="76777B" w:themeColor="accent4"/>
        <w:bottom w:val="single" w:sz="8" w:space="0" w:color="76777B" w:themeColor="accent4"/>
      </w:tblBorders>
    </w:tblPr>
    <w:tblStylePr w:type="firstRow">
      <w:pPr>
        <w:spacing w:before="0" w:after="0" w:line="240" w:lineRule="auto"/>
      </w:pPr>
      <w:rPr>
        <w:b/>
        <w:bCs/>
      </w:rPr>
      <w:tblPr/>
      <w:tcPr>
        <w:tcBorders>
          <w:top w:val="single" w:sz="8" w:space="0" w:color="76777B" w:themeColor="accent4"/>
          <w:left w:val="nil"/>
          <w:bottom w:val="single" w:sz="8" w:space="0" w:color="76777B" w:themeColor="accent4"/>
          <w:right w:val="nil"/>
          <w:insideH w:val="nil"/>
          <w:insideV w:val="nil"/>
        </w:tcBorders>
      </w:tcPr>
    </w:tblStylePr>
    <w:tblStylePr w:type="lastRow">
      <w:pPr>
        <w:spacing w:before="0" w:after="0" w:line="240" w:lineRule="auto"/>
      </w:pPr>
      <w:rPr>
        <w:b/>
        <w:bCs/>
      </w:rPr>
      <w:tblPr/>
      <w:tcPr>
        <w:tcBorders>
          <w:top w:val="single" w:sz="8" w:space="0" w:color="76777B" w:themeColor="accent4"/>
          <w:left w:val="nil"/>
          <w:bottom w:val="single" w:sz="8" w:space="0" w:color="76777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DDE" w:themeFill="accent4" w:themeFillTint="3F"/>
      </w:tcPr>
    </w:tblStylePr>
    <w:tblStylePr w:type="band1Horz">
      <w:tblPr/>
      <w:tcPr>
        <w:tcBorders>
          <w:left w:val="nil"/>
          <w:right w:val="nil"/>
          <w:insideH w:val="nil"/>
          <w:insideV w:val="nil"/>
        </w:tcBorders>
        <w:shd w:val="clear" w:color="auto" w:fill="DCDDDE" w:themeFill="accent4" w:themeFillTint="3F"/>
      </w:tcPr>
    </w:tblStylePr>
  </w:style>
  <w:style w:type="table" w:styleId="LightShading-Accent5">
    <w:name w:val="Light Shading Accent 5"/>
    <w:basedOn w:val="TableNormal"/>
    <w:uiPriority w:val="99"/>
    <w:semiHidden/>
    <w:unhideWhenUsed/>
    <w:rsid w:val="00911DE3"/>
    <w:pPr>
      <w:spacing w:line="240" w:lineRule="auto"/>
    </w:pPr>
    <w:rPr>
      <w:color w:val="0C1118" w:themeColor="accent5" w:themeShade="BF"/>
    </w:rPr>
    <w:tblPr>
      <w:tblStyleRowBandSize w:val="1"/>
      <w:tblStyleColBandSize w:val="1"/>
      <w:tblBorders>
        <w:top w:val="single" w:sz="8" w:space="0" w:color="111821" w:themeColor="accent5"/>
        <w:bottom w:val="single" w:sz="8" w:space="0" w:color="111821" w:themeColor="accent5"/>
      </w:tblBorders>
    </w:tblPr>
    <w:tblStylePr w:type="firstRow">
      <w:pPr>
        <w:spacing w:before="0" w:after="0" w:line="240" w:lineRule="auto"/>
      </w:pPr>
      <w:rPr>
        <w:b/>
        <w:bCs/>
      </w:rPr>
      <w:tblPr/>
      <w:tcPr>
        <w:tcBorders>
          <w:top w:val="single" w:sz="8" w:space="0" w:color="111821" w:themeColor="accent5"/>
          <w:left w:val="nil"/>
          <w:bottom w:val="single" w:sz="8" w:space="0" w:color="111821" w:themeColor="accent5"/>
          <w:right w:val="nil"/>
          <w:insideH w:val="nil"/>
          <w:insideV w:val="nil"/>
        </w:tcBorders>
      </w:tcPr>
    </w:tblStylePr>
    <w:tblStylePr w:type="lastRow">
      <w:pPr>
        <w:spacing w:before="0" w:after="0" w:line="240" w:lineRule="auto"/>
      </w:pPr>
      <w:rPr>
        <w:b/>
        <w:bCs/>
      </w:rPr>
      <w:tblPr/>
      <w:tcPr>
        <w:tcBorders>
          <w:top w:val="single" w:sz="8" w:space="0" w:color="111821" w:themeColor="accent5"/>
          <w:left w:val="nil"/>
          <w:bottom w:val="single" w:sz="8" w:space="0" w:color="11182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3D8" w:themeFill="accent5" w:themeFillTint="3F"/>
      </w:tcPr>
    </w:tblStylePr>
    <w:tblStylePr w:type="band1Horz">
      <w:tblPr/>
      <w:tcPr>
        <w:tcBorders>
          <w:left w:val="nil"/>
          <w:right w:val="nil"/>
          <w:insideH w:val="nil"/>
          <w:insideV w:val="nil"/>
        </w:tcBorders>
        <w:shd w:val="clear" w:color="auto" w:fill="B4C3D8" w:themeFill="accent5" w:themeFillTint="3F"/>
      </w:tcPr>
    </w:tblStylePr>
  </w:style>
  <w:style w:type="table" w:styleId="LightShading-Accent6">
    <w:name w:val="Light Shading Accent 6"/>
    <w:basedOn w:val="TableNormal"/>
    <w:uiPriority w:val="99"/>
    <w:semiHidden/>
    <w:unhideWhenUsed/>
    <w:rsid w:val="00911DE3"/>
    <w:pPr>
      <w:spacing w:line="240" w:lineRule="auto"/>
    </w:pPr>
    <w:rPr>
      <w:color w:val="6A9FD5" w:themeColor="accent6" w:themeShade="BF"/>
    </w:rPr>
    <w:tblPr>
      <w:tblStyleRowBandSize w:val="1"/>
      <w:tblStyleColBandSize w:val="1"/>
      <w:tblBorders>
        <w:top w:val="single" w:sz="8" w:space="0" w:color="BFD6ED" w:themeColor="accent6"/>
        <w:bottom w:val="single" w:sz="8" w:space="0" w:color="BFD6ED" w:themeColor="accent6"/>
      </w:tblBorders>
    </w:tblPr>
    <w:tblStylePr w:type="firstRow">
      <w:pPr>
        <w:spacing w:before="0" w:after="0" w:line="240" w:lineRule="auto"/>
      </w:pPr>
      <w:rPr>
        <w:b/>
        <w:bCs/>
      </w:rPr>
      <w:tblPr/>
      <w:tcPr>
        <w:tcBorders>
          <w:top w:val="single" w:sz="8" w:space="0" w:color="BFD6ED" w:themeColor="accent6"/>
          <w:left w:val="nil"/>
          <w:bottom w:val="single" w:sz="8" w:space="0" w:color="BFD6ED" w:themeColor="accent6"/>
          <w:right w:val="nil"/>
          <w:insideH w:val="nil"/>
          <w:insideV w:val="nil"/>
        </w:tcBorders>
      </w:tcPr>
    </w:tblStylePr>
    <w:tblStylePr w:type="lastRow">
      <w:pPr>
        <w:spacing w:before="0" w:after="0" w:line="240" w:lineRule="auto"/>
      </w:pPr>
      <w:rPr>
        <w:b/>
        <w:bCs/>
      </w:rPr>
      <w:tblPr/>
      <w:tcPr>
        <w:tcBorders>
          <w:top w:val="single" w:sz="8" w:space="0" w:color="BFD6ED" w:themeColor="accent6"/>
          <w:left w:val="nil"/>
          <w:bottom w:val="single" w:sz="8" w:space="0" w:color="BFD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4FA" w:themeFill="accent6" w:themeFillTint="3F"/>
      </w:tcPr>
    </w:tblStylePr>
    <w:tblStylePr w:type="band1Horz">
      <w:tblPr/>
      <w:tcPr>
        <w:tcBorders>
          <w:left w:val="nil"/>
          <w:right w:val="nil"/>
          <w:insideH w:val="nil"/>
          <w:insideV w:val="nil"/>
        </w:tcBorders>
        <w:shd w:val="clear" w:color="auto" w:fill="EFF4FA" w:themeFill="accent6" w:themeFillTint="3F"/>
      </w:tcPr>
    </w:tblStylePr>
  </w:style>
  <w:style w:type="character" w:styleId="LineNumber">
    <w:name w:val="line number"/>
    <w:basedOn w:val="DefaultParagraphFont"/>
    <w:uiPriority w:val="99"/>
    <w:semiHidden/>
    <w:rsid w:val="00911DE3"/>
  </w:style>
  <w:style w:type="paragraph" w:styleId="List">
    <w:name w:val="List"/>
    <w:basedOn w:val="Normal"/>
    <w:uiPriority w:val="99"/>
    <w:semiHidden/>
    <w:rsid w:val="00911DE3"/>
    <w:pPr>
      <w:ind w:left="283" w:hanging="283"/>
      <w:contextualSpacing/>
    </w:pPr>
  </w:style>
  <w:style w:type="paragraph" w:styleId="List2">
    <w:name w:val="List 2"/>
    <w:basedOn w:val="Normal"/>
    <w:uiPriority w:val="99"/>
    <w:semiHidden/>
    <w:rsid w:val="00911DE3"/>
    <w:pPr>
      <w:ind w:left="566" w:hanging="283"/>
      <w:contextualSpacing/>
    </w:pPr>
  </w:style>
  <w:style w:type="paragraph" w:styleId="List3">
    <w:name w:val="List 3"/>
    <w:basedOn w:val="Normal"/>
    <w:uiPriority w:val="99"/>
    <w:semiHidden/>
    <w:rsid w:val="00911DE3"/>
    <w:pPr>
      <w:ind w:left="849" w:hanging="283"/>
      <w:contextualSpacing/>
    </w:pPr>
  </w:style>
  <w:style w:type="paragraph" w:styleId="List4">
    <w:name w:val="List 4"/>
    <w:basedOn w:val="Normal"/>
    <w:uiPriority w:val="99"/>
    <w:semiHidden/>
    <w:rsid w:val="00911DE3"/>
    <w:pPr>
      <w:ind w:left="1132" w:hanging="283"/>
      <w:contextualSpacing/>
    </w:pPr>
  </w:style>
  <w:style w:type="paragraph" w:styleId="List5">
    <w:name w:val="List 5"/>
    <w:basedOn w:val="Normal"/>
    <w:uiPriority w:val="99"/>
    <w:semiHidden/>
    <w:rsid w:val="00911DE3"/>
    <w:pPr>
      <w:ind w:left="1415" w:hanging="283"/>
      <w:contextualSpacing/>
    </w:pPr>
  </w:style>
  <w:style w:type="paragraph" w:styleId="ListBullet">
    <w:name w:val="List Bullet"/>
    <w:basedOn w:val="Normal"/>
    <w:uiPriority w:val="2"/>
    <w:rsid w:val="00EB3839"/>
    <w:pPr>
      <w:numPr>
        <w:numId w:val="23"/>
      </w:numPr>
    </w:pPr>
  </w:style>
  <w:style w:type="paragraph" w:styleId="ListBullet2">
    <w:name w:val="List Bullet 2"/>
    <w:basedOn w:val="Normal"/>
    <w:uiPriority w:val="2"/>
    <w:semiHidden/>
    <w:rsid w:val="00EB3839"/>
    <w:pPr>
      <w:contextualSpacing/>
    </w:pPr>
  </w:style>
  <w:style w:type="paragraph" w:styleId="ListBullet3">
    <w:name w:val="List Bullet 3"/>
    <w:basedOn w:val="Normal"/>
    <w:uiPriority w:val="2"/>
    <w:semiHidden/>
    <w:rsid w:val="00EB3839"/>
    <w:pPr>
      <w:contextualSpacing/>
    </w:pPr>
  </w:style>
  <w:style w:type="paragraph" w:styleId="ListBullet4">
    <w:name w:val="List Bullet 4"/>
    <w:basedOn w:val="Normal"/>
    <w:uiPriority w:val="2"/>
    <w:semiHidden/>
    <w:rsid w:val="00911DE3"/>
    <w:pPr>
      <w:numPr>
        <w:numId w:val="5"/>
      </w:numPr>
      <w:contextualSpacing/>
    </w:pPr>
  </w:style>
  <w:style w:type="paragraph" w:styleId="ListBullet5">
    <w:name w:val="List Bullet 5"/>
    <w:basedOn w:val="Normal"/>
    <w:uiPriority w:val="2"/>
    <w:semiHidden/>
    <w:rsid w:val="00911DE3"/>
    <w:pPr>
      <w:numPr>
        <w:numId w:val="6"/>
      </w:numPr>
      <w:contextualSpacing/>
    </w:pPr>
  </w:style>
  <w:style w:type="paragraph" w:styleId="ListContinue">
    <w:name w:val="List Continue"/>
    <w:basedOn w:val="Normal"/>
    <w:uiPriority w:val="99"/>
    <w:semiHidden/>
    <w:rsid w:val="00911DE3"/>
    <w:pPr>
      <w:spacing w:after="120"/>
      <w:ind w:left="283"/>
      <w:contextualSpacing/>
    </w:pPr>
  </w:style>
  <w:style w:type="paragraph" w:styleId="ListContinue2">
    <w:name w:val="List Continue 2"/>
    <w:basedOn w:val="Normal"/>
    <w:uiPriority w:val="99"/>
    <w:semiHidden/>
    <w:rsid w:val="00911DE3"/>
    <w:pPr>
      <w:spacing w:after="120"/>
      <w:ind w:left="566"/>
      <w:contextualSpacing/>
    </w:pPr>
  </w:style>
  <w:style w:type="paragraph" w:styleId="ListContinue3">
    <w:name w:val="List Continue 3"/>
    <w:basedOn w:val="Normal"/>
    <w:uiPriority w:val="99"/>
    <w:semiHidden/>
    <w:rsid w:val="00911DE3"/>
    <w:pPr>
      <w:spacing w:after="120"/>
      <w:ind w:left="849"/>
      <w:contextualSpacing/>
    </w:pPr>
  </w:style>
  <w:style w:type="paragraph" w:styleId="ListContinue4">
    <w:name w:val="List Continue 4"/>
    <w:basedOn w:val="Normal"/>
    <w:uiPriority w:val="99"/>
    <w:semiHidden/>
    <w:rsid w:val="00911DE3"/>
    <w:pPr>
      <w:spacing w:after="120"/>
      <w:ind w:left="1132"/>
      <w:contextualSpacing/>
    </w:pPr>
  </w:style>
  <w:style w:type="paragraph" w:styleId="ListContinue5">
    <w:name w:val="List Continue 5"/>
    <w:basedOn w:val="Normal"/>
    <w:uiPriority w:val="99"/>
    <w:semiHidden/>
    <w:rsid w:val="00911DE3"/>
    <w:pPr>
      <w:spacing w:after="120"/>
      <w:ind w:left="1415"/>
      <w:contextualSpacing/>
    </w:pPr>
  </w:style>
  <w:style w:type="paragraph" w:styleId="ListNumber">
    <w:name w:val="List Number"/>
    <w:basedOn w:val="Normal"/>
    <w:uiPriority w:val="2"/>
    <w:rsid w:val="00EB3839"/>
    <w:pPr>
      <w:numPr>
        <w:numId w:val="22"/>
      </w:numPr>
    </w:pPr>
  </w:style>
  <w:style w:type="paragraph" w:styleId="ListNumber2">
    <w:name w:val="List Number 2"/>
    <w:basedOn w:val="Normal"/>
    <w:uiPriority w:val="2"/>
    <w:semiHidden/>
    <w:rsid w:val="00EB3839"/>
    <w:pPr>
      <w:contextualSpacing/>
    </w:pPr>
  </w:style>
  <w:style w:type="paragraph" w:styleId="ListNumber3">
    <w:name w:val="List Number 3"/>
    <w:basedOn w:val="Normal"/>
    <w:uiPriority w:val="2"/>
    <w:semiHidden/>
    <w:rsid w:val="00EB3839"/>
    <w:pPr>
      <w:contextualSpacing/>
    </w:pPr>
  </w:style>
  <w:style w:type="paragraph" w:styleId="ListNumber4">
    <w:name w:val="List Number 4"/>
    <w:basedOn w:val="Normal"/>
    <w:uiPriority w:val="2"/>
    <w:semiHidden/>
    <w:rsid w:val="00911DE3"/>
    <w:pPr>
      <w:numPr>
        <w:numId w:val="7"/>
      </w:numPr>
      <w:contextualSpacing/>
    </w:pPr>
  </w:style>
  <w:style w:type="paragraph" w:styleId="ListNumber5">
    <w:name w:val="List Number 5"/>
    <w:basedOn w:val="Normal"/>
    <w:uiPriority w:val="2"/>
    <w:semiHidden/>
    <w:rsid w:val="00911DE3"/>
    <w:pPr>
      <w:numPr>
        <w:numId w:val="8"/>
      </w:numPr>
      <w:contextualSpacing/>
    </w:pPr>
  </w:style>
  <w:style w:type="paragraph" w:styleId="ListParagraph">
    <w:name w:val="List Paragraph"/>
    <w:basedOn w:val="Normal"/>
    <w:uiPriority w:val="34"/>
    <w:qFormat/>
    <w:rsid w:val="00911DE3"/>
    <w:pPr>
      <w:ind w:left="720"/>
      <w:contextualSpacing/>
    </w:pPr>
  </w:style>
  <w:style w:type="table" w:styleId="ListTable1Light">
    <w:name w:val="List Table 1 Light"/>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3C9CFF" w:themeColor="accent1" w:themeTint="99"/>
        </w:tcBorders>
      </w:tcPr>
    </w:tblStylePr>
    <w:tblStylePr w:type="lastRow">
      <w:rPr>
        <w:b/>
        <w:bCs/>
      </w:rPr>
      <w:tblPr/>
      <w:tcPr>
        <w:tcBorders>
          <w:top w:val="single" w:sz="4" w:space="0" w:color="3C9CFF" w:themeColor="accent1" w:themeTint="99"/>
        </w:tcBorders>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ListTable1Light-Accent2">
    <w:name w:val="List Table 1 Light Accent 2"/>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D6D6D6" w:themeColor="accent2" w:themeTint="99"/>
        </w:tcBorders>
      </w:tcPr>
    </w:tblStylePr>
    <w:tblStylePr w:type="lastRow">
      <w:rPr>
        <w:b/>
        <w:bCs/>
      </w:rPr>
      <w:tblPr/>
      <w:tcPr>
        <w:tcBorders>
          <w:top w:val="single" w:sz="4" w:space="0" w:color="D6D6D6"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1Light-Accent3">
    <w:name w:val="List Table 1 Light Accent 3"/>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B2CDEA" w:themeColor="accent3" w:themeTint="99"/>
        </w:tcBorders>
      </w:tcPr>
    </w:tblStylePr>
    <w:tblStylePr w:type="lastRow">
      <w:rPr>
        <w:b/>
        <w:bCs/>
      </w:rPr>
      <w:tblPr/>
      <w:tcPr>
        <w:tcBorders>
          <w:top w:val="single" w:sz="4" w:space="0" w:color="B2CDEA" w:themeColor="accent3" w:themeTint="99"/>
        </w:tcBorders>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ListTable1Light-Accent4">
    <w:name w:val="List Table 1 Light Accent 4"/>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ACADAF" w:themeColor="accent4" w:themeTint="99"/>
        </w:tcBorders>
      </w:tcPr>
    </w:tblStylePr>
    <w:tblStylePr w:type="lastRow">
      <w:rPr>
        <w:b/>
        <w:bCs/>
      </w:rPr>
      <w:tblPr/>
      <w:tcPr>
        <w:tcBorders>
          <w:top w:val="single" w:sz="4" w:space="0" w:color="ACADAF" w:themeColor="accent4" w:themeTint="99"/>
        </w:tcBorders>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ListTable1Light-Accent5">
    <w:name w:val="List Table 1 Light Accent 5"/>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4F709A" w:themeColor="accent5" w:themeTint="99"/>
        </w:tcBorders>
      </w:tcPr>
    </w:tblStylePr>
    <w:tblStylePr w:type="lastRow">
      <w:rPr>
        <w:b/>
        <w:bCs/>
      </w:rPr>
      <w:tblPr/>
      <w:tcPr>
        <w:tcBorders>
          <w:top w:val="single" w:sz="4" w:space="0" w:color="4F709A" w:themeColor="accent5" w:themeTint="99"/>
        </w:tcBorders>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ListTable1Light-Accent6">
    <w:name w:val="List Table 1 Light Accent 6"/>
    <w:basedOn w:val="TableNormal"/>
    <w:uiPriority w:val="99"/>
    <w:rsid w:val="00911DE3"/>
    <w:pPr>
      <w:spacing w:line="240" w:lineRule="auto"/>
    </w:pPr>
    <w:tblPr>
      <w:tblStyleRowBandSize w:val="1"/>
      <w:tblStyleColBandSize w:val="1"/>
    </w:tblPr>
    <w:tblStylePr w:type="firstRow">
      <w:rPr>
        <w:b/>
        <w:bCs/>
      </w:rPr>
      <w:tblPr/>
      <w:tcPr>
        <w:tcBorders>
          <w:bottom w:val="single" w:sz="4" w:space="0" w:color="D8E6F4" w:themeColor="accent6" w:themeTint="99"/>
        </w:tcBorders>
      </w:tcPr>
    </w:tblStylePr>
    <w:tblStylePr w:type="lastRow">
      <w:rPr>
        <w:b/>
        <w:bCs/>
      </w:rPr>
      <w:tblPr/>
      <w:tcPr>
        <w:tcBorders>
          <w:top w:val="single" w:sz="4" w:space="0" w:color="D8E6F4" w:themeColor="accent6" w:themeTint="99"/>
        </w:tcBorders>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ListTable2">
    <w:name w:val="List Table 2"/>
    <w:basedOn w:val="TableNormal"/>
    <w:uiPriority w:val="99"/>
    <w:rsid w:val="00911DE3"/>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99"/>
    <w:rsid w:val="00911DE3"/>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99"/>
    <w:rsid w:val="00911DE3"/>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99"/>
    <w:rsid w:val="00911DE3"/>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99"/>
    <w:rsid w:val="00911DE3"/>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99"/>
    <w:rsid w:val="00911DE3"/>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99"/>
    <w:rsid w:val="00911DE3"/>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911DE3"/>
    <w:pPr>
      <w:spacing w:line="240" w:lineRule="auto"/>
    </w:pPr>
    <w:tblPr>
      <w:tblStyleRowBandSize w:val="1"/>
      <w:tblStyleColBandSize w:val="1"/>
      <w:tblBorders>
        <w:top w:val="single" w:sz="4" w:space="0" w:color="005CB9" w:themeColor="accent1"/>
        <w:left w:val="single" w:sz="4" w:space="0" w:color="005CB9" w:themeColor="accent1"/>
        <w:bottom w:val="single" w:sz="4" w:space="0" w:color="005CB9" w:themeColor="accent1"/>
        <w:right w:val="single" w:sz="4" w:space="0" w:color="005CB9" w:themeColor="accent1"/>
      </w:tblBorders>
    </w:tblPr>
    <w:tblStylePr w:type="firstRow">
      <w:rPr>
        <w:b/>
        <w:bCs/>
        <w:color w:val="FFFFFF" w:themeColor="background1"/>
      </w:rPr>
      <w:tblPr/>
      <w:tcPr>
        <w:shd w:val="clear" w:color="auto" w:fill="005CB9" w:themeFill="accent1"/>
      </w:tcPr>
    </w:tblStylePr>
    <w:tblStylePr w:type="lastRow">
      <w:rPr>
        <w:b/>
        <w:bCs/>
      </w:rPr>
      <w:tblPr/>
      <w:tcPr>
        <w:tcBorders>
          <w:top w:val="double" w:sz="4" w:space="0" w:color="005CB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B9" w:themeColor="accent1"/>
          <w:right w:val="single" w:sz="4" w:space="0" w:color="005CB9" w:themeColor="accent1"/>
        </w:tcBorders>
      </w:tcPr>
    </w:tblStylePr>
    <w:tblStylePr w:type="band1Horz">
      <w:tblPr/>
      <w:tcPr>
        <w:tcBorders>
          <w:top w:val="single" w:sz="4" w:space="0" w:color="005CB9" w:themeColor="accent1"/>
          <w:bottom w:val="single" w:sz="4" w:space="0" w:color="005CB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B9" w:themeColor="accent1"/>
          <w:left w:val="nil"/>
        </w:tcBorders>
      </w:tcPr>
    </w:tblStylePr>
    <w:tblStylePr w:type="swCell">
      <w:tblPr/>
      <w:tcPr>
        <w:tcBorders>
          <w:top w:val="double" w:sz="4" w:space="0" w:color="005CB9" w:themeColor="accent1"/>
          <w:right w:val="nil"/>
        </w:tcBorders>
      </w:tcPr>
    </w:tblStylePr>
  </w:style>
  <w:style w:type="table" w:styleId="ListTable3-Accent2">
    <w:name w:val="List Table 3 Accent 2"/>
    <w:basedOn w:val="TableNormal"/>
    <w:uiPriority w:val="99"/>
    <w:rsid w:val="00911DE3"/>
    <w:pPr>
      <w:spacing w:line="240" w:lineRule="auto"/>
    </w:pPr>
    <w:tblPr>
      <w:tblStyleRowBandSize w:val="1"/>
      <w:tblStyleColBandSize w:val="1"/>
      <w:tblBorders>
        <w:top w:val="single" w:sz="4" w:space="0" w:color="BBBBBB" w:themeColor="accent2"/>
        <w:left w:val="single" w:sz="4" w:space="0" w:color="BBBBBB" w:themeColor="accent2"/>
        <w:bottom w:val="single" w:sz="4" w:space="0" w:color="BBBBBB" w:themeColor="accent2"/>
        <w:right w:val="single" w:sz="4" w:space="0" w:color="BBBBBB" w:themeColor="accent2"/>
      </w:tblBorders>
    </w:tblPr>
    <w:tblStylePr w:type="firstRow">
      <w:rPr>
        <w:b/>
        <w:bCs/>
        <w:color w:val="FFFFFF" w:themeColor="background1"/>
      </w:rPr>
      <w:tblPr/>
      <w:tcPr>
        <w:shd w:val="clear" w:color="auto" w:fill="BBBBBB" w:themeFill="accent2"/>
      </w:tcPr>
    </w:tblStylePr>
    <w:tblStylePr w:type="lastRow">
      <w:rPr>
        <w:b/>
        <w:bCs/>
      </w:rPr>
      <w:tblPr/>
      <w:tcPr>
        <w:tcBorders>
          <w:top w:val="double" w:sz="4" w:space="0" w:color="BBBBB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BBBBB" w:themeColor="accent2"/>
          <w:right w:val="single" w:sz="4" w:space="0" w:color="BBBBBB" w:themeColor="accent2"/>
        </w:tcBorders>
      </w:tcPr>
    </w:tblStylePr>
    <w:tblStylePr w:type="band1Horz">
      <w:tblPr/>
      <w:tcPr>
        <w:tcBorders>
          <w:top w:val="single" w:sz="4" w:space="0" w:color="BBBBBB" w:themeColor="accent2"/>
          <w:bottom w:val="single" w:sz="4" w:space="0" w:color="BBBBB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BBBBB" w:themeColor="accent2"/>
          <w:left w:val="nil"/>
        </w:tcBorders>
      </w:tcPr>
    </w:tblStylePr>
    <w:tblStylePr w:type="swCell">
      <w:tblPr/>
      <w:tcPr>
        <w:tcBorders>
          <w:top w:val="double" w:sz="4" w:space="0" w:color="BBBBBB" w:themeColor="accent2"/>
          <w:right w:val="nil"/>
        </w:tcBorders>
      </w:tcPr>
    </w:tblStylePr>
  </w:style>
  <w:style w:type="table" w:styleId="ListTable3-Accent3">
    <w:name w:val="List Table 3 Accent 3"/>
    <w:basedOn w:val="TableNormal"/>
    <w:uiPriority w:val="99"/>
    <w:rsid w:val="00911DE3"/>
    <w:pPr>
      <w:spacing w:line="240" w:lineRule="auto"/>
    </w:pPr>
    <w:tblPr>
      <w:tblStyleRowBandSize w:val="1"/>
      <w:tblStyleColBandSize w:val="1"/>
      <w:tblBorders>
        <w:top w:val="single" w:sz="4" w:space="0" w:color="7FADDC" w:themeColor="accent3"/>
        <w:left w:val="single" w:sz="4" w:space="0" w:color="7FADDC" w:themeColor="accent3"/>
        <w:bottom w:val="single" w:sz="4" w:space="0" w:color="7FADDC" w:themeColor="accent3"/>
        <w:right w:val="single" w:sz="4" w:space="0" w:color="7FADDC" w:themeColor="accent3"/>
      </w:tblBorders>
    </w:tblPr>
    <w:tblStylePr w:type="firstRow">
      <w:rPr>
        <w:b/>
        <w:bCs/>
        <w:color w:val="FFFFFF" w:themeColor="background1"/>
      </w:rPr>
      <w:tblPr/>
      <w:tcPr>
        <w:shd w:val="clear" w:color="auto" w:fill="7FADDC" w:themeFill="accent3"/>
      </w:tcPr>
    </w:tblStylePr>
    <w:tblStylePr w:type="lastRow">
      <w:rPr>
        <w:b/>
        <w:bCs/>
      </w:rPr>
      <w:tblPr/>
      <w:tcPr>
        <w:tcBorders>
          <w:top w:val="double" w:sz="4" w:space="0" w:color="7FADD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ADDC" w:themeColor="accent3"/>
          <w:right w:val="single" w:sz="4" w:space="0" w:color="7FADDC" w:themeColor="accent3"/>
        </w:tcBorders>
      </w:tcPr>
    </w:tblStylePr>
    <w:tblStylePr w:type="band1Horz">
      <w:tblPr/>
      <w:tcPr>
        <w:tcBorders>
          <w:top w:val="single" w:sz="4" w:space="0" w:color="7FADDC" w:themeColor="accent3"/>
          <w:bottom w:val="single" w:sz="4" w:space="0" w:color="7FADD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ADDC" w:themeColor="accent3"/>
          <w:left w:val="nil"/>
        </w:tcBorders>
      </w:tcPr>
    </w:tblStylePr>
    <w:tblStylePr w:type="swCell">
      <w:tblPr/>
      <w:tcPr>
        <w:tcBorders>
          <w:top w:val="double" w:sz="4" w:space="0" w:color="7FADDC" w:themeColor="accent3"/>
          <w:right w:val="nil"/>
        </w:tcBorders>
      </w:tcPr>
    </w:tblStylePr>
  </w:style>
  <w:style w:type="table" w:styleId="ListTable3-Accent4">
    <w:name w:val="List Table 3 Accent 4"/>
    <w:basedOn w:val="TableNormal"/>
    <w:uiPriority w:val="99"/>
    <w:rsid w:val="00911DE3"/>
    <w:pPr>
      <w:spacing w:line="240" w:lineRule="auto"/>
    </w:pPr>
    <w:tblPr>
      <w:tblStyleRowBandSize w:val="1"/>
      <w:tblStyleColBandSize w:val="1"/>
      <w:tblBorders>
        <w:top w:val="single" w:sz="4" w:space="0" w:color="76777B" w:themeColor="accent4"/>
        <w:left w:val="single" w:sz="4" w:space="0" w:color="76777B" w:themeColor="accent4"/>
        <w:bottom w:val="single" w:sz="4" w:space="0" w:color="76777B" w:themeColor="accent4"/>
        <w:right w:val="single" w:sz="4" w:space="0" w:color="76777B" w:themeColor="accent4"/>
      </w:tblBorders>
    </w:tblPr>
    <w:tblStylePr w:type="firstRow">
      <w:rPr>
        <w:b/>
        <w:bCs/>
        <w:color w:val="FFFFFF" w:themeColor="background1"/>
      </w:rPr>
      <w:tblPr/>
      <w:tcPr>
        <w:shd w:val="clear" w:color="auto" w:fill="76777B" w:themeFill="accent4"/>
      </w:tcPr>
    </w:tblStylePr>
    <w:tblStylePr w:type="lastRow">
      <w:rPr>
        <w:b/>
        <w:bCs/>
      </w:rPr>
      <w:tblPr/>
      <w:tcPr>
        <w:tcBorders>
          <w:top w:val="double" w:sz="4" w:space="0" w:color="76777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6777B" w:themeColor="accent4"/>
          <w:right w:val="single" w:sz="4" w:space="0" w:color="76777B" w:themeColor="accent4"/>
        </w:tcBorders>
      </w:tcPr>
    </w:tblStylePr>
    <w:tblStylePr w:type="band1Horz">
      <w:tblPr/>
      <w:tcPr>
        <w:tcBorders>
          <w:top w:val="single" w:sz="4" w:space="0" w:color="76777B" w:themeColor="accent4"/>
          <w:bottom w:val="single" w:sz="4" w:space="0" w:color="76777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6777B" w:themeColor="accent4"/>
          <w:left w:val="nil"/>
        </w:tcBorders>
      </w:tcPr>
    </w:tblStylePr>
    <w:tblStylePr w:type="swCell">
      <w:tblPr/>
      <w:tcPr>
        <w:tcBorders>
          <w:top w:val="double" w:sz="4" w:space="0" w:color="76777B" w:themeColor="accent4"/>
          <w:right w:val="nil"/>
        </w:tcBorders>
      </w:tcPr>
    </w:tblStylePr>
  </w:style>
  <w:style w:type="table" w:styleId="ListTable3-Accent5">
    <w:name w:val="List Table 3 Accent 5"/>
    <w:basedOn w:val="TableNormal"/>
    <w:uiPriority w:val="99"/>
    <w:rsid w:val="00911DE3"/>
    <w:pPr>
      <w:spacing w:line="240" w:lineRule="auto"/>
    </w:pPr>
    <w:tblPr>
      <w:tblStyleRowBandSize w:val="1"/>
      <w:tblStyleColBandSize w:val="1"/>
      <w:tblBorders>
        <w:top w:val="single" w:sz="4" w:space="0" w:color="111821" w:themeColor="accent5"/>
        <w:left w:val="single" w:sz="4" w:space="0" w:color="111821" w:themeColor="accent5"/>
        <w:bottom w:val="single" w:sz="4" w:space="0" w:color="111821" w:themeColor="accent5"/>
        <w:right w:val="single" w:sz="4" w:space="0" w:color="111821" w:themeColor="accent5"/>
      </w:tblBorders>
    </w:tblPr>
    <w:tblStylePr w:type="firstRow">
      <w:rPr>
        <w:b/>
        <w:bCs/>
        <w:color w:val="FFFFFF" w:themeColor="background1"/>
      </w:rPr>
      <w:tblPr/>
      <w:tcPr>
        <w:shd w:val="clear" w:color="auto" w:fill="111821" w:themeFill="accent5"/>
      </w:tcPr>
    </w:tblStylePr>
    <w:tblStylePr w:type="lastRow">
      <w:rPr>
        <w:b/>
        <w:bCs/>
      </w:rPr>
      <w:tblPr/>
      <w:tcPr>
        <w:tcBorders>
          <w:top w:val="double" w:sz="4" w:space="0" w:color="11182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1821" w:themeColor="accent5"/>
          <w:right w:val="single" w:sz="4" w:space="0" w:color="111821" w:themeColor="accent5"/>
        </w:tcBorders>
      </w:tcPr>
    </w:tblStylePr>
    <w:tblStylePr w:type="band1Horz">
      <w:tblPr/>
      <w:tcPr>
        <w:tcBorders>
          <w:top w:val="single" w:sz="4" w:space="0" w:color="111821" w:themeColor="accent5"/>
          <w:bottom w:val="single" w:sz="4" w:space="0" w:color="11182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1821" w:themeColor="accent5"/>
          <w:left w:val="nil"/>
        </w:tcBorders>
      </w:tcPr>
    </w:tblStylePr>
    <w:tblStylePr w:type="swCell">
      <w:tblPr/>
      <w:tcPr>
        <w:tcBorders>
          <w:top w:val="double" w:sz="4" w:space="0" w:color="111821" w:themeColor="accent5"/>
          <w:right w:val="nil"/>
        </w:tcBorders>
      </w:tcPr>
    </w:tblStylePr>
  </w:style>
  <w:style w:type="table" w:styleId="ListTable3-Accent6">
    <w:name w:val="List Table 3 Accent 6"/>
    <w:basedOn w:val="TableNormal"/>
    <w:uiPriority w:val="99"/>
    <w:rsid w:val="00911DE3"/>
    <w:pPr>
      <w:spacing w:line="240" w:lineRule="auto"/>
    </w:pPr>
    <w:tblPr>
      <w:tblStyleRowBandSize w:val="1"/>
      <w:tblStyleColBandSize w:val="1"/>
      <w:tblBorders>
        <w:top w:val="single" w:sz="4" w:space="0" w:color="BFD6ED" w:themeColor="accent6"/>
        <w:left w:val="single" w:sz="4" w:space="0" w:color="BFD6ED" w:themeColor="accent6"/>
        <w:bottom w:val="single" w:sz="4" w:space="0" w:color="BFD6ED" w:themeColor="accent6"/>
        <w:right w:val="single" w:sz="4" w:space="0" w:color="BFD6ED" w:themeColor="accent6"/>
      </w:tblBorders>
    </w:tblPr>
    <w:tblStylePr w:type="firstRow">
      <w:rPr>
        <w:b/>
        <w:bCs/>
        <w:color w:val="FFFFFF" w:themeColor="background1"/>
      </w:rPr>
      <w:tblPr/>
      <w:tcPr>
        <w:shd w:val="clear" w:color="auto" w:fill="BFD6ED" w:themeFill="accent6"/>
      </w:tcPr>
    </w:tblStylePr>
    <w:tblStylePr w:type="lastRow">
      <w:rPr>
        <w:b/>
        <w:bCs/>
      </w:rPr>
      <w:tblPr/>
      <w:tcPr>
        <w:tcBorders>
          <w:top w:val="double" w:sz="4" w:space="0" w:color="BFD6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D6ED" w:themeColor="accent6"/>
          <w:right w:val="single" w:sz="4" w:space="0" w:color="BFD6ED" w:themeColor="accent6"/>
        </w:tcBorders>
      </w:tcPr>
    </w:tblStylePr>
    <w:tblStylePr w:type="band1Horz">
      <w:tblPr/>
      <w:tcPr>
        <w:tcBorders>
          <w:top w:val="single" w:sz="4" w:space="0" w:color="BFD6ED" w:themeColor="accent6"/>
          <w:bottom w:val="single" w:sz="4" w:space="0" w:color="BFD6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D6ED" w:themeColor="accent6"/>
          <w:left w:val="nil"/>
        </w:tcBorders>
      </w:tcPr>
    </w:tblStylePr>
    <w:tblStylePr w:type="swCell">
      <w:tblPr/>
      <w:tcPr>
        <w:tcBorders>
          <w:top w:val="double" w:sz="4" w:space="0" w:color="BFD6ED" w:themeColor="accent6"/>
          <w:right w:val="nil"/>
        </w:tcBorders>
      </w:tcPr>
    </w:tblStylePr>
  </w:style>
  <w:style w:type="table" w:styleId="ListTable4">
    <w:name w:val="List Table 4"/>
    <w:basedOn w:val="Table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911DE3"/>
    <w:pPr>
      <w:spacing w:line="240" w:lineRule="auto"/>
    </w:pPr>
    <w:tblPr>
      <w:tblStyleRowBandSize w:val="1"/>
      <w:tblStyleColBandSize w:val="1"/>
      <w:tblBorders>
        <w:top w:val="single" w:sz="4" w:space="0" w:color="3C9CFF" w:themeColor="accent1" w:themeTint="99"/>
        <w:left w:val="single" w:sz="4" w:space="0" w:color="3C9CFF" w:themeColor="accent1" w:themeTint="99"/>
        <w:bottom w:val="single" w:sz="4" w:space="0" w:color="3C9CFF" w:themeColor="accent1" w:themeTint="99"/>
        <w:right w:val="single" w:sz="4" w:space="0" w:color="3C9CFF" w:themeColor="accent1" w:themeTint="99"/>
        <w:insideH w:val="single" w:sz="4" w:space="0" w:color="3C9CFF" w:themeColor="accent1" w:themeTint="99"/>
      </w:tblBorders>
    </w:tblPr>
    <w:tblStylePr w:type="firstRow">
      <w:rPr>
        <w:b/>
        <w:bCs/>
        <w:color w:val="FFFFFF" w:themeColor="background1"/>
      </w:rPr>
      <w:tblPr/>
      <w:tcPr>
        <w:tcBorders>
          <w:top w:val="single" w:sz="4" w:space="0" w:color="005CB9" w:themeColor="accent1"/>
          <w:left w:val="single" w:sz="4" w:space="0" w:color="005CB9" w:themeColor="accent1"/>
          <w:bottom w:val="single" w:sz="4" w:space="0" w:color="005CB9" w:themeColor="accent1"/>
          <w:right w:val="single" w:sz="4" w:space="0" w:color="005CB9" w:themeColor="accent1"/>
          <w:insideH w:val="nil"/>
        </w:tcBorders>
        <w:shd w:val="clear" w:color="auto" w:fill="005CB9" w:themeFill="accent1"/>
      </w:tcPr>
    </w:tblStylePr>
    <w:tblStylePr w:type="lastRow">
      <w:rPr>
        <w:b/>
        <w:bCs/>
      </w:rPr>
      <w:tblPr/>
      <w:tcPr>
        <w:tcBorders>
          <w:top w:val="double" w:sz="4" w:space="0" w:color="3C9CFF" w:themeColor="accent1" w:themeTint="99"/>
        </w:tcBorders>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ListTable4-Accent2">
    <w:name w:val="List Table 4 Accent 2"/>
    <w:basedOn w:val="TableNormal"/>
    <w:uiPriority w:val="99"/>
    <w:rsid w:val="00911DE3"/>
    <w:pPr>
      <w:spacing w:line="240" w:lineRule="auto"/>
    </w:pPr>
    <w:tblPr>
      <w:tblStyleRowBandSize w:val="1"/>
      <w:tblStyleColBandSize w:val="1"/>
      <w:tblBorders>
        <w:top w:val="single" w:sz="4" w:space="0" w:color="D6D6D6" w:themeColor="accent2" w:themeTint="99"/>
        <w:left w:val="single" w:sz="4" w:space="0" w:color="D6D6D6" w:themeColor="accent2" w:themeTint="99"/>
        <w:bottom w:val="single" w:sz="4" w:space="0" w:color="D6D6D6" w:themeColor="accent2" w:themeTint="99"/>
        <w:right w:val="single" w:sz="4" w:space="0" w:color="D6D6D6" w:themeColor="accent2" w:themeTint="99"/>
        <w:insideH w:val="single" w:sz="4" w:space="0" w:color="D6D6D6" w:themeColor="accent2" w:themeTint="99"/>
      </w:tblBorders>
    </w:tblPr>
    <w:tblStylePr w:type="firstRow">
      <w:rPr>
        <w:b/>
        <w:bCs/>
        <w:color w:val="FFFFFF" w:themeColor="background1"/>
      </w:rPr>
      <w:tblPr/>
      <w:tcPr>
        <w:tcBorders>
          <w:top w:val="single" w:sz="4" w:space="0" w:color="BBBBBB" w:themeColor="accent2"/>
          <w:left w:val="single" w:sz="4" w:space="0" w:color="BBBBBB" w:themeColor="accent2"/>
          <w:bottom w:val="single" w:sz="4" w:space="0" w:color="BBBBBB" w:themeColor="accent2"/>
          <w:right w:val="single" w:sz="4" w:space="0" w:color="BBBBBB" w:themeColor="accent2"/>
          <w:insideH w:val="nil"/>
        </w:tcBorders>
        <w:shd w:val="clear" w:color="auto" w:fill="BBBBBB" w:themeFill="accent2"/>
      </w:tcPr>
    </w:tblStylePr>
    <w:tblStylePr w:type="lastRow">
      <w:rPr>
        <w:b/>
        <w:bCs/>
      </w:rPr>
      <w:tblPr/>
      <w:tcPr>
        <w:tcBorders>
          <w:top w:val="double" w:sz="4" w:space="0" w:color="D6D6D6" w:themeColor="accent2" w:themeTint="99"/>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4-Accent3">
    <w:name w:val="List Table 4 Accent 3"/>
    <w:basedOn w:val="TableNormal"/>
    <w:uiPriority w:val="99"/>
    <w:rsid w:val="00911DE3"/>
    <w:pPr>
      <w:spacing w:line="240" w:lineRule="auto"/>
    </w:pPr>
    <w:tblPr>
      <w:tblStyleRowBandSize w:val="1"/>
      <w:tblStyleColBandSize w:val="1"/>
      <w:tblBorders>
        <w:top w:val="single" w:sz="4" w:space="0" w:color="B2CDEA" w:themeColor="accent3" w:themeTint="99"/>
        <w:left w:val="single" w:sz="4" w:space="0" w:color="B2CDEA" w:themeColor="accent3" w:themeTint="99"/>
        <w:bottom w:val="single" w:sz="4" w:space="0" w:color="B2CDEA" w:themeColor="accent3" w:themeTint="99"/>
        <w:right w:val="single" w:sz="4" w:space="0" w:color="B2CDEA" w:themeColor="accent3" w:themeTint="99"/>
        <w:insideH w:val="single" w:sz="4" w:space="0" w:color="B2CDEA" w:themeColor="accent3" w:themeTint="99"/>
      </w:tblBorders>
    </w:tblPr>
    <w:tblStylePr w:type="firstRow">
      <w:rPr>
        <w:b/>
        <w:bCs/>
        <w:color w:val="FFFFFF" w:themeColor="background1"/>
      </w:rPr>
      <w:tblPr/>
      <w:tcPr>
        <w:tcBorders>
          <w:top w:val="single" w:sz="4" w:space="0" w:color="7FADDC" w:themeColor="accent3"/>
          <w:left w:val="single" w:sz="4" w:space="0" w:color="7FADDC" w:themeColor="accent3"/>
          <w:bottom w:val="single" w:sz="4" w:space="0" w:color="7FADDC" w:themeColor="accent3"/>
          <w:right w:val="single" w:sz="4" w:space="0" w:color="7FADDC" w:themeColor="accent3"/>
          <w:insideH w:val="nil"/>
        </w:tcBorders>
        <w:shd w:val="clear" w:color="auto" w:fill="7FADDC" w:themeFill="accent3"/>
      </w:tcPr>
    </w:tblStylePr>
    <w:tblStylePr w:type="lastRow">
      <w:rPr>
        <w:b/>
        <w:bCs/>
      </w:rPr>
      <w:tblPr/>
      <w:tcPr>
        <w:tcBorders>
          <w:top w:val="double" w:sz="4" w:space="0" w:color="B2CDEA" w:themeColor="accent3" w:themeTint="99"/>
        </w:tcBorders>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ListTable4-Accent4">
    <w:name w:val="List Table 4 Accent 4"/>
    <w:basedOn w:val="TableNormal"/>
    <w:uiPriority w:val="99"/>
    <w:rsid w:val="00911DE3"/>
    <w:pPr>
      <w:spacing w:line="240" w:lineRule="auto"/>
    </w:pPr>
    <w:tblPr>
      <w:tblStyleRowBandSize w:val="1"/>
      <w:tblStyleColBandSize w:val="1"/>
      <w:tblBorders>
        <w:top w:val="single" w:sz="4" w:space="0" w:color="ACADAF" w:themeColor="accent4" w:themeTint="99"/>
        <w:left w:val="single" w:sz="4" w:space="0" w:color="ACADAF" w:themeColor="accent4" w:themeTint="99"/>
        <w:bottom w:val="single" w:sz="4" w:space="0" w:color="ACADAF" w:themeColor="accent4" w:themeTint="99"/>
        <w:right w:val="single" w:sz="4" w:space="0" w:color="ACADAF" w:themeColor="accent4" w:themeTint="99"/>
        <w:insideH w:val="single" w:sz="4" w:space="0" w:color="ACADAF" w:themeColor="accent4" w:themeTint="99"/>
      </w:tblBorders>
    </w:tblPr>
    <w:tblStylePr w:type="firstRow">
      <w:rPr>
        <w:b/>
        <w:bCs/>
        <w:color w:val="FFFFFF" w:themeColor="background1"/>
      </w:rPr>
      <w:tblPr/>
      <w:tcPr>
        <w:tcBorders>
          <w:top w:val="single" w:sz="4" w:space="0" w:color="76777B" w:themeColor="accent4"/>
          <w:left w:val="single" w:sz="4" w:space="0" w:color="76777B" w:themeColor="accent4"/>
          <w:bottom w:val="single" w:sz="4" w:space="0" w:color="76777B" w:themeColor="accent4"/>
          <w:right w:val="single" w:sz="4" w:space="0" w:color="76777B" w:themeColor="accent4"/>
          <w:insideH w:val="nil"/>
        </w:tcBorders>
        <w:shd w:val="clear" w:color="auto" w:fill="76777B" w:themeFill="accent4"/>
      </w:tcPr>
    </w:tblStylePr>
    <w:tblStylePr w:type="lastRow">
      <w:rPr>
        <w:b/>
        <w:bCs/>
      </w:rPr>
      <w:tblPr/>
      <w:tcPr>
        <w:tcBorders>
          <w:top w:val="double" w:sz="4" w:space="0" w:color="ACADAF" w:themeColor="accent4" w:themeTint="99"/>
        </w:tcBorders>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ListTable4-Accent5">
    <w:name w:val="List Table 4 Accent 5"/>
    <w:basedOn w:val="TableNormal"/>
    <w:uiPriority w:val="99"/>
    <w:rsid w:val="00911DE3"/>
    <w:pPr>
      <w:spacing w:line="240" w:lineRule="auto"/>
    </w:pPr>
    <w:tblPr>
      <w:tblStyleRowBandSize w:val="1"/>
      <w:tblStyleColBandSize w:val="1"/>
      <w:tblBorders>
        <w:top w:val="single" w:sz="4" w:space="0" w:color="4F709A" w:themeColor="accent5" w:themeTint="99"/>
        <w:left w:val="single" w:sz="4" w:space="0" w:color="4F709A" w:themeColor="accent5" w:themeTint="99"/>
        <w:bottom w:val="single" w:sz="4" w:space="0" w:color="4F709A" w:themeColor="accent5" w:themeTint="99"/>
        <w:right w:val="single" w:sz="4" w:space="0" w:color="4F709A" w:themeColor="accent5" w:themeTint="99"/>
        <w:insideH w:val="single" w:sz="4" w:space="0" w:color="4F709A" w:themeColor="accent5" w:themeTint="99"/>
      </w:tblBorders>
    </w:tblPr>
    <w:tblStylePr w:type="firstRow">
      <w:rPr>
        <w:b/>
        <w:bCs/>
        <w:color w:val="FFFFFF" w:themeColor="background1"/>
      </w:rPr>
      <w:tblPr/>
      <w:tcPr>
        <w:tcBorders>
          <w:top w:val="single" w:sz="4" w:space="0" w:color="111821" w:themeColor="accent5"/>
          <w:left w:val="single" w:sz="4" w:space="0" w:color="111821" w:themeColor="accent5"/>
          <w:bottom w:val="single" w:sz="4" w:space="0" w:color="111821" w:themeColor="accent5"/>
          <w:right w:val="single" w:sz="4" w:space="0" w:color="111821" w:themeColor="accent5"/>
          <w:insideH w:val="nil"/>
        </w:tcBorders>
        <w:shd w:val="clear" w:color="auto" w:fill="111821" w:themeFill="accent5"/>
      </w:tcPr>
    </w:tblStylePr>
    <w:tblStylePr w:type="lastRow">
      <w:rPr>
        <w:b/>
        <w:bCs/>
      </w:rPr>
      <w:tblPr/>
      <w:tcPr>
        <w:tcBorders>
          <w:top w:val="double" w:sz="4" w:space="0" w:color="4F709A" w:themeColor="accent5" w:themeTint="99"/>
        </w:tcBorders>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ListTable4-Accent6">
    <w:name w:val="List Table 4 Accent 6"/>
    <w:basedOn w:val="TableNormal"/>
    <w:uiPriority w:val="99"/>
    <w:rsid w:val="00911DE3"/>
    <w:pPr>
      <w:spacing w:line="240" w:lineRule="auto"/>
    </w:pPr>
    <w:tblPr>
      <w:tblStyleRowBandSize w:val="1"/>
      <w:tblStyleColBandSize w:val="1"/>
      <w:tblBorders>
        <w:top w:val="single" w:sz="4" w:space="0" w:color="D8E6F4" w:themeColor="accent6" w:themeTint="99"/>
        <w:left w:val="single" w:sz="4" w:space="0" w:color="D8E6F4" w:themeColor="accent6" w:themeTint="99"/>
        <w:bottom w:val="single" w:sz="4" w:space="0" w:color="D8E6F4" w:themeColor="accent6" w:themeTint="99"/>
        <w:right w:val="single" w:sz="4" w:space="0" w:color="D8E6F4" w:themeColor="accent6" w:themeTint="99"/>
        <w:insideH w:val="single" w:sz="4" w:space="0" w:color="D8E6F4" w:themeColor="accent6" w:themeTint="99"/>
      </w:tblBorders>
    </w:tblPr>
    <w:tblStylePr w:type="firstRow">
      <w:rPr>
        <w:b/>
        <w:bCs/>
        <w:color w:val="FFFFFF" w:themeColor="background1"/>
      </w:rPr>
      <w:tblPr/>
      <w:tcPr>
        <w:tcBorders>
          <w:top w:val="single" w:sz="4" w:space="0" w:color="BFD6ED" w:themeColor="accent6"/>
          <w:left w:val="single" w:sz="4" w:space="0" w:color="BFD6ED" w:themeColor="accent6"/>
          <w:bottom w:val="single" w:sz="4" w:space="0" w:color="BFD6ED" w:themeColor="accent6"/>
          <w:right w:val="single" w:sz="4" w:space="0" w:color="BFD6ED" w:themeColor="accent6"/>
          <w:insideH w:val="nil"/>
        </w:tcBorders>
        <w:shd w:val="clear" w:color="auto" w:fill="BFD6ED" w:themeFill="accent6"/>
      </w:tcPr>
    </w:tblStylePr>
    <w:tblStylePr w:type="lastRow">
      <w:rPr>
        <w:b/>
        <w:bCs/>
      </w:rPr>
      <w:tblPr/>
      <w:tcPr>
        <w:tcBorders>
          <w:top w:val="double" w:sz="4" w:space="0" w:color="D8E6F4" w:themeColor="accent6" w:themeTint="99"/>
        </w:tcBorders>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ListTable5Dark">
    <w:name w:val="List Table 5 Dark"/>
    <w:basedOn w:val="TableNormal"/>
    <w:uiPriority w:val="99"/>
    <w:rsid w:val="00911DE3"/>
    <w:pPr>
      <w:spacing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911DE3"/>
    <w:pPr>
      <w:spacing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005CB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911DE3"/>
    <w:pPr>
      <w:spacing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BBBBB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911DE3"/>
    <w:pPr>
      <w:spacing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7FADD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911DE3"/>
    <w:pPr>
      <w:spacing w:line="240" w:lineRule="auto"/>
    </w:pPr>
    <w:rPr>
      <w:color w:val="FFFFFF" w:themeColor="background1"/>
    </w:rPr>
    <w:tblPr>
      <w:tblStyleRowBandSize w:val="1"/>
      <w:tblStyleColBandSize w:val="1"/>
    </w:tblPr>
    <w:tcPr>
      <w:tcBorders>
        <w:top w:val="single" w:sz="4" w:space="0" w:color="FFFFFF" w:themeColor="background1"/>
        <w:bottom w:val="single" w:sz="4" w:space="0" w:color="FFFFFF" w:themeColor="background1"/>
      </w:tcBorders>
      <w:shd w:val="clear" w:color="auto" w:fill="76777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911DE3"/>
    <w:pPr>
      <w:spacing w:line="240" w:lineRule="auto"/>
    </w:pPr>
    <w:rPr>
      <w:color w:val="FFFFFF" w:themeColor="background1"/>
    </w:rPr>
    <w:tblPr>
      <w:tblStyleRowBandSize w:val="1"/>
      <w:tblStyleColBandSize w:val="1"/>
      <w:tblBorders>
        <w:top w:val="single" w:sz="24" w:space="0" w:color="111821" w:themeColor="accent5"/>
        <w:left w:val="single" w:sz="24" w:space="0" w:color="111821" w:themeColor="accent5"/>
        <w:bottom w:val="single" w:sz="24" w:space="0" w:color="111821" w:themeColor="accent5"/>
        <w:right w:val="single" w:sz="24" w:space="0" w:color="111821" w:themeColor="accent5"/>
      </w:tblBorders>
    </w:tblPr>
    <w:tcPr>
      <w:shd w:val="clear" w:color="auto" w:fill="11182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911DE3"/>
    <w:pPr>
      <w:spacing w:line="240" w:lineRule="auto"/>
    </w:pPr>
    <w:rPr>
      <w:color w:val="FFFFFF" w:themeColor="background1"/>
    </w:rPr>
    <w:tblPr>
      <w:tblStyleRowBandSize w:val="1"/>
      <w:tblStyleColBandSize w:val="1"/>
      <w:tblBorders>
        <w:top w:val="single" w:sz="24" w:space="0" w:color="BFD6ED" w:themeColor="accent6"/>
        <w:left w:val="single" w:sz="24" w:space="0" w:color="BFD6ED" w:themeColor="accent6"/>
        <w:bottom w:val="single" w:sz="24" w:space="0" w:color="BFD6ED" w:themeColor="accent6"/>
        <w:right w:val="single" w:sz="24" w:space="0" w:color="BFD6ED" w:themeColor="accent6"/>
      </w:tblBorders>
    </w:tblPr>
    <w:tcPr>
      <w:shd w:val="clear" w:color="auto" w:fill="BFD6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911DE3"/>
    <w:pPr>
      <w:spacing w:line="240" w:lineRule="auto"/>
    </w:pPr>
    <w:rPr>
      <w:color w:val="00448A" w:themeColor="accent1" w:themeShade="BF"/>
    </w:rPr>
    <w:tblPr>
      <w:tblStyleRowBandSize w:val="1"/>
      <w:tblStyleColBandSize w:val="1"/>
      <w:tblBorders>
        <w:top w:val="single" w:sz="4" w:space="0" w:color="005CB9" w:themeColor="accent1"/>
        <w:bottom w:val="single" w:sz="4" w:space="0" w:color="005CB9" w:themeColor="accent1"/>
      </w:tblBorders>
    </w:tblPr>
    <w:tblStylePr w:type="firstRow">
      <w:rPr>
        <w:b/>
        <w:bCs/>
      </w:rPr>
      <w:tblPr/>
      <w:tcPr>
        <w:tcBorders>
          <w:bottom w:val="single" w:sz="4" w:space="0" w:color="005CB9" w:themeColor="accent1"/>
        </w:tcBorders>
      </w:tcPr>
    </w:tblStylePr>
    <w:tblStylePr w:type="lastRow">
      <w:rPr>
        <w:b/>
        <w:bCs/>
      </w:rPr>
      <w:tblPr/>
      <w:tcPr>
        <w:tcBorders>
          <w:top w:val="double" w:sz="4" w:space="0" w:color="005CB9" w:themeColor="accent1"/>
        </w:tcBorders>
      </w:tcPr>
    </w:tblStylePr>
    <w:tblStylePr w:type="firstCol">
      <w:rPr>
        <w:b/>
        <w:bCs/>
      </w:rPr>
    </w:tblStylePr>
    <w:tblStylePr w:type="lastCol">
      <w:rPr>
        <w:b/>
        <w:bCs/>
      </w:rPr>
    </w:tblStylePr>
    <w:tblStylePr w:type="band1Vert">
      <w:tblPr/>
      <w:tcPr>
        <w:shd w:val="clear" w:color="auto" w:fill="BEDEFF" w:themeFill="accent1" w:themeFillTint="33"/>
      </w:tcPr>
    </w:tblStylePr>
    <w:tblStylePr w:type="band1Horz">
      <w:tblPr/>
      <w:tcPr>
        <w:shd w:val="clear" w:color="auto" w:fill="BEDEFF" w:themeFill="accent1" w:themeFillTint="33"/>
      </w:tcPr>
    </w:tblStylePr>
  </w:style>
  <w:style w:type="table" w:styleId="ListTable6Colorful-Accent2">
    <w:name w:val="List Table 6 Colorful Accent 2"/>
    <w:basedOn w:val="TableNormal"/>
    <w:uiPriority w:val="99"/>
    <w:rsid w:val="00911DE3"/>
    <w:pPr>
      <w:spacing w:line="240" w:lineRule="auto"/>
    </w:pPr>
    <w:rPr>
      <w:color w:val="8C8C8C" w:themeColor="accent2" w:themeShade="BF"/>
    </w:rPr>
    <w:tblPr>
      <w:tblStyleRowBandSize w:val="1"/>
      <w:tblStyleColBandSize w:val="1"/>
      <w:tblBorders>
        <w:top w:val="single" w:sz="4" w:space="0" w:color="BBBBBB" w:themeColor="accent2"/>
        <w:bottom w:val="single" w:sz="4" w:space="0" w:color="BBBBBB" w:themeColor="accent2"/>
      </w:tblBorders>
    </w:tblPr>
    <w:tblStylePr w:type="firstRow">
      <w:rPr>
        <w:b/>
        <w:bCs/>
      </w:rPr>
      <w:tblPr/>
      <w:tcPr>
        <w:tcBorders>
          <w:bottom w:val="single" w:sz="4" w:space="0" w:color="BBBBBB" w:themeColor="accent2"/>
        </w:tcBorders>
      </w:tcPr>
    </w:tblStylePr>
    <w:tblStylePr w:type="lastRow">
      <w:rPr>
        <w:b/>
        <w:bCs/>
      </w:rPr>
      <w:tblPr/>
      <w:tcPr>
        <w:tcBorders>
          <w:top w:val="double" w:sz="4" w:space="0" w:color="BBBBBB" w:themeColor="accent2"/>
        </w:tcBorders>
      </w:tcPr>
    </w:tblStylePr>
    <w:tblStylePr w:type="firstCol">
      <w:rPr>
        <w:b/>
        <w:bCs/>
      </w:rPr>
    </w:tblStylePr>
    <w:tblStylePr w:type="lastCol">
      <w:rPr>
        <w:b/>
        <w:bCs/>
      </w:rPr>
    </w:tblStylePr>
    <w:tblStylePr w:type="band1Vert">
      <w:tblPr/>
      <w:tcPr>
        <w:shd w:val="clear" w:color="auto" w:fill="F1F1F1" w:themeFill="accent2" w:themeFillTint="33"/>
      </w:tcPr>
    </w:tblStylePr>
    <w:tblStylePr w:type="band1Horz">
      <w:tblPr/>
      <w:tcPr>
        <w:shd w:val="clear" w:color="auto" w:fill="F1F1F1" w:themeFill="accent2" w:themeFillTint="33"/>
      </w:tcPr>
    </w:tblStylePr>
  </w:style>
  <w:style w:type="table" w:styleId="ListTable6Colorful-Accent3">
    <w:name w:val="List Table 6 Colorful Accent 3"/>
    <w:basedOn w:val="TableNormal"/>
    <w:uiPriority w:val="99"/>
    <w:rsid w:val="00911DE3"/>
    <w:pPr>
      <w:spacing w:line="240" w:lineRule="auto"/>
    </w:pPr>
    <w:rPr>
      <w:color w:val="3A80C9" w:themeColor="accent3" w:themeShade="BF"/>
    </w:rPr>
    <w:tblPr>
      <w:tblStyleRowBandSize w:val="1"/>
      <w:tblStyleColBandSize w:val="1"/>
      <w:tblBorders>
        <w:top w:val="single" w:sz="4" w:space="0" w:color="7FADDC" w:themeColor="accent3"/>
        <w:bottom w:val="single" w:sz="4" w:space="0" w:color="7FADDC" w:themeColor="accent3"/>
      </w:tblBorders>
    </w:tblPr>
    <w:tblStylePr w:type="firstRow">
      <w:rPr>
        <w:b/>
        <w:bCs/>
      </w:rPr>
      <w:tblPr/>
      <w:tcPr>
        <w:tcBorders>
          <w:bottom w:val="single" w:sz="4" w:space="0" w:color="7FADDC" w:themeColor="accent3"/>
        </w:tcBorders>
      </w:tcPr>
    </w:tblStylePr>
    <w:tblStylePr w:type="lastRow">
      <w:rPr>
        <w:b/>
        <w:bCs/>
      </w:rPr>
      <w:tblPr/>
      <w:tcPr>
        <w:tcBorders>
          <w:top w:val="double" w:sz="4" w:space="0" w:color="7FADDC" w:themeColor="accent3"/>
        </w:tcBorders>
      </w:tcPr>
    </w:tblStylePr>
    <w:tblStylePr w:type="firstCol">
      <w:rPr>
        <w:b/>
        <w:bCs/>
      </w:rPr>
    </w:tblStylePr>
    <w:tblStylePr w:type="lastCol">
      <w:rPr>
        <w:b/>
        <w:bCs/>
      </w:rPr>
    </w:tblStylePr>
    <w:tblStylePr w:type="band1Vert">
      <w:tblPr/>
      <w:tcPr>
        <w:shd w:val="clear" w:color="auto" w:fill="E5EEF8" w:themeFill="accent3" w:themeFillTint="33"/>
      </w:tcPr>
    </w:tblStylePr>
    <w:tblStylePr w:type="band1Horz">
      <w:tblPr/>
      <w:tcPr>
        <w:shd w:val="clear" w:color="auto" w:fill="E5EEF8" w:themeFill="accent3" w:themeFillTint="33"/>
      </w:tcPr>
    </w:tblStylePr>
  </w:style>
  <w:style w:type="table" w:styleId="ListTable6Colorful-Accent4">
    <w:name w:val="List Table 6 Colorful Accent 4"/>
    <w:basedOn w:val="TableNormal"/>
    <w:uiPriority w:val="99"/>
    <w:rsid w:val="00911DE3"/>
    <w:pPr>
      <w:spacing w:line="240" w:lineRule="auto"/>
    </w:pPr>
    <w:rPr>
      <w:color w:val="58595B" w:themeColor="accent4" w:themeShade="BF"/>
    </w:rPr>
    <w:tblPr>
      <w:tblStyleRowBandSize w:val="1"/>
      <w:tblStyleColBandSize w:val="1"/>
      <w:tblBorders>
        <w:top w:val="single" w:sz="4" w:space="0" w:color="76777B" w:themeColor="accent4"/>
        <w:bottom w:val="single" w:sz="4" w:space="0" w:color="76777B" w:themeColor="accent4"/>
      </w:tblBorders>
    </w:tblPr>
    <w:tblStylePr w:type="firstRow">
      <w:rPr>
        <w:b/>
        <w:bCs/>
      </w:rPr>
      <w:tblPr/>
      <w:tcPr>
        <w:tcBorders>
          <w:bottom w:val="single" w:sz="4" w:space="0" w:color="76777B" w:themeColor="accent4"/>
        </w:tcBorders>
      </w:tcPr>
    </w:tblStylePr>
    <w:tblStylePr w:type="lastRow">
      <w:rPr>
        <w:b/>
        <w:bCs/>
      </w:rPr>
      <w:tblPr/>
      <w:tcPr>
        <w:tcBorders>
          <w:top w:val="double" w:sz="4" w:space="0" w:color="76777B" w:themeColor="accent4"/>
        </w:tcBorders>
      </w:tcPr>
    </w:tblStylePr>
    <w:tblStylePr w:type="firstCol">
      <w:rPr>
        <w:b/>
        <w:bCs/>
      </w:rPr>
    </w:tblStylePr>
    <w:tblStylePr w:type="lastCol">
      <w:rPr>
        <w:b/>
        <w:bCs/>
      </w:rPr>
    </w:tblStylePr>
    <w:tblStylePr w:type="band1Vert">
      <w:tblPr/>
      <w:tcPr>
        <w:shd w:val="clear" w:color="auto" w:fill="E3E3E4" w:themeFill="accent4" w:themeFillTint="33"/>
      </w:tcPr>
    </w:tblStylePr>
    <w:tblStylePr w:type="band1Horz">
      <w:tblPr/>
      <w:tcPr>
        <w:shd w:val="clear" w:color="auto" w:fill="E3E3E4" w:themeFill="accent4" w:themeFillTint="33"/>
      </w:tcPr>
    </w:tblStylePr>
  </w:style>
  <w:style w:type="table" w:styleId="ListTable6Colorful-Accent5">
    <w:name w:val="List Table 6 Colorful Accent 5"/>
    <w:basedOn w:val="TableNormal"/>
    <w:uiPriority w:val="99"/>
    <w:rsid w:val="00911DE3"/>
    <w:pPr>
      <w:spacing w:line="240" w:lineRule="auto"/>
    </w:pPr>
    <w:rPr>
      <w:color w:val="0C1118" w:themeColor="accent5" w:themeShade="BF"/>
    </w:rPr>
    <w:tblPr>
      <w:tblStyleRowBandSize w:val="1"/>
      <w:tblStyleColBandSize w:val="1"/>
      <w:tblBorders>
        <w:top w:val="single" w:sz="4" w:space="0" w:color="111821" w:themeColor="accent5"/>
        <w:bottom w:val="single" w:sz="4" w:space="0" w:color="111821" w:themeColor="accent5"/>
      </w:tblBorders>
    </w:tblPr>
    <w:tblStylePr w:type="firstRow">
      <w:rPr>
        <w:b/>
        <w:bCs/>
      </w:rPr>
      <w:tblPr/>
      <w:tcPr>
        <w:tcBorders>
          <w:bottom w:val="single" w:sz="4" w:space="0" w:color="111821" w:themeColor="accent5"/>
        </w:tcBorders>
      </w:tcPr>
    </w:tblStylePr>
    <w:tblStylePr w:type="lastRow">
      <w:rPr>
        <w:b/>
        <w:bCs/>
      </w:rPr>
      <w:tblPr/>
      <w:tcPr>
        <w:tcBorders>
          <w:top w:val="double" w:sz="4" w:space="0" w:color="111821" w:themeColor="accent5"/>
        </w:tcBorders>
      </w:tcPr>
    </w:tblStylePr>
    <w:tblStylePr w:type="firstCol">
      <w:rPr>
        <w:b/>
        <w:bCs/>
      </w:rPr>
    </w:tblStylePr>
    <w:tblStylePr w:type="lastCol">
      <w:rPr>
        <w:b/>
        <w:bCs/>
      </w:rPr>
    </w:tblStylePr>
    <w:tblStylePr w:type="band1Vert">
      <w:tblPr/>
      <w:tcPr>
        <w:shd w:val="clear" w:color="auto" w:fill="C2CFDF" w:themeFill="accent5" w:themeFillTint="33"/>
      </w:tcPr>
    </w:tblStylePr>
    <w:tblStylePr w:type="band1Horz">
      <w:tblPr/>
      <w:tcPr>
        <w:shd w:val="clear" w:color="auto" w:fill="C2CFDF" w:themeFill="accent5" w:themeFillTint="33"/>
      </w:tcPr>
    </w:tblStylePr>
  </w:style>
  <w:style w:type="table" w:styleId="ListTable6Colorful-Accent6">
    <w:name w:val="List Table 6 Colorful Accent 6"/>
    <w:basedOn w:val="TableNormal"/>
    <w:uiPriority w:val="99"/>
    <w:rsid w:val="00911DE3"/>
    <w:pPr>
      <w:spacing w:line="240" w:lineRule="auto"/>
    </w:pPr>
    <w:rPr>
      <w:color w:val="6A9FD5" w:themeColor="accent6" w:themeShade="BF"/>
    </w:rPr>
    <w:tblPr>
      <w:tblStyleRowBandSize w:val="1"/>
      <w:tblStyleColBandSize w:val="1"/>
      <w:tblBorders>
        <w:top w:val="single" w:sz="4" w:space="0" w:color="BFD6ED" w:themeColor="accent6"/>
        <w:bottom w:val="single" w:sz="4" w:space="0" w:color="BFD6ED" w:themeColor="accent6"/>
      </w:tblBorders>
    </w:tblPr>
    <w:tblStylePr w:type="firstRow">
      <w:rPr>
        <w:b/>
        <w:bCs/>
      </w:rPr>
      <w:tblPr/>
      <w:tcPr>
        <w:tcBorders>
          <w:bottom w:val="single" w:sz="4" w:space="0" w:color="BFD6ED" w:themeColor="accent6"/>
        </w:tcBorders>
      </w:tcPr>
    </w:tblStylePr>
    <w:tblStylePr w:type="lastRow">
      <w:rPr>
        <w:b/>
        <w:bCs/>
      </w:rPr>
      <w:tblPr/>
      <w:tcPr>
        <w:tcBorders>
          <w:top w:val="double" w:sz="4" w:space="0" w:color="BFD6ED" w:themeColor="accent6"/>
        </w:tcBorders>
      </w:tcPr>
    </w:tblStylePr>
    <w:tblStylePr w:type="firstCol">
      <w:rPr>
        <w:b/>
        <w:bCs/>
      </w:rPr>
    </w:tblStylePr>
    <w:tblStylePr w:type="lastCol">
      <w:rPr>
        <w:b/>
        <w:bCs/>
      </w:rPr>
    </w:tblStylePr>
    <w:tblStylePr w:type="band1Vert">
      <w:tblPr/>
      <w:tcPr>
        <w:shd w:val="clear" w:color="auto" w:fill="F1F6FB" w:themeFill="accent6" w:themeFillTint="33"/>
      </w:tcPr>
    </w:tblStylePr>
    <w:tblStylePr w:type="band1Horz">
      <w:tblPr/>
      <w:tcPr>
        <w:shd w:val="clear" w:color="auto" w:fill="F1F6FB" w:themeFill="accent6" w:themeFillTint="33"/>
      </w:tcPr>
    </w:tblStylePr>
  </w:style>
  <w:style w:type="table" w:styleId="ListTable7Colorful">
    <w:name w:val="List Table 7 Colorful"/>
    <w:basedOn w:val="TableNormal"/>
    <w:uiPriority w:val="99"/>
    <w:rsid w:val="00911DE3"/>
    <w:pPr>
      <w:spacing w:line="240" w:lineRule="auto"/>
    </w:pPr>
    <w:rPr>
      <w:color w:val="000000" w:themeColor="text1"/>
    </w:rPr>
    <w:tblPr>
      <w:tblStyleRowBandSize w:val="1"/>
      <w:tblStyleColBandSize w:val="1"/>
    </w:tblPr>
    <w:tcPr>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911DE3"/>
    <w:pPr>
      <w:spacing w:line="240" w:lineRule="auto"/>
    </w:pPr>
    <w:rPr>
      <w:color w:val="00448A" w:themeColor="accent1" w:themeShade="BF"/>
    </w:rPr>
    <w:tblPr>
      <w:tblStyleRowBandSize w:val="1"/>
      <w:tblStyleColBandSize w:val="1"/>
    </w:tblPr>
    <w:tcPr>
      <w:shd w:val="clear" w:color="auto" w:fill="BEDEFF" w:themeFill="accent1" w:themeFillTint="33"/>
    </w:tcPr>
    <w:tblStylePr w:type="firstRow">
      <w:rPr>
        <w:rFonts w:asciiTheme="majorHAnsi" w:eastAsiaTheme="majorEastAsia" w:hAnsiTheme="majorHAnsi" w:cstheme="majorBidi"/>
        <w:i/>
        <w:iCs/>
        <w:sz w:val="26"/>
      </w:rPr>
      <w:tblPr/>
      <w:tcPr>
        <w:tcBorders>
          <w:bottom w:val="single" w:sz="4" w:space="0" w:color="005CB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CB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CB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CB9"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911DE3"/>
    <w:pPr>
      <w:spacing w:line="240" w:lineRule="auto"/>
    </w:pPr>
    <w:rPr>
      <w:color w:val="8C8C8C" w:themeColor="accent2" w:themeShade="BF"/>
    </w:rPr>
    <w:tblPr>
      <w:tblStyleRowBandSize w:val="1"/>
      <w:tblStyleColBandSize w:val="1"/>
    </w:tblPr>
    <w:tcPr>
      <w:shd w:val="clear" w:color="auto" w:fill="F1F1F1" w:themeFill="accent2" w:themeFillTint="33"/>
    </w:tcPr>
    <w:tblStylePr w:type="firstRow">
      <w:rPr>
        <w:rFonts w:asciiTheme="majorHAnsi" w:eastAsiaTheme="majorEastAsia" w:hAnsiTheme="majorHAnsi" w:cstheme="majorBidi"/>
        <w:i/>
        <w:iCs/>
        <w:sz w:val="26"/>
      </w:rPr>
      <w:tblPr/>
      <w:tcPr>
        <w:tcBorders>
          <w:bottom w:val="single" w:sz="4" w:space="0" w:color="BBBBB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BBBB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BBBB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BBBBB" w:themeColor="accent2"/>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911DE3"/>
    <w:pPr>
      <w:spacing w:line="240" w:lineRule="auto"/>
    </w:pPr>
    <w:rPr>
      <w:color w:val="3A80C9" w:themeColor="accent3" w:themeShade="BF"/>
    </w:rPr>
    <w:tblPr>
      <w:tblStyleRowBandSize w:val="1"/>
      <w:tblStyleColBandSize w:val="1"/>
    </w:tblPr>
    <w:tcPr>
      <w:shd w:val="clear" w:color="auto" w:fill="E5EEF8" w:themeFill="accent3" w:themeFillTint="33"/>
    </w:tcPr>
    <w:tblStylePr w:type="firstRow">
      <w:rPr>
        <w:rFonts w:asciiTheme="majorHAnsi" w:eastAsiaTheme="majorEastAsia" w:hAnsiTheme="majorHAnsi" w:cstheme="majorBidi"/>
        <w:i/>
        <w:iCs/>
        <w:sz w:val="26"/>
      </w:rPr>
      <w:tblPr/>
      <w:tcPr>
        <w:tcBorders>
          <w:bottom w:val="single" w:sz="4" w:space="0" w:color="7FADD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ADD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ADD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ADDC" w:themeColor="accent3"/>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911DE3"/>
    <w:pPr>
      <w:spacing w:line="240" w:lineRule="auto"/>
    </w:pPr>
    <w:rPr>
      <w:color w:val="58595B" w:themeColor="accent4" w:themeShade="BF"/>
    </w:rPr>
    <w:tblPr>
      <w:tblStyleRowBandSize w:val="1"/>
      <w:tblStyleColBandSize w:val="1"/>
    </w:tblPr>
    <w:tcPr>
      <w:shd w:val="clear" w:color="auto" w:fill="E3E3E4" w:themeFill="accent4" w:themeFillTint="33"/>
    </w:tcPr>
    <w:tblStylePr w:type="firstRow">
      <w:rPr>
        <w:rFonts w:asciiTheme="majorHAnsi" w:eastAsiaTheme="majorEastAsia" w:hAnsiTheme="majorHAnsi" w:cstheme="majorBidi"/>
        <w:i/>
        <w:iCs/>
        <w:sz w:val="26"/>
      </w:rPr>
      <w:tblPr/>
      <w:tcPr>
        <w:tcBorders>
          <w:bottom w:val="single" w:sz="4" w:space="0" w:color="76777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6777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6777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6777B" w:themeColor="accent4"/>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911DE3"/>
    <w:pPr>
      <w:spacing w:line="240" w:lineRule="auto"/>
    </w:pPr>
    <w:rPr>
      <w:color w:val="0C1118" w:themeColor="accent5" w:themeShade="BF"/>
    </w:rPr>
    <w:tblPr>
      <w:tblStyleRowBandSize w:val="1"/>
      <w:tblStyleColBandSize w:val="1"/>
    </w:tblPr>
    <w:tcPr>
      <w:shd w:val="clear" w:color="auto" w:fill="C2CFDF" w:themeFill="accent5" w:themeFillTint="33"/>
    </w:tcPr>
    <w:tblStylePr w:type="firstRow">
      <w:rPr>
        <w:rFonts w:asciiTheme="majorHAnsi" w:eastAsiaTheme="majorEastAsia" w:hAnsiTheme="majorHAnsi" w:cstheme="majorBidi"/>
        <w:i/>
        <w:iCs/>
        <w:sz w:val="26"/>
      </w:rPr>
      <w:tblPr/>
      <w:tcPr>
        <w:tcBorders>
          <w:bottom w:val="single" w:sz="4" w:space="0" w:color="11182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182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182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1821" w:themeColor="accent5"/>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911DE3"/>
    <w:pPr>
      <w:spacing w:line="240" w:lineRule="auto"/>
    </w:pPr>
    <w:rPr>
      <w:color w:val="6A9FD5" w:themeColor="accent6" w:themeShade="BF"/>
    </w:rPr>
    <w:tblPr>
      <w:tblStyleRowBandSize w:val="1"/>
      <w:tblStyleColBandSize w:val="1"/>
    </w:tblPr>
    <w:tcPr>
      <w:shd w:val="clear" w:color="auto" w:fill="F1F6FB" w:themeFill="accent6" w:themeFillTint="33"/>
    </w:tcPr>
    <w:tblStylePr w:type="firstRow">
      <w:rPr>
        <w:rFonts w:asciiTheme="majorHAnsi" w:eastAsiaTheme="majorEastAsia" w:hAnsiTheme="majorHAnsi" w:cstheme="majorBidi"/>
        <w:i/>
        <w:iCs/>
        <w:sz w:val="26"/>
      </w:rPr>
      <w:tblPr/>
      <w:tcPr>
        <w:tcBorders>
          <w:bottom w:val="single" w:sz="4" w:space="0" w:color="BFD6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D6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D6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D6ED" w:themeColor="accent6"/>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lang w:val="en-US"/>
    </w:rPr>
  </w:style>
  <w:style w:type="character" w:customStyle="1" w:styleId="MacroTextChar">
    <w:name w:val="Macro Text Char"/>
    <w:basedOn w:val="DefaultParagraphFont"/>
    <w:link w:val="MacroText"/>
    <w:uiPriority w:val="99"/>
    <w:semiHidden/>
    <w:rsid w:val="00A44986"/>
    <w:rPr>
      <w:rFonts w:cs="Arial"/>
      <w:lang w:val="en-US"/>
    </w:rPr>
  </w:style>
  <w:style w:type="table" w:styleId="MediumGrid1">
    <w:name w:val="Medium Grid 1"/>
    <w:basedOn w:val="Table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911DE3"/>
    <w:pPr>
      <w:spacing w:line="240" w:lineRule="auto"/>
    </w:pPr>
    <w:tblPr>
      <w:tblStyleRowBandSize w:val="1"/>
      <w:tblStyleColBandSize w:val="1"/>
      <w:tblBorders>
        <w:top w:val="single" w:sz="8" w:space="0" w:color="0B83FF" w:themeColor="accent1" w:themeTint="BF"/>
        <w:left w:val="single" w:sz="8" w:space="0" w:color="0B83FF" w:themeColor="accent1" w:themeTint="BF"/>
        <w:bottom w:val="single" w:sz="8" w:space="0" w:color="0B83FF" w:themeColor="accent1" w:themeTint="BF"/>
        <w:right w:val="single" w:sz="8" w:space="0" w:color="0B83FF" w:themeColor="accent1" w:themeTint="BF"/>
        <w:insideH w:val="single" w:sz="8" w:space="0" w:color="0B83FF" w:themeColor="accent1" w:themeTint="BF"/>
        <w:insideV w:val="single" w:sz="8" w:space="0" w:color="0B83FF" w:themeColor="accent1" w:themeTint="BF"/>
      </w:tblBorders>
    </w:tblPr>
    <w:tcPr>
      <w:shd w:val="clear" w:color="auto" w:fill="AED6FF" w:themeFill="accent1" w:themeFillTint="3F"/>
    </w:tcPr>
    <w:tblStylePr w:type="firstRow">
      <w:rPr>
        <w:b/>
        <w:bCs/>
      </w:rPr>
    </w:tblStylePr>
    <w:tblStylePr w:type="lastRow">
      <w:rPr>
        <w:b/>
        <w:bCs/>
      </w:rPr>
      <w:tblPr/>
      <w:tcPr>
        <w:tcBorders>
          <w:top w:val="single" w:sz="18" w:space="0" w:color="0B83FF" w:themeColor="accent1" w:themeTint="BF"/>
        </w:tcBorders>
      </w:tcPr>
    </w:tblStylePr>
    <w:tblStylePr w:type="firstCol">
      <w:rPr>
        <w:b/>
        <w:bCs/>
      </w:rPr>
    </w:tblStylePr>
    <w:tblStylePr w:type="lastCol">
      <w:rPr>
        <w:b/>
        <w:bCs/>
      </w:rPr>
    </w:tblStylePr>
    <w:tblStylePr w:type="band1Vert">
      <w:tblPr/>
      <w:tcPr>
        <w:shd w:val="clear" w:color="auto" w:fill="5DADFF" w:themeFill="accent1" w:themeFillTint="7F"/>
      </w:tcPr>
    </w:tblStylePr>
    <w:tblStylePr w:type="band1Horz">
      <w:tblPr/>
      <w:tcPr>
        <w:shd w:val="clear" w:color="auto" w:fill="5DADFF" w:themeFill="accent1" w:themeFillTint="7F"/>
      </w:tcPr>
    </w:tblStylePr>
  </w:style>
  <w:style w:type="table" w:styleId="MediumGrid1-Accent2">
    <w:name w:val="Medium Grid 1 Accent 2"/>
    <w:basedOn w:val="TableNormal"/>
    <w:uiPriority w:val="99"/>
    <w:semiHidden/>
    <w:unhideWhenUsed/>
    <w:rsid w:val="00911DE3"/>
    <w:pPr>
      <w:spacing w:line="240" w:lineRule="auto"/>
    </w:pPr>
    <w:tblPr>
      <w:tblStyleRowBandSize w:val="1"/>
      <w:tblStyleColBandSize w:val="1"/>
      <w:tblBorders>
        <w:top w:val="single" w:sz="8" w:space="0" w:color="CCCCCC" w:themeColor="accent2" w:themeTint="BF"/>
        <w:left w:val="single" w:sz="8" w:space="0" w:color="CCCCCC" w:themeColor="accent2" w:themeTint="BF"/>
        <w:bottom w:val="single" w:sz="8" w:space="0" w:color="CCCCCC" w:themeColor="accent2" w:themeTint="BF"/>
        <w:right w:val="single" w:sz="8" w:space="0" w:color="CCCCCC" w:themeColor="accent2" w:themeTint="BF"/>
        <w:insideH w:val="single" w:sz="8" w:space="0" w:color="CCCCCC" w:themeColor="accent2" w:themeTint="BF"/>
        <w:insideV w:val="single" w:sz="8" w:space="0" w:color="CCCCCC" w:themeColor="accent2" w:themeTint="BF"/>
      </w:tblBorders>
    </w:tblPr>
    <w:tcPr>
      <w:shd w:val="clear" w:color="auto" w:fill="EEEEEE" w:themeFill="accent2" w:themeFillTint="3F"/>
    </w:tcPr>
    <w:tblStylePr w:type="firstRow">
      <w:rPr>
        <w:b/>
        <w:bCs/>
      </w:rPr>
    </w:tblStylePr>
    <w:tblStylePr w:type="lastRow">
      <w:rPr>
        <w:b/>
        <w:bCs/>
      </w:rPr>
      <w:tblPr/>
      <w:tcPr>
        <w:tcBorders>
          <w:top w:val="single" w:sz="18" w:space="0" w:color="CCCCCC" w:themeColor="accent2" w:themeTint="BF"/>
        </w:tcBorders>
      </w:tcPr>
    </w:tblStylePr>
    <w:tblStylePr w:type="firstCol">
      <w:rPr>
        <w:b/>
        <w:bCs/>
      </w:rPr>
    </w:tblStylePr>
    <w:tblStylePr w:type="lastCol">
      <w:rPr>
        <w:b/>
        <w:bCs/>
      </w:rPr>
    </w:tblStylePr>
    <w:tblStylePr w:type="band1Vert">
      <w:tblPr/>
      <w:tcPr>
        <w:shd w:val="clear" w:color="auto" w:fill="DDDDDD" w:themeFill="accent2" w:themeFillTint="7F"/>
      </w:tcPr>
    </w:tblStylePr>
    <w:tblStylePr w:type="band1Horz">
      <w:tblPr/>
      <w:tcPr>
        <w:shd w:val="clear" w:color="auto" w:fill="DDDDDD" w:themeFill="accent2" w:themeFillTint="7F"/>
      </w:tcPr>
    </w:tblStylePr>
  </w:style>
  <w:style w:type="table" w:styleId="MediumGrid1-Accent3">
    <w:name w:val="Medium Grid 1 Accent 3"/>
    <w:basedOn w:val="TableNormal"/>
    <w:uiPriority w:val="99"/>
    <w:semiHidden/>
    <w:unhideWhenUsed/>
    <w:rsid w:val="00911DE3"/>
    <w:pPr>
      <w:spacing w:line="240" w:lineRule="auto"/>
    </w:pPr>
    <w:tblPr>
      <w:tblStyleRowBandSize w:val="1"/>
      <w:tblStyleColBandSize w:val="1"/>
      <w:tblBorders>
        <w:top w:val="single" w:sz="8" w:space="0" w:color="9EC1E4" w:themeColor="accent3" w:themeTint="BF"/>
        <w:left w:val="single" w:sz="8" w:space="0" w:color="9EC1E4" w:themeColor="accent3" w:themeTint="BF"/>
        <w:bottom w:val="single" w:sz="8" w:space="0" w:color="9EC1E4" w:themeColor="accent3" w:themeTint="BF"/>
        <w:right w:val="single" w:sz="8" w:space="0" w:color="9EC1E4" w:themeColor="accent3" w:themeTint="BF"/>
        <w:insideH w:val="single" w:sz="8" w:space="0" w:color="9EC1E4" w:themeColor="accent3" w:themeTint="BF"/>
        <w:insideV w:val="single" w:sz="8" w:space="0" w:color="9EC1E4" w:themeColor="accent3" w:themeTint="BF"/>
      </w:tblBorders>
    </w:tblPr>
    <w:tcPr>
      <w:shd w:val="clear" w:color="auto" w:fill="DFEAF6" w:themeFill="accent3" w:themeFillTint="3F"/>
    </w:tcPr>
    <w:tblStylePr w:type="firstRow">
      <w:rPr>
        <w:b/>
        <w:bCs/>
      </w:rPr>
    </w:tblStylePr>
    <w:tblStylePr w:type="lastRow">
      <w:rPr>
        <w:b/>
        <w:bCs/>
      </w:rPr>
      <w:tblPr/>
      <w:tcPr>
        <w:tcBorders>
          <w:top w:val="single" w:sz="18" w:space="0" w:color="9EC1E4" w:themeColor="accent3" w:themeTint="BF"/>
        </w:tcBorders>
      </w:tcPr>
    </w:tblStylePr>
    <w:tblStylePr w:type="firstCol">
      <w:rPr>
        <w:b/>
        <w:bCs/>
      </w:rPr>
    </w:tblStylePr>
    <w:tblStylePr w:type="lastCol">
      <w:rPr>
        <w:b/>
        <w:bCs/>
      </w:rPr>
    </w:tblStylePr>
    <w:tblStylePr w:type="band1Vert">
      <w:tblPr/>
      <w:tcPr>
        <w:shd w:val="clear" w:color="auto" w:fill="BFD6ED" w:themeFill="accent3" w:themeFillTint="7F"/>
      </w:tcPr>
    </w:tblStylePr>
    <w:tblStylePr w:type="band1Horz">
      <w:tblPr/>
      <w:tcPr>
        <w:shd w:val="clear" w:color="auto" w:fill="BFD6ED" w:themeFill="accent3" w:themeFillTint="7F"/>
      </w:tcPr>
    </w:tblStylePr>
  </w:style>
  <w:style w:type="table" w:styleId="MediumGrid1-Accent4">
    <w:name w:val="Medium Grid 1 Accent 4"/>
    <w:basedOn w:val="TableNormal"/>
    <w:uiPriority w:val="99"/>
    <w:semiHidden/>
    <w:unhideWhenUsed/>
    <w:rsid w:val="00911DE3"/>
    <w:pPr>
      <w:spacing w:line="240" w:lineRule="auto"/>
    </w:pPr>
    <w:tblPr>
      <w:tblStyleRowBandSize w:val="1"/>
      <w:tblStyleColBandSize w:val="1"/>
      <w:tblBorders>
        <w:top w:val="single" w:sz="8" w:space="0" w:color="98989C" w:themeColor="accent4" w:themeTint="BF"/>
        <w:left w:val="single" w:sz="8" w:space="0" w:color="98989C" w:themeColor="accent4" w:themeTint="BF"/>
        <w:bottom w:val="single" w:sz="8" w:space="0" w:color="98989C" w:themeColor="accent4" w:themeTint="BF"/>
        <w:right w:val="single" w:sz="8" w:space="0" w:color="98989C" w:themeColor="accent4" w:themeTint="BF"/>
        <w:insideH w:val="single" w:sz="8" w:space="0" w:color="98989C" w:themeColor="accent4" w:themeTint="BF"/>
        <w:insideV w:val="single" w:sz="8" w:space="0" w:color="98989C" w:themeColor="accent4" w:themeTint="BF"/>
      </w:tblBorders>
    </w:tblPr>
    <w:tcPr>
      <w:shd w:val="clear" w:color="auto" w:fill="DCDDDE" w:themeFill="accent4" w:themeFillTint="3F"/>
    </w:tcPr>
    <w:tblStylePr w:type="firstRow">
      <w:rPr>
        <w:b/>
        <w:bCs/>
      </w:rPr>
    </w:tblStylePr>
    <w:tblStylePr w:type="lastRow">
      <w:rPr>
        <w:b/>
        <w:bCs/>
      </w:rPr>
      <w:tblPr/>
      <w:tcPr>
        <w:tcBorders>
          <w:top w:val="single" w:sz="18" w:space="0" w:color="98989C" w:themeColor="accent4" w:themeTint="BF"/>
        </w:tcBorders>
      </w:tcPr>
    </w:tblStylePr>
    <w:tblStylePr w:type="firstCol">
      <w:rPr>
        <w:b/>
        <w:bCs/>
      </w:rPr>
    </w:tblStylePr>
    <w:tblStylePr w:type="lastCol">
      <w:rPr>
        <w:b/>
        <w:bCs/>
      </w:rPr>
    </w:tblStylePr>
    <w:tblStylePr w:type="band1Vert">
      <w:tblPr/>
      <w:tcPr>
        <w:shd w:val="clear" w:color="auto" w:fill="BABBBD" w:themeFill="accent4" w:themeFillTint="7F"/>
      </w:tcPr>
    </w:tblStylePr>
    <w:tblStylePr w:type="band1Horz">
      <w:tblPr/>
      <w:tcPr>
        <w:shd w:val="clear" w:color="auto" w:fill="BABBBD" w:themeFill="accent4" w:themeFillTint="7F"/>
      </w:tcPr>
    </w:tblStylePr>
  </w:style>
  <w:style w:type="table" w:styleId="MediumGrid1-Accent5">
    <w:name w:val="Medium Grid 1 Accent 5"/>
    <w:basedOn w:val="TableNormal"/>
    <w:uiPriority w:val="99"/>
    <w:semiHidden/>
    <w:unhideWhenUsed/>
    <w:rsid w:val="00911DE3"/>
    <w:pPr>
      <w:spacing w:line="240" w:lineRule="auto"/>
    </w:pPr>
    <w:tblPr>
      <w:tblStyleRowBandSize w:val="1"/>
      <w:tblStyleColBandSize w:val="1"/>
      <w:tblBorders>
        <w:top w:val="single" w:sz="8" w:space="0" w:color="384F6D" w:themeColor="accent5" w:themeTint="BF"/>
        <w:left w:val="single" w:sz="8" w:space="0" w:color="384F6D" w:themeColor="accent5" w:themeTint="BF"/>
        <w:bottom w:val="single" w:sz="8" w:space="0" w:color="384F6D" w:themeColor="accent5" w:themeTint="BF"/>
        <w:right w:val="single" w:sz="8" w:space="0" w:color="384F6D" w:themeColor="accent5" w:themeTint="BF"/>
        <w:insideH w:val="single" w:sz="8" w:space="0" w:color="384F6D" w:themeColor="accent5" w:themeTint="BF"/>
        <w:insideV w:val="single" w:sz="8" w:space="0" w:color="384F6D" w:themeColor="accent5" w:themeTint="BF"/>
      </w:tblBorders>
    </w:tblPr>
    <w:tcPr>
      <w:shd w:val="clear" w:color="auto" w:fill="B4C3D8" w:themeFill="accent5" w:themeFillTint="3F"/>
    </w:tcPr>
    <w:tblStylePr w:type="firstRow">
      <w:rPr>
        <w:b/>
        <w:bCs/>
      </w:rPr>
    </w:tblStylePr>
    <w:tblStylePr w:type="lastRow">
      <w:rPr>
        <w:b/>
        <w:bCs/>
      </w:rPr>
      <w:tblPr/>
      <w:tcPr>
        <w:tcBorders>
          <w:top w:val="single" w:sz="18" w:space="0" w:color="384F6D" w:themeColor="accent5" w:themeTint="BF"/>
        </w:tcBorders>
      </w:tcPr>
    </w:tblStylePr>
    <w:tblStylePr w:type="firstCol">
      <w:rPr>
        <w:b/>
        <w:bCs/>
      </w:rPr>
    </w:tblStylePr>
    <w:tblStylePr w:type="lastCol">
      <w:rPr>
        <w:b/>
        <w:bCs/>
      </w:rPr>
    </w:tblStylePr>
    <w:tblStylePr w:type="band1Vert">
      <w:tblPr/>
      <w:tcPr>
        <w:shd w:val="clear" w:color="auto" w:fill="6787B1" w:themeFill="accent5" w:themeFillTint="7F"/>
      </w:tcPr>
    </w:tblStylePr>
    <w:tblStylePr w:type="band1Horz">
      <w:tblPr/>
      <w:tcPr>
        <w:shd w:val="clear" w:color="auto" w:fill="6787B1" w:themeFill="accent5" w:themeFillTint="7F"/>
      </w:tcPr>
    </w:tblStylePr>
  </w:style>
  <w:style w:type="table" w:styleId="MediumGrid1-Accent6">
    <w:name w:val="Medium Grid 1 Accent 6"/>
    <w:basedOn w:val="TableNormal"/>
    <w:uiPriority w:val="99"/>
    <w:semiHidden/>
    <w:unhideWhenUsed/>
    <w:rsid w:val="00911DE3"/>
    <w:pPr>
      <w:spacing w:line="240" w:lineRule="auto"/>
    </w:pPr>
    <w:tblPr>
      <w:tblStyleRowBandSize w:val="1"/>
      <w:tblStyleColBandSize w:val="1"/>
      <w:tblBorders>
        <w:top w:val="single" w:sz="8" w:space="0" w:color="CEE0F1" w:themeColor="accent6" w:themeTint="BF"/>
        <w:left w:val="single" w:sz="8" w:space="0" w:color="CEE0F1" w:themeColor="accent6" w:themeTint="BF"/>
        <w:bottom w:val="single" w:sz="8" w:space="0" w:color="CEE0F1" w:themeColor="accent6" w:themeTint="BF"/>
        <w:right w:val="single" w:sz="8" w:space="0" w:color="CEE0F1" w:themeColor="accent6" w:themeTint="BF"/>
        <w:insideH w:val="single" w:sz="8" w:space="0" w:color="CEE0F1" w:themeColor="accent6" w:themeTint="BF"/>
        <w:insideV w:val="single" w:sz="8" w:space="0" w:color="CEE0F1" w:themeColor="accent6" w:themeTint="BF"/>
      </w:tblBorders>
    </w:tblPr>
    <w:tcPr>
      <w:shd w:val="clear" w:color="auto" w:fill="EFF4FA" w:themeFill="accent6" w:themeFillTint="3F"/>
    </w:tcPr>
    <w:tblStylePr w:type="firstRow">
      <w:rPr>
        <w:b/>
        <w:bCs/>
      </w:rPr>
    </w:tblStylePr>
    <w:tblStylePr w:type="lastRow">
      <w:rPr>
        <w:b/>
        <w:bCs/>
      </w:rPr>
      <w:tblPr/>
      <w:tcPr>
        <w:tcBorders>
          <w:top w:val="single" w:sz="18" w:space="0" w:color="CEE0F1" w:themeColor="accent6" w:themeTint="BF"/>
        </w:tcBorders>
      </w:tcPr>
    </w:tblStylePr>
    <w:tblStylePr w:type="firstCol">
      <w:rPr>
        <w:b/>
        <w:bCs/>
      </w:rPr>
    </w:tblStylePr>
    <w:tblStylePr w:type="lastCol">
      <w:rPr>
        <w:b/>
        <w:bCs/>
      </w:rPr>
    </w:tblStylePr>
    <w:tblStylePr w:type="band1Vert">
      <w:tblPr/>
      <w:tcPr>
        <w:shd w:val="clear" w:color="auto" w:fill="DFEAF6" w:themeFill="accent6" w:themeFillTint="7F"/>
      </w:tcPr>
    </w:tblStylePr>
    <w:tblStylePr w:type="band1Horz">
      <w:tblPr/>
      <w:tcPr>
        <w:shd w:val="clear" w:color="auto" w:fill="DFEAF6" w:themeFill="accent6" w:themeFillTint="7F"/>
      </w:tcPr>
    </w:tblStylePr>
  </w:style>
  <w:style w:type="table" w:styleId="MediumGrid2">
    <w:name w:val="Medium Grid 2"/>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CB9" w:themeColor="accent1"/>
        <w:left w:val="single" w:sz="8" w:space="0" w:color="005CB9" w:themeColor="accent1"/>
        <w:bottom w:val="single" w:sz="8" w:space="0" w:color="005CB9" w:themeColor="accent1"/>
        <w:right w:val="single" w:sz="8" w:space="0" w:color="005CB9" w:themeColor="accent1"/>
        <w:insideH w:val="single" w:sz="8" w:space="0" w:color="005CB9" w:themeColor="accent1"/>
        <w:insideV w:val="single" w:sz="8" w:space="0" w:color="005CB9" w:themeColor="accent1"/>
      </w:tblBorders>
    </w:tblPr>
    <w:tcPr>
      <w:shd w:val="clear" w:color="auto" w:fill="AED6FF" w:themeFill="accent1" w:themeFillTint="3F"/>
    </w:tcPr>
    <w:tblStylePr w:type="firstRow">
      <w:rPr>
        <w:b/>
        <w:bCs/>
        <w:color w:val="000000" w:themeColor="text1"/>
      </w:rPr>
      <w:tblPr/>
      <w:tcPr>
        <w:shd w:val="clear" w:color="auto" w:fill="DFEE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EFF" w:themeFill="accent1" w:themeFillTint="33"/>
      </w:tcPr>
    </w:tblStylePr>
    <w:tblStylePr w:type="band1Vert">
      <w:tblPr/>
      <w:tcPr>
        <w:shd w:val="clear" w:color="auto" w:fill="5DADFF" w:themeFill="accent1" w:themeFillTint="7F"/>
      </w:tcPr>
    </w:tblStylePr>
    <w:tblStylePr w:type="band1Horz">
      <w:tblPr/>
      <w:tcPr>
        <w:tcBorders>
          <w:insideH w:val="single" w:sz="6" w:space="0" w:color="005CB9" w:themeColor="accent1"/>
          <w:insideV w:val="single" w:sz="6" w:space="0" w:color="005CB9" w:themeColor="accent1"/>
        </w:tcBorders>
        <w:shd w:val="clear" w:color="auto" w:fill="5DA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BBBBB" w:themeColor="accent2"/>
        <w:left w:val="single" w:sz="8" w:space="0" w:color="BBBBBB" w:themeColor="accent2"/>
        <w:bottom w:val="single" w:sz="8" w:space="0" w:color="BBBBBB" w:themeColor="accent2"/>
        <w:right w:val="single" w:sz="8" w:space="0" w:color="BBBBBB" w:themeColor="accent2"/>
        <w:insideH w:val="single" w:sz="8" w:space="0" w:color="BBBBBB" w:themeColor="accent2"/>
        <w:insideV w:val="single" w:sz="8" w:space="0" w:color="BBBBBB" w:themeColor="accent2"/>
      </w:tblBorders>
    </w:tblPr>
    <w:tcPr>
      <w:shd w:val="clear" w:color="auto" w:fill="EEEEEE"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1F1" w:themeFill="accent2" w:themeFillTint="33"/>
      </w:tcPr>
    </w:tblStylePr>
    <w:tblStylePr w:type="band1Vert">
      <w:tblPr/>
      <w:tcPr>
        <w:shd w:val="clear" w:color="auto" w:fill="DDDDDD" w:themeFill="accent2" w:themeFillTint="7F"/>
      </w:tcPr>
    </w:tblStylePr>
    <w:tblStylePr w:type="band1Horz">
      <w:tblPr/>
      <w:tcPr>
        <w:tcBorders>
          <w:insideH w:val="single" w:sz="6" w:space="0" w:color="BBBBBB" w:themeColor="accent2"/>
          <w:insideV w:val="single" w:sz="6" w:space="0" w:color="BBBBBB" w:themeColor="accent2"/>
        </w:tcBorders>
        <w:shd w:val="clear" w:color="auto" w:fill="DDDDD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7FADDC" w:themeColor="accent3"/>
        <w:left w:val="single" w:sz="8" w:space="0" w:color="7FADDC" w:themeColor="accent3"/>
        <w:bottom w:val="single" w:sz="8" w:space="0" w:color="7FADDC" w:themeColor="accent3"/>
        <w:right w:val="single" w:sz="8" w:space="0" w:color="7FADDC" w:themeColor="accent3"/>
        <w:insideH w:val="single" w:sz="8" w:space="0" w:color="7FADDC" w:themeColor="accent3"/>
        <w:insideV w:val="single" w:sz="8" w:space="0" w:color="7FADDC" w:themeColor="accent3"/>
      </w:tblBorders>
    </w:tblPr>
    <w:tcPr>
      <w:shd w:val="clear" w:color="auto" w:fill="DFEAF6" w:themeFill="accent3" w:themeFillTint="3F"/>
    </w:tcPr>
    <w:tblStylePr w:type="firstRow">
      <w:rPr>
        <w:b/>
        <w:bCs/>
        <w:color w:val="000000" w:themeColor="text1"/>
      </w:rPr>
      <w:tblPr/>
      <w:tcPr>
        <w:shd w:val="clear" w:color="auto" w:fill="F2F6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EF8" w:themeFill="accent3" w:themeFillTint="33"/>
      </w:tcPr>
    </w:tblStylePr>
    <w:tblStylePr w:type="band1Vert">
      <w:tblPr/>
      <w:tcPr>
        <w:shd w:val="clear" w:color="auto" w:fill="BFD6ED" w:themeFill="accent3" w:themeFillTint="7F"/>
      </w:tcPr>
    </w:tblStylePr>
    <w:tblStylePr w:type="band1Horz">
      <w:tblPr/>
      <w:tcPr>
        <w:tcBorders>
          <w:insideH w:val="single" w:sz="6" w:space="0" w:color="7FADDC" w:themeColor="accent3"/>
          <w:insideV w:val="single" w:sz="6" w:space="0" w:color="7FADDC" w:themeColor="accent3"/>
        </w:tcBorders>
        <w:shd w:val="clear" w:color="auto" w:fill="BFD6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76777B" w:themeColor="accent4"/>
        <w:left w:val="single" w:sz="8" w:space="0" w:color="76777B" w:themeColor="accent4"/>
        <w:bottom w:val="single" w:sz="8" w:space="0" w:color="76777B" w:themeColor="accent4"/>
        <w:right w:val="single" w:sz="8" w:space="0" w:color="76777B" w:themeColor="accent4"/>
        <w:insideH w:val="single" w:sz="8" w:space="0" w:color="76777B" w:themeColor="accent4"/>
        <w:insideV w:val="single" w:sz="8" w:space="0" w:color="76777B" w:themeColor="accent4"/>
      </w:tblBorders>
    </w:tblPr>
    <w:tcPr>
      <w:shd w:val="clear" w:color="auto" w:fill="DCDDDE" w:themeFill="accent4" w:themeFillTint="3F"/>
    </w:tcPr>
    <w:tblStylePr w:type="firstRow">
      <w:rPr>
        <w:b/>
        <w:bCs/>
        <w:color w:val="000000" w:themeColor="text1"/>
      </w:rPr>
      <w:tblPr/>
      <w:tcPr>
        <w:shd w:val="clear" w:color="auto" w:fill="F1F1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3E4" w:themeFill="accent4" w:themeFillTint="33"/>
      </w:tcPr>
    </w:tblStylePr>
    <w:tblStylePr w:type="band1Vert">
      <w:tblPr/>
      <w:tcPr>
        <w:shd w:val="clear" w:color="auto" w:fill="BABBBD" w:themeFill="accent4" w:themeFillTint="7F"/>
      </w:tcPr>
    </w:tblStylePr>
    <w:tblStylePr w:type="band1Horz">
      <w:tblPr/>
      <w:tcPr>
        <w:tcBorders>
          <w:insideH w:val="single" w:sz="6" w:space="0" w:color="76777B" w:themeColor="accent4"/>
          <w:insideV w:val="single" w:sz="6" w:space="0" w:color="76777B" w:themeColor="accent4"/>
        </w:tcBorders>
        <w:shd w:val="clear" w:color="auto" w:fill="BABBB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111821" w:themeColor="accent5"/>
        <w:left w:val="single" w:sz="8" w:space="0" w:color="111821" w:themeColor="accent5"/>
        <w:bottom w:val="single" w:sz="8" w:space="0" w:color="111821" w:themeColor="accent5"/>
        <w:right w:val="single" w:sz="8" w:space="0" w:color="111821" w:themeColor="accent5"/>
        <w:insideH w:val="single" w:sz="8" w:space="0" w:color="111821" w:themeColor="accent5"/>
        <w:insideV w:val="single" w:sz="8" w:space="0" w:color="111821" w:themeColor="accent5"/>
      </w:tblBorders>
    </w:tblPr>
    <w:tcPr>
      <w:shd w:val="clear" w:color="auto" w:fill="B4C3D8" w:themeFill="accent5" w:themeFillTint="3F"/>
    </w:tcPr>
    <w:tblStylePr w:type="firstRow">
      <w:rPr>
        <w:b/>
        <w:bCs/>
        <w:color w:val="000000" w:themeColor="text1"/>
      </w:rPr>
      <w:tblPr/>
      <w:tcPr>
        <w:shd w:val="clear" w:color="auto" w:fill="E1E7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CFDF" w:themeFill="accent5" w:themeFillTint="33"/>
      </w:tcPr>
    </w:tblStylePr>
    <w:tblStylePr w:type="band1Vert">
      <w:tblPr/>
      <w:tcPr>
        <w:shd w:val="clear" w:color="auto" w:fill="6787B1" w:themeFill="accent5" w:themeFillTint="7F"/>
      </w:tcPr>
    </w:tblStylePr>
    <w:tblStylePr w:type="band1Horz">
      <w:tblPr/>
      <w:tcPr>
        <w:tcBorders>
          <w:insideH w:val="single" w:sz="6" w:space="0" w:color="111821" w:themeColor="accent5"/>
          <w:insideV w:val="single" w:sz="6" w:space="0" w:color="111821" w:themeColor="accent5"/>
        </w:tcBorders>
        <w:shd w:val="clear" w:color="auto" w:fill="6787B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FD6ED" w:themeColor="accent6"/>
        <w:left w:val="single" w:sz="8" w:space="0" w:color="BFD6ED" w:themeColor="accent6"/>
        <w:bottom w:val="single" w:sz="8" w:space="0" w:color="BFD6ED" w:themeColor="accent6"/>
        <w:right w:val="single" w:sz="8" w:space="0" w:color="BFD6ED" w:themeColor="accent6"/>
        <w:insideH w:val="single" w:sz="8" w:space="0" w:color="BFD6ED" w:themeColor="accent6"/>
        <w:insideV w:val="single" w:sz="8" w:space="0" w:color="BFD6ED" w:themeColor="accent6"/>
      </w:tblBorders>
    </w:tblPr>
    <w:tcPr>
      <w:shd w:val="clear" w:color="auto" w:fill="EFF4FA" w:themeFill="accent6" w:themeFillTint="3F"/>
    </w:tcPr>
    <w:tblStylePr w:type="firstRow">
      <w:rPr>
        <w:b/>
        <w:bCs/>
        <w:color w:val="000000" w:themeColor="text1"/>
      </w:rPr>
      <w:tblPr/>
      <w:tcPr>
        <w:shd w:val="clear" w:color="auto" w:fill="F8FA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6FB" w:themeFill="accent6" w:themeFillTint="33"/>
      </w:tcPr>
    </w:tblStylePr>
    <w:tblStylePr w:type="band1Vert">
      <w:tblPr/>
      <w:tcPr>
        <w:shd w:val="clear" w:color="auto" w:fill="DFEAF6" w:themeFill="accent6" w:themeFillTint="7F"/>
      </w:tcPr>
    </w:tblStylePr>
    <w:tblStylePr w:type="band1Horz">
      <w:tblPr/>
      <w:tcPr>
        <w:tcBorders>
          <w:insideH w:val="single" w:sz="6" w:space="0" w:color="BFD6ED" w:themeColor="accent6"/>
          <w:insideV w:val="single" w:sz="6" w:space="0" w:color="BFD6ED" w:themeColor="accent6"/>
        </w:tcBorders>
        <w:shd w:val="clear" w:color="auto" w:fill="DFEA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911DE3"/>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99"/>
    <w:semiHidden/>
    <w:unhideWhenUsed/>
    <w:rsid w:val="00911DE3"/>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ED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B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B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B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B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ADFF" w:themeFill="accent1" w:themeFillTint="7F"/>
      </w:tcPr>
    </w:tblStylePr>
  </w:style>
  <w:style w:type="table" w:styleId="MediumGrid3-Accent2">
    <w:name w:val="Medium Grid 3 Accent 2"/>
    <w:basedOn w:val="TableNormal"/>
    <w:uiPriority w:val="99"/>
    <w:semiHidden/>
    <w:unhideWhenUsed/>
    <w:rsid w:val="00911DE3"/>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E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BBB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BBB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BBB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BBB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DDDD" w:themeFill="accent2" w:themeFillTint="7F"/>
      </w:tcPr>
    </w:tblStylePr>
  </w:style>
  <w:style w:type="table" w:styleId="MediumGrid3-Accent3">
    <w:name w:val="Medium Grid 3 Accent 3"/>
    <w:basedOn w:val="TableNormal"/>
    <w:uiPriority w:val="99"/>
    <w:semiHidden/>
    <w:unhideWhenUsed/>
    <w:rsid w:val="00911DE3"/>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E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ADD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ADD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ADD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ADD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D6ED" w:themeFill="accent3" w:themeFillTint="7F"/>
      </w:tcPr>
    </w:tblStylePr>
  </w:style>
  <w:style w:type="table" w:styleId="MediumGrid3-Accent4">
    <w:name w:val="Medium Grid 3 Accent 4"/>
    <w:basedOn w:val="TableNormal"/>
    <w:uiPriority w:val="99"/>
    <w:semiHidden/>
    <w:unhideWhenUsed/>
    <w:rsid w:val="00911DE3"/>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DDD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6777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6777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6777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6777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BBD" w:themeFill="accent4" w:themeFillTint="7F"/>
      </w:tcPr>
    </w:tblStylePr>
  </w:style>
  <w:style w:type="table" w:styleId="MediumGrid3-Accent5">
    <w:name w:val="Medium Grid 3 Accent 5"/>
    <w:basedOn w:val="TableNormal"/>
    <w:uiPriority w:val="99"/>
    <w:semiHidden/>
    <w:unhideWhenUsed/>
    <w:rsid w:val="00911DE3"/>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3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182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182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182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182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87B1" w:themeFill="accent5" w:themeFillTint="7F"/>
      </w:tcPr>
    </w:tblStylePr>
  </w:style>
  <w:style w:type="table" w:styleId="MediumGrid3-Accent6">
    <w:name w:val="Medium Grid 3 Accent 6"/>
    <w:basedOn w:val="TableNormal"/>
    <w:uiPriority w:val="99"/>
    <w:semiHidden/>
    <w:unhideWhenUsed/>
    <w:rsid w:val="00911DE3"/>
    <w:pPr>
      <w:spacing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F4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D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D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D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D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AF6" w:themeFill="accent6" w:themeFillTint="7F"/>
      </w:tcPr>
    </w:tblStylePr>
  </w:style>
  <w:style w:type="table" w:styleId="MediumList1">
    <w:name w:val="Medium List 1"/>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82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MediumList1-Accent1">
    <w:name w:val="Medium List 1 Accent 1"/>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AED6FF" w:themeFill="accent1" w:themeFillTint="3F"/>
    </w:tcPr>
    <w:tblStylePr w:type="firstRow">
      <w:rPr>
        <w:rFonts w:asciiTheme="majorHAnsi" w:eastAsiaTheme="majorEastAsia" w:hAnsiTheme="majorHAnsi" w:cstheme="majorBidi"/>
      </w:rPr>
      <w:tblPr/>
      <w:tcPr>
        <w:tcBorders>
          <w:top w:val="nil"/>
          <w:bottom w:val="single" w:sz="8" w:space="0" w:color="005CB9" w:themeColor="accent1"/>
        </w:tcBorders>
      </w:tcPr>
    </w:tblStylePr>
    <w:tblStylePr w:type="lastRow">
      <w:rPr>
        <w:b/>
        <w:bCs/>
        <w:color w:val="111821" w:themeColor="text2"/>
      </w:rPr>
      <w:tblPr/>
      <w:tcPr>
        <w:tcBorders>
          <w:top w:val="single" w:sz="8" w:space="0" w:color="005CB9" w:themeColor="accent1"/>
          <w:bottom w:val="single" w:sz="8" w:space="0" w:color="005CB9" w:themeColor="accent1"/>
        </w:tcBorders>
      </w:tcPr>
    </w:tblStylePr>
    <w:tblStylePr w:type="firstCol">
      <w:rPr>
        <w:b/>
        <w:bCs/>
      </w:rPr>
    </w:tblStylePr>
    <w:tblStylePr w:type="lastCol">
      <w:rPr>
        <w:b/>
        <w:bCs/>
      </w:rPr>
      <w:tblPr/>
      <w:tcPr>
        <w:tcBorders>
          <w:top w:val="single" w:sz="8" w:space="0" w:color="005CB9" w:themeColor="accent1"/>
          <w:bottom w:val="single" w:sz="8" w:space="0" w:color="005CB9" w:themeColor="accent1"/>
        </w:tcBorders>
      </w:tcPr>
    </w:tblStylePr>
    <w:tblStylePr w:type="band1Vert">
      <w:tblPr/>
      <w:tcPr>
        <w:shd w:val="clear" w:color="auto" w:fill="AED6FF" w:themeFill="accent1" w:themeFillTint="3F"/>
      </w:tcPr>
    </w:tblStylePr>
  </w:style>
  <w:style w:type="table" w:styleId="MediumList1-Accent2">
    <w:name w:val="Medium List 1 Accent 2"/>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EEEEEE" w:themeFill="accent2" w:themeFillTint="3F"/>
    </w:tcPr>
    <w:tblStylePr w:type="firstRow">
      <w:rPr>
        <w:rFonts w:asciiTheme="majorHAnsi" w:eastAsiaTheme="majorEastAsia" w:hAnsiTheme="majorHAnsi" w:cstheme="majorBidi"/>
      </w:rPr>
      <w:tblPr/>
      <w:tcPr>
        <w:tcBorders>
          <w:top w:val="nil"/>
          <w:bottom w:val="single" w:sz="8" w:space="0" w:color="BBBBBB" w:themeColor="accent2"/>
        </w:tcBorders>
      </w:tcPr>
    </w:tblStylePr>
    <w:tblStylePr w:type="lastRow">
      <w:rPr>
        <w:b/>
        <w:bCs/>
        <w:color w:val="111821" w:themeColor="text2"/>
      </w:rPr>
      <w:tblPr/>
      <w:tcPr>
        <w:tcBorders>
          <w:top w:val="single" w:sz="8" w:space="0" w:color="BBBBBB" w:themeColor="accent2"/>
          <w:bottom w:val="single" w:sz="8" w:space="0" w:color="BBBBBB" w:themeColor="accent2"/>
        </w:tcBorders>
      </w:tcPr>
    </w:tblStylePr>
    <w:tblStylePr w:type="firstCol">
      <w:rPr>
        <w:b/>
        <w:bCs/>
      </w:rPr>
    </w:tblStylePr>
    <w:tblStylePr w:type="lastCol">
      <w:rPr>
        <w:b/>
        <w:bCs/>
      </w:rPr>
      <w:tblPr/>
      <w:tcPr>
        <w:tcBorders>
          <w:top w:val="single" w:sz="8" w:space="0" w:color="BBBBBB" w:themeColor="accent2"/>
          <w:bottom w:val="single" w:sz="8" w:space="0" w:color="BBBBBB" w:themeColor="accent2"/>
        </w:tcBorders>
      </w:tcPr>
    </w:tblStylePr>
    <w:tblStylePr w:type="band1Vert">
      <w:tblPr/>
      <w:tcPr>
        <w:shd w:val="clear" w:color="auto" w:fill="EEEEEE" w:themeFill="accent2" w:themeFillTint="3F"/>
      </w:tcPr>
    </w:tblStylePr>
  </w:style>
  <w:style w:type="table" w:styleId="MediumList1-Accent3">
    <w:name w:val="Medium List 1 Accent 3"/>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DFEAF6" w:themeFill="accent3" w:themeFillTint="3F"/>
    </w:tcPr>
    <w:tblStylePr w:type="firstRow">
      <w:rPr>
        <w:rFonts w:asciiTheme="majorHAnsi" w:eastAsiaTheme="majorEastAsia" w:hAnsiTheme="majorHAnsi" w:cstheme="majorBidi"/>
      </w:rPr>
      <w:tblPr/>
      <w:tcPr>
        <w:tcBorders>
          <w:top w:val="nil"/>
          <w:bottom w:val="single" w:sz="8" w:space="0" w:color="7FADDC" w:themeColor="accent3"/>
        </w:tcBorders>
      </w:tcPr>
    </w:tblStylePr>
    <w:tblStylePr w:type="lastRow">
      <w:rPr>
        <w:b/>
        <w:bCs/>
        <w:color w:val="111821" w:themeColor="text2"/>
      </w:rPr>
      <w:tblPr/>
      <w:tcPr>
        <w:tcBorders>
          <w:top w:val="single" w:sz="8" w:space="0" w:color="7FADDC" w:themeColor="accent3"/>
          <w:bottom w:val="single" w:sz="8" w:space="0" w:color="7FADDC" w:themeColor="accent3"/>
        </w:tcBorders>
      </w:tcPr>
    </w:tblStylePr>
    <w:tblStylePr w:type="firstCol">
      <w:rPr>
        <w:b/>
        <w:bCs/>
      </w:rPr>
    </w:tblStylePr>
    <w:tblStylePr w:type="lastCol">
      <w:rPr>
        <w:b/>
        <w:bCs/>
      </w:rPr>
      <w:tblPr/>
      <w:tcPr>
        <w:tcBorders>
          <w:top w:val="single" w:sz="8" w:space="0" w:color="7FADDC" w:themeColor="accent3"/>
          <w:bottom w:val="single" w:sz="8" w:space="0" w:color="7FADDC" w:themeColor="accent3"/>
        </w:tcBorders>
      </w:tcPr>
    </w:tblStylePr>
    <w:tblStylePr w:type="band1Vert">
      <w:tblPr/>
      <w:tcPr>
        <w:shd w:val="clear" w:color="auto" w:fill="DFEAF6" w:themeFill="accent3" w:themeFillTint="3F"/>
      </w:tcPr>
    </w:tblStylePr>
  </w:style>
  <w:style w:type="table" w:styleId="MediumList1-Accent4">
    <w:name w:val="Medium List 1 Accent 4"/>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DCDDDE" w:themeFill="accent4" w:themeFillTint="3F"/>
    </w:tcPr>
    <w:tblStylePr w:type="firstRow">
      <w:rPr>
        <w:rFonts w:asciiTheme="majorHAnsi" w:eastAsiaTheme="majorEastAsia" w:hAnsiTheme="majorHAnsi" w:cstheme="majorBidi"/>
      </w:rPr>
      <w:tblPr/>
      <w:tcPr>
        <w:tcBorders>
          <w:top w:val="nil"/>
          <w:bottom w:val="single" w:sz="8" w:space="0" w:color="76777B" w:themeColor="accent4"/>
        </w:tcBorders>
      </w:tcPr>
    </w:tblStylePr>
    <w:tblStylePr w:type="lastRow">
      <w:rPr>
        <w:b/>
        <w:bCs/>
        <w:color w:val="111821" w:themeColor="text2"/>
      </w:rPr>
      <w:tblPr/>
      <w:tcPr>
        <w:tcBorders>
          <w:top w:val="single" w:sz="8" w:space="0" w:color="76777B" w:themeColor="accent4"/>
          <w:bottom w:val="single" w:sz="8" w:space="0" w:color="76777B" w:themeColor="accent4"/>
        </w:tcBorders>
      </w:tcPr>
    </w:tblStylePr>
    <w:tblStylePr w:type="firstCol">
      <w:rPr>
        <w:b/>
        <w:bCs/>
      </w:rPr>
    </w:tblStylePr>
    <w:tblStylePr w:type="lastCol">
      <w:rPr>
        <w:b/>
        <w:bCs/>
      </w:rPr>
      <w:tblPr/>
      <w:tcPr>
        <w:tcBorders>
          <w:top w:val="single" w:sz="8" w:space="0" w:color="76777B" w:themeColor="accent4"/>
          <w:bottom w:val="single" w:sz="8" w:space="0" w:color="76777B" w:themeColor="accent4"/>
        </w:tcBorders>
      </w:tcPr>
    </w:tblStylePr>
    <w:tblStylePr w:type="band1Vert">
      <w:tblPr/>
      <w:tcPr>
        <w:shd w:val="clear" w:color="auto" w:fill="DCDDDE" w:themeFill="accent4" w:themeFillTint="3F"/>
      </w:tcPr>
    </w:tblStylePr>
  </w:style>
  <w:style w:type="table" w:styleId="MediumList1-Accent5">
    <w:name w:val="Medium List 1 Accent 5"/>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B4C3D8" w:themeFill="accent5" w:themeFillTint="3F"/>
    </w:tcPr>
    <w:tblStylePr w:type="firstRow">
      <w:rPr>
        <w:rFonts w:asciiTheme="majorHAnsi" w:eastAsiaTheme="majorEastAsia" w:hAnsiTheme="majorHAnsi" w:cstheme="majorBidi"/>
      </w:rPr>
      <w:tblPr/>
      <w:tcPr>
        <w:tcBorders>
          <w:top w:val="nil"/>
          <w:bottom w:val="single" w:sz="8" w:space="0" w:color="111821" w:themeColor="accent5"/>
        </w:tcBorders>
      </w:tcPr>
    </w:tblStylePr>
    <w:tblStylePr w:type="lastRow">
      <w:rPr>
        <w:b/>
        <w:bCs/>
        <w:color w:val="111821" w:themeColor="text2"/>
      </w:rPr>
      <w:tblPr/>
      <w:tcPr>
        <w:tcBorders>
          <w:top w:val="single" w:sz="8" w:space="0" w:color="111821" w:themeColor="accent5"/>
          <w:bottom w:val="single" w:sz="8" w:space="0" w:color="111821" w:themeColor="accent5"/>
        </w:tcBorders>
      </w:tcPr>
    </w:tblStylePr>
    <w:tblStylePr w:type="firstCol">
      <w:rPr>
        <w:b/>
        <w:bCs/>
      </w:rPr>
    </w:tblStylePr>
    <w:tblStylePr w:type="lastCol">
      <w:rPr>
        <w:b/>
        <w:bCs/>
      </w:rPr>
      <w:tblPr/>
      <w:tcPr>
        <w:tcBorders>
          <w:top w:val="single" w:sz="8" w:space="0" w:color="111821" w:themeColor="accent5"/>
          <w:bottom w:val="single" w:sz="8" w:space="0" w:color="111821" w:themeColor="accent5"/>
        </w:tcBorders>
      </w:tcPr>
    </w:tblStylePr>
    <w:tblStylePr w:type="band1Vert">
      <w:tblPr/>
      <w:tcPr>
        <w:shd w:val="clear" w:color="auto" w:fill="B4C3D8" w:themeFill="accent5" w:themeFillTint="3F"/>
      </w:tcPr>
    </w:tblStylePr>
  </w:style>
  <w:style w:type="table" w:styleId="MediumList1-Accent6">
    <w:name w:val="Medium List 1 Accent 6"/>
    <w:basedOn w:val="TableNormal"/>
    <w:uiPriority w:val="99"/>
    <w:semiHidden/>
    <w:unhideWhenUsed/>
    <w:rsid w:val="00911DE3"/>
    <w:pPr>
      <w:spacing w:line="240" w:lineRule="auto"/>
    </w:pPr>
    <w:rPr>
      <w:color w:val="000000" w:themeColor="text1"/>
    </w:rPr>
    <w:tblPr>
      <w:tblStyleRowBandSize w:val="1"/>
      <w:tblStyleColBandSize w:val="1"/>
    </w:tblPr>
    <w:tcPr>
      <w:shd w:val="clear" w:color="auto" w:fill="EFF4FA" w:themeFill="accent6" w:themeFillTint="3F"/>
    </w:tcPr>
    <w:tblStylePr w:type="firstRow">
      <w:rPr>
        <w:rFonts w:asciiTheme="majorHAnsi" w:eastAsiaTheme="majorEastAsia" w:hAnsiTheme="majorHAnsi" w:cstheme="majorBidi"/>
      </w:rPr>
      <w:tblPr/>
      <w:tcPr>
        <w:tcBorders>
          <w:top w:val="nil"/>
          <w:bottom w:val="single" w:sz="8" w:space="0" w:color="BFD6ED" w:themeColor="accent6"/>
        </w:tcBorders>
      </w:tcPr>
    </w:tblStylePr>
    <w:tblStylePr w:type="lastRow">
      <w:rPr>
        <w:b/>
        <w:bCs/>
        <w:color w:val="111821" w:themeColor="text2"/>
      </w:rPr>
      <w:tblPr/>
      <w:tcPr>
        <w:tcBorders>
          <w:top w:val="single" w:sz="8" w:space="0" w:color="BFD6ED" w:themeColor="accent6"/>
          <w:bottom w:val="single" w:sz="8" w:space="0" w:color="BFD6ED" w:themeColor="accent6"/>
        </w:tcBorders>
      </w:tcPr>
    </w:tblStylePr>
    <w:tblStylePr w:type="firstCol">
      <w:rPr>
        <w:b/>
        <w:bCs/>
      </w:rPr>
    </w:tblStylePr>
    <w:tblStylePr w:type="lastCol">
      <w:rPr>
        <w:b/>
        <w:bCs/>
      </w:rPr>
      <w:tblPr/>
      <w:tcPr>
        <w:tcBorders>
          <w:top w:val="single" w:sz="8" w:space="0" w:color="BFD6ED" w:themeColor="accent6"/>
          <w:bottom w:val="single" w:sz="8" w:space="0" w:color="BFD6ED" w:themeColor="accent6"/>
        </w:tcBorders>
      </w:tcPr>
    </w:tblStylePr>
    <w:tblStylePr w:type="band1Vert">
      <w:tblPr/>
      <w:tcPr>
        <w:shd w:val="clear" w:color="auto" w:fill="EFF4FA" w:themeFill="accent6" w:themeFillTint="3F"/>
      </w:tcPr>
    </w:tblStylePr>
  </w:style>
  <w:style w:type="table" w:styleId="MediumList2">
    <w:name w:val="Medium List 2"/>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CB9" w:themeColor="accent1"/>
        <w:left w:val="single" w:sz="8" w:space="0" w:color="005CB9" w:themeColor="accent1"/>
        <w:bottom w:val="single" w:sz="8" w:space="0" w:color="005CB9" w:themeColor="accent1"/>
        <w:right w:val="single" w:sz="8" w:space="0" w:color="005CB9" w:themeColor="accent1"/>
      </w:tblBorders>
    </w:tblPr>
    <w:tblStylePr w:type="firstRow">
      <w:rPr>
        <w:sz w:val="24"/>
        <w:szCs w:val="24"/>
      </w:rPr>
      <w:tblPr/>
      <w:tcPr>
        <w:tcBorders>
          <w:top w:val="nil"/>
          <w:left w:val="nil"/>
          <w:bottom w:val="single" w:sz="24" w:space="0" w:color="005CB9" w:themeColor="accent1"/>
          <w:right w:val="nil"/>
          <w:insideH w:val="nil"/>
          <w:insideV w:val="nil"/>
        </w:tcBorders>
        <w:shd w:val="clear" w:color="auto" w:fill="FFFFFF" w:themeFill="background1"/>
      </w:tcPr>
    </w:tblStylePr>
    <w:tblStylePr w:type="lastRow">
      <w:tblPr/>
      <w:tcPr>
        <w:tcBorders>
          <w:top w:val="single" w:sz="8" w:space="0" w:color="005CB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CB9" w:themeColor="accent1"/>
          <w:insideH w:val="nil"/>
          <w:insideV w:val="nil"/>
        </w:tcBorders>
        <w:shd w:val="clear" w:color="auto" w:fill="FFFFFF" w:themeFill="background1"/>
      </w:tcPr>
    </w:tblStylePr>
    <w:tblStylePr w:type="lastCol">
      <w:tblPr/>
      <w:tcPr>
        <w:tcBorders>
          <w:top w:val="nil"/>
          <w:left w:val="single" w:sz="8" w:space="0" w:color="005CB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6FF" w:themeFill="accent1" w:themeFillTint="3F"/>
      </w:tcPr>
    </w:tblStylePr>
    <w:tblStylePr w:type="band1Horz">
      <w:tblPr/>
      <w:tcPr>
        <w:tcBorders>
          <w:top w:val="nil"/>
          <w:bottom w:val="nil"/>
          <w:insideH w:val="nil"/>
          <w:insideV w:val="nil"/>
        </w:tcBorders>
        <w:shd w:val="clear" w:color="auto" w:fill="AED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BBBBB" w:themeColor="accent2"/>
        <w:left w:val="single" w:sz="8" w:space="0" w:color="BBBBBB" w:themeColor="accent2"/>
        <w:bottom w:val="single" w:sz="8" w:space="0" w:color="BBBBBB" w:themeColor="accent2"/>
        <w:right w:val="single" w:sz="8" w:space="0" w:color="BBBBBB" w:themeColor="accent2"/>
      </w:tblBorders>
    </w:tblPr>
    <w:tblStylePr w:type="firstRow">
      <w:rPr>
        <w:sz w:val="24"/>
        <w:szCs w:val="24"/>
      </w:rPr>
      <w:tblPr/>
      <w:tcPr>
        <w:tcBorders>
          <w:top w:val="nil"/>
          <w:left w:val="nil"/>
          <w:bottom w:val="single" w:sz="24" w:space="0" w:color="BBBBBB" w:themeColor="accent2"/>
          <w:right w:val="nil"/>
          <w:insideH w:val="nil"/>
          <w:insideV w:val="nil"/>
        </w:tcBorders>
        <w:shd w:val="clear" w:color="auto" w:fill="FFFFFF" w:themeFill="background1"/>
      </w:tcPr>
    </w:tblStylePr>
    <w:tblStylePr w:type="lastRow">
      <w:tblPr/>
      <w:tcPr>
        <w:tcBorders>
          <w:top w:val="single" w:sz="8" w:space="0" w:color="BBBBB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BBBB" w:themeColor="accent2"/>
          <w:insideH w:val="nil"/>
          <w:insideV w:val="nil"/>
        </w:tcBorders>
        <w:shd w:val="clear" w:color="auto" w:fill="FFFFFF" w:themeFill="background1"/>
      </w:tcPr>
    </w:tblStylePr>
    <w:tblStylePr w:type="lastCol">
      <w:tblPr/>
      <w:tcPr>
        <w:tcBorders>
          <w:top w:val="nil"/>
          <w:left w:val="single" w:sz="8" w:space="0" w:color="BBBBB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EEE" w:themeFill="accent2" w:themeFillTint="3F"/>
      </w:tcPr>
    </w:tblStylePr>
    <w:tblStylePr w:type="band1Horz">
      <w:tblPr/>
      <w:tcPr>
        <w:tcBorders>
          <w:top w:val="nil"/>
          <w:bottom w:val="nil"/>
          <w:insideH w:val="nil"/>
          <w:insideV w:val="nil"/>
        </w:tcBorders>
        <w:shd w:val="clear" w:color="auto" w:fill="EEEEE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7FADDC" w:themeColor="accent3"/>
        <w:left w:val="single" w:sz="8" w:space="0" w:color="7FADDC" w:themeColor="accent3"/>
        <w:bottom w:val="single" w:sz="8" w:space="0" w:color="7FADDC" w:themeColor="accent3"/>
        <w:right w:val="single" w:sz="8" w:space="0" w:color="7FADDC" w:themeColor="accent3"/>
      </w:tblBorders>
    </w:tblPr>
    <w:tblStylePr w:type="firstRow">
      <w:rPr>
        <w:sz w:val="24"/>
        <w:szCs w:val="24"/>
      </w:rPr>
      <w:tblPr/>
      <w:tcPr>
        <w:tcBorders>
          <w:top w:val="nil"/>
          <w:left w:val="nil"/>
          <w:bottom w:val="single" w:sz="24" w:space="0" w:color="7FADDC" w:themeColor="accent3"/>
          <w:right w:val="nil"/>
          <w:insideH w:val="nil"/>
          <w:insideV w:val="nil"/>
        </w:tcBorders>
        <w:shd w:val="clear" w:color="auto" w:fill="FFFFFF" w:themeFill="background1"/>
      </w:tcPr>
    </w:tblStylePr>
    <w:tblStylePr w:type="lastRow">
      <w:tblPr/>
      <w:tcPr>
        <w:tcBorders>
          <w:top w:val="single" w:sz="8" w:space="0" w:color="7FADD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ADDC" w:themeColor="accent3"/>
          <w:insideH w:val="nil"/>
          <w:insideV w:val="nil"/>
        </w:tcBorders>
        <w:shd w:val="clear" w:color="auto" w:fill="FFFFFF" w:themeFill="background1"/>
      </w:tcPr>
    </w:tblStylePr>
    <w:tblStylePr w:type="lastCol">
      <w:tblPr/>
      <w:tcPr>
        <w:tcBorders>
          <w:top w:val="nil"/>
          <w:left w:val="single" w:sz="8" w:space="0" w:color="7FADD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AF6" w:themeFill="accent3" w:themeFillTint="3F"/>
      </w:tcPr>
    </w:tblStylePr>
    <w:tblStylePr w:type="band1Horz">
      <w:tblPr/>
      <w:tcPr>
        <w:tcBorders>
          <w:top w:val="nil"/>
          <w:bottom w:val="nil"/>
          <w:insideH w:val="nil"/>
          <w:insideV w:val="nil"/>
        </w:tcBorders>
        <w:shd w:val="clear" w:color="auto" w:fill="DFE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76777B" w:themeColor="accent4"/>
        <w:left w:val="single" w:sz="8" w:space="0" w:color="76777B" w:themeColor="accent4"/>
        <w:bottom w:val="single" w:sz="8" w:space="0" w:color="76777B" w:themeColor="accent4"/>
        <w:right w:val="single" w:sz="8" w:space="0" w:color="76777B" w:themeColor="accent4"/>
      </w:tblBorders>
    </w:tblPr>
    <w:tblStylePr w:type="firstRow">
      <w:rPr>
        <w:sz w:val="24"/>
        <w:szCs w:val="24"/>
      </w:rPr>
      <w:tblPr/>
      <w:tcPr>
        <w:tcBorders>
          <w:top w:val="nil"/>
          <w:left w:val="nil"/>
          <w:bottom w:val="single" w:sz="24" w:space="0" w:color="76777B" w:themeColor="accent4"/>
          <w:right w:val="nil"/>
          <w:insideH w:val="nil"/>
          <w:insideV w:val="nil"/>
        </w:tcBorders>
        <w:shd w:val="clear" w:color="auto" w:fill="FFFFFF" w:themeFill="background1"/>
      </w:tcPr>
    </w:tblStylePr>
    <w:tblStylePr w:type="lastRow">
      <w:tblPr/>
      <w:tcPr>
        <w:tcBorders>
          <w:top w:val="single" w:sz="8" w:space="0" w:color="76777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6777B" w:themeColor="accent4"/>
          <w:insideH w:val="nil"/>
          <w:insideV w:val="nil"/>
        </w:tcBorders>
        <w:shd w:val="clear" w:color="auto" w:fill="FFFFFF" w:themeFill="background1"/>
      </w:tcPr>
    </w:tblStylePr>
    <w:tblStylePr w:type="lastCol">
      <w:tblPr/>
      <w:tcPr>
        <w:tcBorders>
          <w:top w:val="nil"/>
          <w:left w:val="single" w:sz="8" w:space="0" w:color="76777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DDE" w:themeFill="accent4" w:themeFillTint="3F"/>
      </w:tcPr>
    </w:tblStylePr>
    <w:tblStylePr w:type="band1Horz">
      <w:tblPr/>
      <w:tcPr>
        <w:tcBorders>
          <w:top w:val="nil"/>
          <w:bottom w:val="nil"/>
          <w:insideH w:val="nil"/>
          <w:insideV w:val="nil"/>
        </w:tcBorders>
        <w:shd w:val="clear" w:color="auto" w:fill="DCDD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111821" w:themeColor="accent5"/>
        <w:left w:val="single" w:sz="8" w:space="0" w:color="111821" w:themeColor="accent5"/>
        <w:bottom w:val="single" w:sz="8" w:space="0" w:color="111821" w:themeColor="accent5"/>
        <w:right w:val="single" w:sz="8" w:space="0" w:color="111821" w:themeColor="accent5"/>
      </w:tblBorders>
    </w:tblPr>
    <w:tblStylePr w:type="firstRow">
      <w:rPr>
        <w:sz w:val="24"/>
        <w:szCs w:val="24"/>
      </w:rPr>
      <w:tblPr/>
      <w:tcPr>
        <w:tcBorders>
          <w:top w:val="nil"/>
          <w:left w:val="nil"/>
          <w:bottom w:val="single" w:sz="24" w:space="0" w:color="111821" w:themeColor="accent5"/>
          <w:right w:val="nil"/>
          <w:insideH w:val="nil"/>
          <w:insideV w:val="nil"/>
        </w:tcBorders>
        <w:shd w:val="clear" w:color="auto" w:fill="FFFFFF" w:themeFill="background1"/>
      </w:tcPr>
    </w:tblStylePr>
    <w:tblStylePr w:type="lastRow">
      <w:tblPr/>
      <w:tcPr>
        <w:tcBorders>
          <w:top w:val="single" w:sz="8" w:space="0" w:color="11182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1821" w:themeColor="accent5"/>
          <w:insideH w:val="nil"/>
          <w:insideV w:val="nil"/>
        </w:tcBorders>
        <w:shd w:val="clear" w:color="auto" w:fill="FFFFFF" w:themeFill="background1"/>
      </w:tcPr>
    </w:tblStylePr>
    <w:tblStylePr w:type="lastCol">
      <w:tblPr/>
      <w:tcPr>
        <w:tcBorders>
          <w:top w:val="nil"/>
          <w:left w:val="single" w:sz="8" w:space="0" w:color="11182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3D8" w:themeFill="accent5" w:themeFillTint="3F"/>
      </w:tcPr>
    </w:tblStylePr>
    <w:tblStylePr w:type="band1Horz">
      <w:tblPr/>
      <w:tcPr>
        <w:tcBorders>
          <w:top w:val="nil"/>
          <w:bottom w:val="nil"/>
          <w:insideH w:val="nil"/>
          <w:insideV w:val="nil"/>
        </w:tcBorders>
        <w:shd w:val="clear" w:color="auto" w:fill="B4C3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FD6ED" w:themeColor="accent6"/>
        <w:left w:val="single" w:sz="8" w:space="0" w:color="BFD6ED" w:themeColor="accent6"/>
        <w:bottom w:val="single" w:sz="8" w:space="0" w:color="BFD6ED" w:themeColor="accent6"/>
        <w:right w:val="single" w:sz="8" w:space="0" w:color="BFD6ED" w:themeColor="accent6"/>
      </w:tblBorders>
    </w:tblPr>
    <w:tblStylePr w:type="firstRow">
      <w:rPr>
        <w:sz w:val="24"/>
        <w:szCs w:val="24"/>
      </w:rPr>
      <w:tblPr/>
      <w:tcPr>
        <w:tcBorders>
          <w:top w:val="nil"/>
          <w:left w:val="nil"/>
          <w:bottom w:val="single" w:sz="24" w:space="0" w:color="BFD6ED" w:themeColor="accent6"/>
          <w:right w:val="nil"/>
          <w:insideH w:val="nil"/>
          <w:insideV w:val="nil"/>
        </w:tcBorders>
        <w:shd w:val="clear" w:color="auto" w:fill="FFFFFF" w:themeFill="background1"/>
      </w:tcPr>
    </w:tblStylePr>
    <w:tblStylePr w:type="lastRow">
      <w:tblPr/>
      <w:tcPr>
        <w:tcBorders>
          <w:top w:val="single" w:sz="8" w:space="0" w:color="BFD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D6ED" w:themeColor="accent6"/>
          <w:insideH w:val="nil"/>
          <w:insideV w:val="nil"/>
        </w:tcBorders>
        <w:shd w:val="clear" w:color="auto" w:fill="FFFFFF" w:themeFill="background1"/>
      </w:tcPr>
    </w:tblStylePr>
    <w:tblStylePr w:type="lastCol">
      <w:tblPr/>
      <w:tcPr>
        <w:tcBorders>
          <w:top w:val="nil"/>
          <w:left w:val="single" w:sz="8" w:space="0" w:color="BFD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4FA" w:themeFill="accent6" w:themeFillTint="3F"/>
      </w:tcPr>
    </w:tblStylePr>
    <w:tblStylePr w:type="band1Horz">
      <w:tblPr/>
      <w:tcPr>
        <w:tcBorders>
          <w:top w:val="nil"/>
          <w:bottom w:val="nil"/>
          <w:insideH w:val="nil"/>
          <w:insideV w:val="nil"/>
        </w:tcBorders>
        <w:shd w:val="clear" w:color="auto" w:fill="EFF4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911DE3"/>
    <w:pPr>
      <w:spacing w:line="240" w:lineRule="auto"/>
    </w:pPr>
    <w:tblPr>
      <w:tblStyleRowBandSize w:val="1"/>
      <w:tblStyleColBandSize w:val="1"/>
    </w:tblPr>
    <w:tcPr>
      <w:tcBorders>
        <w:left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99"/>
    <w:semiHidden/>
    <w:unhideWhenUsed/>
    <w:rsid w:val="00911DE3"/>
    <w:pPr>
      <w:spacing w:line="240" w:lineRule="auto"/>
    </w:pPr>
    <w:tblPr>
      <w:tblStyleRowBandSize w:val="1"/>
      <w:tblStyleColBandSize w:val="1"/>
    </w:tblPr>
    <w:tcPr>
      <w:tcBorders>
        <w:left w:val="single" w:sz="8" w:space="0" w:color="0B83FF" w:themeColor="accent1" w:themeTint="BF"/>
        <w:right w:val="single" w:sz="8" w:space="0" w:color="0B83FF" w:themeColor="accent1" w:themeTint="BF"/>
      </w:tcBorders>
      <w:shd w:val="clear" w:color="auto" w:fill="AED6FF"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99"/>
    <w:semiHidden/>
    <w:unhideWhenUsed/>
    <w:rsid w:val="00911DE3"/>
    <w:pPr>
      <w:spacing w:line="240" w:lineRule="auto"/>
    </w:pPr>
    <w:tblPr>
      <w:tblStyleRowBandSize w:val="1"/>
      <w:tblStyleColBandSize w:val="1"/>
    </w:tblPr>
    <w:tcPr>
      <w:tcBorders>
        <w:left w:val="single" w:sz="8" w:space="0" w:color="CCCCCC" w:themeColor="accent2" w:themeTint="BF"/>
        <w:right w:val="single" w:sz="8" w:space="0" w:color="CCCCCC" w:themeColor="accent2" w:themeTint="BF"/>
      </w:tcBorders>
      <w:shd w:val="clear" w:color="auto" w:fill="EEEEEE" w:themeFill="accent2"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99"/>
    <w:semiHidden/>
    <w:unhideWhenUsed/>
    <w:rsid w:val="00911DE3"/>
    <w:pPr>
      <w:spacing w:line="240" w:lineRule="auto"/>
    </w:pPr>
    <w:tblPr>
      <w:tblStyleRowBandSize w:val="1"/>
      <w:tblStyleColBandSize w:val="1"/>
    </w:tblPr>
    <w:tcPr>
      <w:tcBorders>
        <w:left w:val="single" w:sz="8" w:space="0" w:color="9EC1E4" w:themeColor="accent3" w:themeTint="BF"/>
        <w:right w:val="single" w:sz="8" w:space="0" w:color="9EC1E4" w:themeColor="accent3" w:themeTint="BF"/>
      </w:tcBorders>
      <w:shd w:val="clear" w:color="auto" w:fill="DFEAF6" w:themeFill="accent3"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99"/>
    <w:semiHidden/>
    <w:unhideWhenUsed/>
    <w:rsid w:val="00911DE3"/>
    <w:pPr>
      <w:spacing w:line="240" w:lineRule="auto"/>
    </w:pPr>
    <w:tblPr>
      <w:tblStyleRowBandSize w:val="1"/>
      <w:tblStyleColBandSize w:val="1"/>
    </w:tblPr>
    <w:tcPr>
      <w:tcBorders>
        <w:left w:val="single" w:sz="8" w:space="0" w:color="98989C" w:themeColor="accent4" w:themeTint="BF"/>
        <w:right w:val="single" w:sz="8" w:space="0" w:color="98989C" w:themeColor="accent4" w:themeTint="BF"/>
      </w:tcBorders>
      <w:shd w:val="clear" w:color="auto" w:fill="DCDDDE" w:themeFill="accent4"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99"/>
    <w:semiHidden/>
    <w:unhideWhenUsed/>
    <w:rsid w:val="00911DE3"/>
    <w:pPr>
      <w:spacing w:line="240" w:lineRule="auto"/>
    </w:pPr>
    <w:tblPr>
      <w:tblStyleRowBandSize w:val="1"/>
      <w:tblStyleColBandSize w:val="1"/>
    </w:tblPr>
    <w:tcPr>
      <w:tcBorders>
        <w:left w:val="single" w:sz="8" w:space="0" w:color="384F6D" w:themeColor="accent5" w:themeTint="BF"/>
        <w:right w:val="single" w:sz="8" w:space="0" w:color="384F6D" w:themeColor="accent5" w:themeTint="BF"/>
      </w:tcBorders>
      <w:shd w:val="clear" w:color="auto" w:fill="B4C3D8" w:themeFill="accent5"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99"/>
    <w:semiHidden/>
    <w:unhideWhenUsed/>
    <w:rsid w:val="00911DE3"/>
    <w:pPr>
      <w:spacing w:line="240" w:lineRule="auto"/>
    </w:pPr>
    <w:tblPr>
      <w:tblStyleRowBandSize w:val="1"/>
      <w:tblStyleColBandSize w:val="1"/>
    </w:tblPr>
    <w:tcPr>
      <w:tcBorders>
        <w:left w:val="single" w:sz="8" w:space="0" w:color="CEE0F1" w:themeColor="accent6" w:themeTint="BF"/>
        <w:right w:val="single" w:sz="8" w:space="0" w:color="CEE0F1" w:themeColor="accent6" w:themeTint="BF"/>
      </w:tcBorders>
      <w:shd w:val="clear" w:color="auto" w:fill="EFF4FA" w:themeFill="accent6"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CB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CB9" w:themeFill="accent1"/>
      </w:tcPr>
    </w:tblStylePr>
    <w:tblStylePr w:type="lastCol">
      <w:rPr>
        <w:b/>
        <w:bCs/>
        <w:color w:val="FFFFFF" w:themeColor="background1"/>
      </w:rPr>
      <w:tblPr/>
      <w:tcPr>
        <w:tcBorders>
          <w:left w:val="nil"/>
          <w:right w:val="nil"/>
          <w:insideH w:val="nil"/>
          <w:insideV w:val="nil"/>
        </w:tcBorders>
        <w:shd w:val="clear" w:color="auto" w:fill="005CB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BBB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BBBBB" w:themeFill="accent2"/>
      </w:tcPr>
    </w:tblStylePr>
    <w:tblStylePr w:type="lastCol">
      <w:rPr>
        <w:b/>
        <w:bCs/>
        <w:color w:val="FFFFFF" w:themeColor="background1"/>
      </w:rPr>
      <w:tblPr/>
      <w:tcPr>
        <w:tcBorders>
          <w:left w:val="nil"/>
          <w:right w:val="nil"/>
          <w:insideH w:val="nil"/>
          <w:insideV w:val="nil"/>
        </w:tcBorders>
        <w:shd w:val="clear" w:color="auto" w:fill="BBBBB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ADD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ADDC" w:themeFill="accent3"/>
      </w:tcPr>
    </w:tblStylePr>
    <w:tblStylePr w:type="lastCol">
      <w:rPr>
        <w:b/>
        <w:bCs/>
        <w:color w:val="FFFFFF" w:themeColor="background1"/>
      </w:rPr>
      <w:tblPr/>
      <w:tcPr>
        <w:tcBorders>
          <w:left w:val="nil"/>
          <w:right w:val="nil"/>
          <w:insideH w:val="nil"/>
          <w:insideV w:val="nil"/>
        </w:tcBorders>
        <w:shd w:val="clear" w:color="auto" w:fill="7FADD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6777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6777B" w:themeFill="accent4"/>
      </w:tcPr>
    </w:tblStylePr>
    <w:tblStylePr w:type="lastCol">
      <w:rPr>
        <w:b/>
        <w:bCs/>
        <w:color w:val="FFFFFF" w:themeColor="background1"/>
      </w:rPr>
      <w:tblPr/>
      <w:tcPr>
        <w:tcBorders>
          <w:left w:val="nil"/>
          <w:right w:val="nil"/>
          <w:insideH w:val="nil"/>
          <w:insideV w:val="nil"/>
        </w:tcBorders>
        <w:shd w:val="clear" w:color="auto" w:fill="76777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182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1821" w:themeFill="accent5"/>
      </w:tcPr>
    </w:tblStylePr>
    <w:tblStylePr w:type="lastCol">
      <w:rPr>
        <w:b/>
        <w:bCs/>
        <w:color w:val="FFFFFF" w:themeColor="background1"/>
      </w:rPr>
      <w:tblPr/>
      <w:tcPr>
        <w:tcBorders>
          <w:left w:val="nil"/>
          <w:right w:val="nil"/>
          <w:insideH w:val="nil"/>
          <w:insideV w:val="nil"/>
        </w:tcBorders>
        <w:shd w:val="clear" w:color="auto" w:fill="11182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D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D6ED" w:themeFill="accent6"/>
      </w:tcPr>
    </w:tblStylePr>
    <w:tblStylePr w:type="lastCol">
      <w:rPr>
        <w:b/>
        <w:bCs/>
        <w:color w:val="FFFFFF" w:themeColor="background1"/>
      </w:rPr>
      <w:tblPr/>
      <w:tcPr>
        <w:tcBorders>
          <w:left w:val="nil"/>
          <w:right w:val="nil"/>
          <w:insideH w:val="nil"/>
          <w:insideV w:val="nil"/>
        </w:tcBorders>
        <w:shd w:val="clear" w:color="auto" w:fill="BFD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11DE3"/>
    <w:rPr>
      <w:color w:val="2B579A"/>
      <w:shd w:val="clear" w:color="auto" w:fill="E1DFDD"/>
    </w:rPr>
  </w:style>
  <w:style w:type="paragraph" w:styleId="MessageHeader">
    <w:name w:val="Message Header"/>
    <w:basedOn w:val="Normal"/>
    <w:link w:val="MessageHeaderChar"/>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rPr>
  </w:style>
  <w:style w:type="character" w:customStyle="1" w:styleId="MessageHeaderChar">
    <w:name w:val="Message Header Char"/>
    <w:basedOn w:val="DefaultParagraphFont"/>
    <w:link w:val="MessageHeader"/>
    <w:uiPriority w:val="99"/>
    <w:semiHidden/>
    <w:rsid w:val="00A44986"/>
    <w:rPr>
      <w:rFonts w:eastAsiaTheme="majorEastAsia" w:cs="Arial"/>
      <w:shd w:val="pct20" w:color="auto" w:fill="auto"/>
    </w:rPr>
  </w:style>
  <w:style w:type="paragraph" w:styleId="NoSpacing">
    <w:name w:val="No Spacing"/>
    <w:uiPriority w:val="1"/>
    <w:qFormat/>
    <w:rsid w:val="00060821"/>
    <w:pPr>
      <w:spacing w:after="0" w:line="240" w:lineRule="auto"/>
    </w:pPr>
  </w:style>
  <w:style w:type="paragraph" w:styleId="NormalWeb">
    <w:name w:val="Normal (Web)"/>
    <w:basedOn w:val="Normal"/>
    <w:uiPriority w:val="99"/>
    <w:semiHidden/>
    <w:rsid w:val="00911DE3"/>
    <w:rPr>
      <w:rFonts w:cs="Arial"/>
    </w:rPr>
  </w:style>
  <w:style w:type="paragraph" w:styleId="NormalIndent">
    <w:name w:val="Normal Indent"/>
    <w:basedOn w:val="Normal"/>
    <w:semiHidden/>
    <w:rsid w:val="00757937"/>
    <w:pPr>
      <w:ind w:left="284"/>
    </w:pPr>
  </w:style>
  <w:style w:type="paragraph" w:styleId="NoteHeading">
    <w:name w:val="Note Heading"/>
    <w:basedOn w:val="Normal"/>
    <w:next w:val="Normal"/>
    <w:link w:val="NoteHeadingChar"/>
    <w:uiPriority w:val="99"/>
    <w:semiHidden/>
    <w:rsid w:val="00911DE3"/>
    <w:pPr>
      <w:spacing w:line="240" w:lineRule="auto"/>
    </w:pPr>
  </w:style>
  <w:style w:type="character" w:customStyle="1" w:styleId="NoteHeadingChar">
    <w:name w:val="Note Heading Char"/>
    <w:basedOn w:val="DefaultParagraphFont"/>
    <w:link w:val="NoteHeading"/>
    <w:uiPriority w:val="99"/>
    <w:semiHidden/>
    <w:rsid w:val="00A44986"/>
  </w:style>
  <w:style w:type="character" w:styleId="PageNumber">
    <w:name w:val="page number"/>
    <w:basedOn w:val="DefaultParagraphFont"/>
    <w:uiPriority w:val="99"/>
    <w:semiHidden/>
    <w:rsid w:val="00911DE3"/>
  </w:style>
  <w:style w:type="character" w:styleId="PlaceholderText">
    <w:name w:val="Placeholder Text"/>
    <w:basedOn w:val="DefaultParagraphFont"/>
    <w:uiPriority w:val="99"/>
    <w:semiHidden/>
    <w:rsid w:val="00911DE3"/>
    <w:rPr>
      <w:color w:val="808080"/>
    </w:rPr>
  </w:style>
  <w:style w:type="table" w:styleId="PlainTable1">
    <w:name w:val="Plain Table 1"/>
    <w:basedOn w:val="TableNormal"/>
    <w:uiPriority w:val="99"/>
    <w:rsid w:val="00911DE3"/>
    <w:pPr>
      <w:spacing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PlainTable2">
    <w:name w:val="Plain Table 2"/>
    <w:basedOn w:val="Table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911DE3"/>
    <w:pPr>
      <w:spacing w:line="240" w:lineRule="auto"/>
    </w:pPr>
    <w:tbl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PlainTable4">
    <w:name w:val="Plain Table 4"/>
    <w:basedOn w:val="TableNormal"/>
    <w:uiPriority w:val="99"/>
    <w:rsid w:val="00911DE3"/>
    <w:pPr>
      <w:spacing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PlainTable5">
    <w:name w:val="Plain Table 5"/>
    <w:basedOn w:val="TableNormal"/>
    <w:uiPriority w:val="99"/>
    <w:rsid w:val="00911DE3"/>
    <w:pPr>
      <w:spacing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11DE3"/>
    <w:pPr>
      <w:spacing w:line="240" w:lineRule="auto"/>
    </w:pPr>
    <w:rPr>
      <w:rFonts w:cs="Arial"/>
      <w:sz w:val="21"/>
      <w:szCs w:val="21"/>
    </w:rPr>
  </w:style>
  <w:style w:type="character" w:customStyle="1" w:styleId="PlainTextChar">
    <w:name w:val="Plain Text Char"/>
    <w:basedOn w:val="DefaultParagraphFont"/>
    <w:link w:val="PlainText"/>
    <w:uiPriority w:val="99"/>
    <w:semiHidden/>
    <w:rsid w:val="00A44986"/>
    <w:rPr>
      <w:rFonts w:cs="Arial"/>
      <w:sz w:val="21"/>
      <w:szCs w:val="21"/>
    </w:rPr>
  </w:style>
  <w:style w:type="paragraph" w:styleId="Quote">
    <w:name w:val="Quote"/>
    <w:basedOn w:val="Normal"/>
    <w:next w:val="Normal"/>
    <w:link w:val="QuoteChar"/>
    <w:uiPriority w:val="29"/>
    <w:qFormat/>
    <w:rsid w:val="00060821"/>
    <w:pPr>
      <w:spacing w:before="160"/>
      <w:jc w:val="center"/>
    </w:pPr>
    <w:rPr>
      <w:i/>
      <w:iCs/>
      <w:color w:val="404040" w:themeColor="text1" w:themeTint="BF"/>
    </w:rPr>
  </w:style>
  <w:style w:type="character" w:customStyle="1" w:styleId="QuoteChar">
    <w:name w:val="Quote Char"/>
    <w:basedOn w:val="DefaultParagraphFont"/>
    <w:link w:val="Quote"/>
    <w:uiPriority w:val="29"/>
    <w:rsid w:val="00060821"/>
    <w:rPr>
      <w:i/>
      <w:iCs/>
      <w:color w:val="404040" w:themeColor="text1" w:themeTint="BF"/>
    </w:rPr>
  </w:style>
  <w:style w:type="paragraph" w:styleId="Salutation">
    <w:name w:val="Salutation"/>
    <w:basedOn w:val="Normal"/>
    <w:next w:val="Normal"/>
    <w:link w:val="SalutationChar"/>
    <w:uiPriority w:val="99"/>
    <w:semiHidden/>
    <w:rsid w:val="00911DE3"/>
  </w:style>
  <w:style w:type="character" w:customStyle="1" w:styleId="SalutationChar">
    <w:name w:val="Salutation Char"/>
    <w:basedOn w:val="DefaultParagraphFont"/>
    <w:link w:val="Salutation"/>
    <w:uiPriority w:val="99"/>
    <w:semiHidden/>
    <w:rsid w:val="00A44986"/>
  </w:style>
  <w:style w:type="paragraph" w:styleId="Signature">
    <w:name w:val="Signature"/>
    <w:basedOn w:val="Normal"/>
    <w:link w:val="SignatureChar"/>
    <w:uiPriority w:val="99"/>
    <w:semiHidden/>
    <w:rsid w:val="00911DE3"/>
    <w:pPr>
      <w:spacing w:line="240" w:lineRule="auto"/>
      <w:ind w:left="4252"/>
    </w:pPr>
  </w:style>
  <w:style w:type="character" w:customStyle="1" w:styleId="SignatureChar">
    <w:name w:val="Signature Char"/>
    <w:basedOn w:val="DefaultParagraphFont"/>
    <w:link w:val="Signature"/>
    <w:uiPriority w:val="99"/>
    <w:semiHidden/>
    <w:rsid w:val="00A44986"/>
  </w:style>
  <w:style w:type="character" w:styleId="SmartHyperlink">
    <w:name w:val="Smart Hyperlink"/>
    <w:basedOn w:val="DefaultParagraphFont"/>
    <w:uiPriority w:val="99"/>
    <w:semiHidden/>
    <w:rsid w:val="00911DE3"/>
    <w:rPr>
      <w:u w:val="dotted"/>
    </w:rPr>
  </w:style>
  <w:style w:type="character" w:styleId="SmartLink">
    <w:name w:val="Smart Link"/>
    <w:basedOn w:val="DefaultParagraphFont"/>
    <w:uiPriority w:val="99"/>
    <w:semiHidden/>
    <w:rsid w:val="00911DE3"/>
    <w:rPr>
      <w:color w:val="0000FF"/>
      <w:u w:val="single"/>
      <w:shd w:val="clear" w:color="auto" w:fill="F3F2F1"/>
    </w:rPr>
  </w:style>
  <w:style w:type="character" w:styleId="Strong">
    <w:name w:val="Strong"/>
    <w:basedOn w:val="DefaultParagraphFont"/>
    <w:uiPriority w:val="22"/>
    <w:qFormat/>
    <w:rsid w:val="00060821"/>
    <w:rPr>
      <w:b/>
      <w:bCs/>
    </w:rPr>
  </w:style>
  <w:style w:type="paragraph" w:styleId="Subtitle">
    <w:name w:val="Subtitle"/>
    <w:basedOn w:val="Normal"/>
    <w:next w:val="Normal"/>
    <w:link w:val="SubtitleChar"/>
    <w:uiPriority w:val="11"/>
    <w:qFormat/>
    <w:rsid w:val="00060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821"/>
    <w:rPr>
      <w:rFonts w:eastAsiaTheme="majorEastAsia" w:cstheme="majorBidi"/>
      <w:color w:val="595959" w:themeColor="text1" w:themeTint="A6"/>
      <w:spacing w:val="15"/>
      <w:sz w:val="28"/>
      <w:szCs w:val="28"/>
    </w:rPr>
  </w:style>
  <w:style w:type="character" w:styleId="SubtleEmphasis">
    <w:name w:val="Subtle Emphasis"/>
    <w:basedOn w:val="DefaultParagraphFont"/>
    <w:uiPriority w:val="19"/>
    <w:qFormat/>
    <w:rsid w:val="00060821"/>
    <w:rPr>
      <w:i/>
      <w:iCs/>
      <w:color w:val="404040" w:themeColor="text1" w:themeTint="BF"/>
    </w:rPr>
  </w:style>
  <w:style w:type="character" w:styleId="SubtleReference">
    <w:name w:val="Subtle Reference"/>
    <w:basedOn w:val="DefaultParagraphFont"/>
    <w:uiPriority w:val="31"/>
    <w:qFormat/>
    <w:rsid w:val="00060821"/>
    <w:rPr>
      <w:smallCaps/>
      <w:color w:val="5A5A5A" w:themeColor="text1" w:themeTint="A5"/>
    </w:rPr>
  </w:style>
  <w:style w:type="table" w:styleId="Table3Deffects1">
    <w:name w:val="Table 3D effects 1"/>
    <w:basedOn w:val="TableNormal"/>
    <w:uiPriority w:val="99"/>
    <w:semiHidden/>
    <w:unhideWhenUsed/>
    <w:rsid w:val="00911DE3"/>
    <w:tblPr/>
    <w:tblStylePr w:type="firstRow">
      <w:rPr>
        <w:b/>
        <w:bCs/>
        <w:color w:val="800080"/>
      </w:rPr>
    </w:tblStylePr>
    <w:tblStylePr w:type="firstCol">
      <w:rPr>
        <w:b/>
        <w:bCs/>
      </w:rPr>
    </w:tblStylePr>
    <w:tblStylePr w:type="swCell">
      <w:rPr>
        <w:color w:val="000080"/>
      </w:rPr>
    </w:tblStylePr>
  </w:style>
  <w:style w:type="table" w:styleId="Table3Deffects2">
    <w:name w:val="Table 3D effects 2"/>
    <w:basedOn w:val="TableNormal"/>
    <w:uiPriority w:val="99"/>
    <w:semiHidden/>
    <w:unhideWhenUsed/>
    <w:rsid w:val="00911DE3"/>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1DE3"/>
    <w:tblPr>
      <w:tblStyleRowBandSize w:val="1"/>
      <w:tblStyleColBandSize w:val="1"/>
    </w:tblPr>
    <w:tcPr>
      <w:tcBorders>
        <w:bottom w:val="single" w:sz="6" w:space="0" w:color="FFFFFF"/>
      </w:tcBorders>
      <w:shd w:val="pct50"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1DE3"/>
    <w:tblPr/>
    <w:tcPr>
      <w:tcBorders>
        <w:bottom w:val="single" w:sz="6" w:space="0" w:color="000000"/>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1DE3"/>
    <w:rPr>
      <w:color w:val="000080"/>
    </w:rPr>
    <w:tbl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911DE3"/>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11DE3"/>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11DE3"/>
    <w:tblPr/>
    <w:tblStylePr w:type="nwCell">
      <w:rPr>
        <w:b/>
        <w:bCs/>
        <w:color w:val="FFFFFF"/>
      </w:rPr>
    </w:tblStylePr>
  </w:style>
  <w:style w:type="table" w:styleId="TableColumns1">
    <w:name w:val="Table Columns 1"/>
    <w:basedOn w:val="Table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1DE3"/>
    <w:rPr>
      <w:b/>
      <w:bCs/>
    </w:rPr>
    <w:tblPr>
      <w:tblStyleColBandSize w:val="1"/>
    </w:tblPr>
    <w:tcPr>
      <w:shd w:val="pct25" w:color="00FF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1DE3"/>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911DE3"/>
    <w:tblPr/>
    <w:tblStylePr w:type="firstRow">
      <w:rPr>
        <w:color w:val="FFFFFF"/>
      </w:r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911DE3"/>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911DE3"/>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911DE3"/>
    <w:tblPr/>
    <w:tblStylePr w:type="firstRow">
      <w:rPr>
        <w:caps/>
        <w:color w:val="auto"/>
      </w:rPr>
    </w:tblStylePr>
  </w:style>
  <w:style w:type="table" w:styleId="TableGrid">
    <w:name w:val="Table Grid"/>
    <w:basedOn w:val="TableNormal"/>
    <w:uiPriority w:val="99"/>
    <w:rsid w:val="00911DE3"/>
    <w:pPr>
      <w:spacing w:line="240" w:lineRule="auto"/>
    </w:pPr>
    <w:tblPr/>
  </w:style>
  <w:style w:type="table" w:styleId="TableGrid1">
    <w:name w:val="Table Grid 1"/>
    <w:basedOn w:val="TableNormal"/>
    <w:uiPriority w:val="99"/>
    <w:semiHidden/>
    <w:unhideWhenUsed/>
    <w:rsid w:val="00911DE3"/>
    <w:tblPr/>
    <w:tblStylePr w:type="lastRow">
      <w:rPr>
        <w:i/>
        <w:iCs/>
      </w:rPr>
    </w:tblStylePr>
    <w:tblStylePr w:type="lastCol">
      <w:rPr>
        <w:i/>
        <w:iCs/>
      </w:rPr>
    </w:tblStylePr>
  </w:style>
  <w:style w:type="table" w:styleId="TableGrid2">
    <w:name w:val="Table Grid 2"/>
    <w:basedOn w:val="TableNormal"/>
    <w:uiPriority w:val="99"/>
    <w:semiHidden/>
    <w:unhideWhenUsed/>
    <w:rsid w:val="00911DE3"/>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911DE3"/>
    <w:tblPr/>
    <w:tblStylePr w:type="lastRow">
      <w:rPr>
        <w:b/>
        <w:bCs/>
      </w:rPr>
    </w:tblStylePr>
    <w:tblStylePr w:type="lastCol">
      <w:rPr>
        <w:b/>
        <w:bCs/>
      </w:rPr>
    </w:tblStylePr>
  </w:style>
  <w:style w:type="table" w:styleId="TableGrid4">
    <w:name w:val="Table Grid 4"/>
    <w:basedOn w:val="TableNormal"/>
    <w:uiPriority w:val="99"/>
    <w:semiHidden/>
    <w:unhideWhenUsed/>
    <w:rsid w:val="00911DE3"/>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911DE3"/>
    <w:tblPr/>
    <w:tblStylePr w:type="lastRow">
      <w:rPr>
        <w:b/>
        <w:bCs/>
      </w:rPr>
    </w:tblStylePr>
    <w:tblStylePr w:type="lastCol">
      <w:rPr>
        <w:b/>
        <w:bCs/>
      </w:rPr>
    </w:tblStylePr>
  </w:style>
  <w:style w:type="table" w:styleId="TableGrid6">
    <w:name w:val="Table Grid 6"/>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911DE3"/>
    <w:pPr>
      <w:spacing w:line="240" w:lineRule="auto"/>
    </w:pPr>
    <w:tblPr/>
  </w:style>
  <w:style w:type="table" w:styleId="TableList1">
    <w:name w:val="Table List 1"/>
    <w:basedOn w:val="TableNormal"/>
    <w:uiPriority w:val="99"/>
    <w:semiHidden/>
    <w:unhideWhenUsed/>
    <w:rsid w:val="00911DE3"/>
    <w:tblPr/>
    <w:tblStylePr w:type="firstRow">
      <w:rPr>
        <w:b/>
        <w:bCs/>
        <w:i/>
        <w:iCs/>
        <w:color w:val="800000"/>
      </w:rPr>
    </w:tblStylePr>
    <w:tblStylePr w:type="band1Horz">
      <w:rPr>
        <w:color w:val="auto"/>
      </w:r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11DE3"/>
    <w:tblPr/>
    <w:tblStylePr w:type="firstRow">
      <w:rPr>
        <w:b/>
        <w:bCs/>
        <w:color w:val="FFFFFF"/>
      </w:rPr>
    </w:tblStylePr>
    <w:tblStylePr w:type="band1Horz">
      <w:rPr>
        <w:color w:val="auto"/>
      </w:r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1DE3"/>
    <w:tblPr/>
    <w:tblStylePr w:type="firstRow">
      <w:rPr>
        <w:b/>
        <w:bCs/>
        <w:color w:val="FFFFFF"/>
      </w:rPr>
    </w:tblStylePr>
  </w:style>
  <w:style w:type="table" w:styleId="TableList5">
    <w:name w:val="Table List 5"/>
    <w:basedOn w:val="TableNormal"/>
    <w:uiPriority w:val="99"/>
    <w:semiHidden/>
    <w:unhideWhenUsed/>
    <w:rsid w:val="00911DE3"/>
    <w:tblPr/>
    <w:tblStylePr w:type="firstRow">
      <w:rPr>
        <w:b/>
        <w:bCs/>
      </w:rPr>
    </w:tblStylePr>
    <w:tblStylePr w:type="firstCol">
      <w:rPr>
        <w:b/>
        <w:bCs/>
      </w:rPr>
    </w:tblStylePr>
  </w:style>
  <w:style w:type="table" w:styleId="TableList6">
    <w:name w:val="Table List 6"/>
    <w:basedOn w:val="TableNormal"/>
    <w:uiPriority w:val="99"/>
    <w:semiHidden/>
    <w:unhideWhenUsed/>
    <w:rsid w:val="00911DE3"/>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911DE3"/>
    <w:tblPr/>
    <w:tblStylePr w:type="firstRow">
      <w:rPr>
        <w:b/>
        <w:bCs/>
      </w:rPr>
    </w:tblStylePr>
    <w:tblStylePr w:type="lastRow">
      <w:rPr>
        <w:b/>
        <w:bCs/>
      </w:r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uiPriority w:val="99"/>
    <w:semiHidden/>
    <w:unhideWhenUsed/>
    <w:rsid w:val="00911DE3"/>
    <w:tblPr>
      <w:tblStyleRowBandSize w:val="1"/>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paragraph" w:styleId="TableofAuthorities">
    <w:name w:val="table of authorities"/>
    <w:basedOn w:val="Normal"/>
    <w:next w:val="Normal"/>
    <w:uiPriority w:val="99"/>
    <w:semiHidden/>
    <w:rsid w:val="00911DE3"/>
    <w:pPr>
      <w:ind w:left="200" w:hanging="200"/>
    </w:pPr>
  </w:style>
  <w:style w:type="paragraph" w:styleId="TableofFigures">
    <w:name w:val="table of figures"/>
    <w:basedOn w:val="Normal"/>
    <w:next w:val="Normal"/>
    <w:uiPriority w:val="39"/>
    <w:semiHidden/>
    <w:rsid w:val="00911DE3"/>
  </w:style>
  <w:style w:type="table" w:styleId="TableProfessional">
    <w:name w:val="Table Professional"/>
    <w:basedOn w:val="Table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1DE3"/>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1DE3"/>
    <w:tblPr/>
    <w:tcPr>
      <w:tcBorders>
        <w:top w:val="single" w:sz="12" w:space="0" w:color="000000"/>
        <w:left w:val="single" w:sz="12" w:space="0" w:color="000000"/>
      </w:tcBorders>
      <w:shd w:val="pct25" w:color="808000" w:fill="FFFFFF"/>
    </w:tcPr>
    <w:tblStylePr w:type="neCell">
      <w:rPr>
        <w:b/>
        <w:bCs/>
      </w:rPr>
    </w:tblStylePr>
    <w:tblStylePr w:type="swCell">
      <w:rPr>
        <w:b/>
        <w:bCs/>
      </w:rPr>
    </w:tblStylePr>
  </w:style>
  <w:style w:type="table" w:styleId="TableTheme">
    <w:name w:val="Table Theme"/>
    <w:basedOn w:val="TableNormal"/>
    <w:uiPriority w:val="99"/>
    <w:semiHidden/>
    <w:unhideWhenUsed/>
    <w:rsid w:val="00911DE3"/>
    <w:tblPr/>
  </w:style>
  <w:style w:type="table" w:styleId="TableWeb1">
    <w:name w:val="Table Web 1"/>
    <w:basedOn w:val="TableNormal"/>
    <w:uiPriority w:val="99"/>
    <w:semiHidden/>
    <w:unhideWhenUsed/>
    <w:rsid w:val="00911DE3"/>
    <w:tblPr/>
    <w:tblStylePr w:type="firstRow">
      <w:rPr>
        <w:color w:val="auto"/>
      </w:rPr>
    </w:tblStylePr>
  </w:style>
  <w:style w:type="table" w:styleId="TableWeb2">
    <w:name w:val="Table Web 2"/>
    <w:basedOn w:val="TableNormal"/>
    <w:uiPriority w:val="99"/>
    <w:semiHidden/>
    <w:unhideWhenUsed/>
    <w:rsid w:val="00911DE3"/>
    <w:tblPr/>
    <w:tblStylePr w:type="firstRow">
      <w:rPr>
        <w:color w:val="auto"/>
      </w:rPr>
    </w:tblStylePr>
  </w:style>
  <w:style w:type="table" w:styleId="TableWeb3">
    <w:name w:val="Table Web 3"/>
    <w:basedOn w:val="TableNormal"/>
    <w:uiPriority w:val="99"/>
    <w:semiHidden/>
    <w:unhideWhenUsed/>
    <w:rsid w:val="00911DE3"/>
    <w:tblPr/>
    <w:tblStylePr w:type="firstRow">
      <w:rPr>
        <w:color w:val="auto"/>
      </w:rPr>
    </w:tblStylePr>
  </w:style>
  <w:style w:type="paragraph" w:styleId="Title">
    <w:name w:val="Title"/>
    <w:basedOn w:val="Normal"/>
    <w:next w:val="Normal"/>
    <w:link w:val="TitleChar"/>
    <w:uiPriority w:val="10"/>
    <w:qFormat/>
    <w:rsid w:val="00060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821"/>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39"/>
    <w:semiHidden/>
    <w:rsid w:val="00911DE3"/>
    <w:pPr>
      <w:spacing w:before="120"/>
    </w:pPr>
    <w:rPr>
      <w:rFonts w:eastAsiaTheme="majorEastAsia" w:cs="Arial"/>
      <w:b/>
      <w:bCs/>
    </w:rPr>
  </w:style>
  <w:style w:type="paragraph" w:styleId="TOC1">
    <w:name w:val="toc 1"/>
    <w:basedOn w:val="Normal"/>
    <w:next w:val="Normal"/>
    <w:uiPriority w:val="39"/>
    <w:rsid w:val="00C91844"/>
    <w:pPr>
      <w:spacing w:before="160" w:after="40"/>
      <w:ind w:right="567"/>
      <w:contextualSpacing/>
    </w:pPr>
    <w:rPr>
      <w:b/>
    </w:rPr>
  </w:style>
  <w:style w:type="paragraph" w:styleId="TOC2">
    <w:name w:val="toc 2"/>
    <w:basedOn w:val="Normal"/>
    <w:next w:val="Normal"/>
    <w:uiPriority w:val="39"/>
    <w:rsid w:val="00C91844"/>
    <w:pPr>
      <w:spacing w:after="40"/>
      <w:ind w:right="567"/>
      <w:contextualSpacing/>
    </w:pPr>
  </w:style>
  <w:style w:type="paragraph" w:styleId="TOC3">
    <w:name w:val="toc 3"/>
    <w:basedOn w:val="Normal"/>
    <w:next w:val="Normal"/>
    <w:uiPriority w:val="39"/>
    <w:rsid w:val="00C91844"/>
    <w:pPr>
      <w:spacing w:after="40"/>
      <w:ind w:left="284" w:right="567"/>
      <w:contextualSpacing/>
    </w:pPr>
  </w:style>
  <w:style w:type="paragraph" w:styleId="TOC4">
    <w:name w:val="toc 4"/>
    <w:basedOn w:val="Normal"/>
    <w:next w:val="Normal"/>
    <w:uiPriority w:val="39"/>
    <w:semiHidden/>
    <w:rsid w:val="00C91844"/>
    <w:pPr>
      <w:spacing w:after="40"/>
      <w:ind w:left="567" w:right="567"/>
      <w:contextualSpacing/>
    </w:pPr>
  </w:style>
  <w:style w:type="paragraph" w:styleId="TOC5">
    <w:name w:val="toc 5"/>
    <w:basedOn w:val="Normal"/>
    <w:next w:val="Normal"/>
    <w:uiPriority w:val="39"/>
    <w:semiHidden/>
    <w:rsid w:val="00C91844"/>
    <w:pPr>
      <w:spacing w:after="40"/>
      <w:ind w:left="851" w:right="567"/>
      <w:contextualSpacing/>
    </w:pPr>
  </w:style>
  <w:style w:type="paragraph" w:styleId="TOC6">
    <w:name w:val="toc 6"/>
    <w:basedOn w:val="Normal"/>
    <w:next w:val="Normal"/>
    <w:uiPriority w:val="39"/>
    <w:semiHidden/>
    <w:rsid w:val="00C91844"/>
    <w:pPr>
      <w:spacing w:after="40"/>
      <w:ind w:left="1134" w:right="567"/>
      <w:contextualSpacing/>
    </w:pPr>
  </w:style>
  <w:style w:type="paragraph" w:styleId="TOC7">
    <w:name w:val="toc 7"/>
    <w:basedOn w:val="Normal"/>
    <w:next w:val="Normal"/>
    <w:uiPriority w:val="39"/>
    <w:semiHidden/>
    <w:rsid w:val="00C91844"/>
    <w:pPr>
      <w:spacing w:after="40"/>
      <w:ind w:left="1418" w:right="567"/>
      <w:contextualSpacing/>
    </w:pPr>
  </w:style>
  <w:style w:type="paragraph" w:styleId="TOC8">
    <w:name w:val="toc 8"/>
    <w:basedOn w:val="Normal"/>
    <w:next w:val="Normal"/>
    <w:uiPriority w:val="39"/>
    <w:semiHidden/>
    <w:rsid w:val="00C91844"/>
    <w:pPr>
      <w:spacing w:after="40"/>
      <w:ind w:left="1701" w:right="567"/>
      <w:contextualSpacing/>
    </w:pPr>
  </w:style>
  <w:style w:type="paragraph" w:styleId="TOC9">
    <w:name w:val="toc 9"/>
    <w:basedOn w:val="Normal"/>
    <w:next w:val="Normal"/>
    <w:uiPriority w:val="39"/>
    <w:semiHidden/>
    <w:rsid w:val="00C91844"/>
    <w:pPr>
      <w:spacing w:after="40"/>
      <w:ind w:left="1985" w:right="567"/>
      <w:contextualSpacing/>
    </w:pPr>
  </w:style>
  <w:style w:type="paragraph" w:styleId="TOCHeading">
    <w:name w:val="TOC Heading"/>
    <w:basedOn w:val="Heading1"/>
    <w:next w:val="Normal"/>
    <w:uiPriority w:val="39"/>
    <w:unhideWhenUsed/>
    <w:qFormat/>
    <w:rsid w:val="00060821"/>
    <w:pPr>
      <w:spacing w:before="240" w:after="0"/>
      <w:outlineLvl w:val="9"/>
    </w:pPr>
    <w:rPr>
      <w:sz w:val="32"/>
      <w:szCs w:val="32"/>
    </w:rPr>
  </w:style>
  <w:style w:type="character" w:styleId="UnresolvedMention">
    <w:name w:val="Unresolved Mention"/>
    <w:basedOn w:val="DefaultParagraphFont"/>
    <w:uiPriority w:val="99"/>
    <w:semiHidden/>
    <w:rsid w:val="00911DE3"/>
    <w:rPr>
      <w:color w:val="605E5C"/>
      <w:shd w:val="clear" w:color="auto" w:fill="E1DFDD"/>
    </w:rPr>
  </w:style>
  <w:style w:type="paragraph" w:customStyle="1" w:styleId="Template">
    <w:name w:val="Template"/>
    <w:uiPriority w:val="15"/>
    <w:semiHidden/>
    <w:rsid w:val="00D1332D"/>
    <w:pPr>
      <w:suppressAutoHyphens/>
    </w:pPr>
    <w:rPr>
      <w:noProof/>
      <w:color w:val="76777B" w:themeColor="accent4"/>
      <w:sz w:val="16"/>
      <w:lang w:val="en-US"/>
    </w:rPr>
  </w:style>
  <w:style w:type="paragraph" w:customStyle="1" w:styleId="Table">
    <w:name w:val="Table"/>
    <w:uiPriority w:val="4"/>
    <w:semiHidden/>
    <w:rsid w:val="00847018"/>
    <w:pPr>
      <w:spacing w:before="40" w:after="40" w:line="200" w:lineRule="atLeast"/>
      <w:ind w:left="113" w:right="113"/>
    </w:pPr>
    <w:rPr>
      <w:sz w:val="16"/>
      <w:lang w:val="en-US"/>
    </w:rPr>
  </w:style>
  <w:style w:type="paragraph" w:customStyle="1" w:styleId="Table-Heading">
    <w:name w:val="Table - Heading"/>
    <w:basedOn w:val="Table"/>
    <w:uiPriority w:val="4"/>
    <w:rsid w:val="000C73D1"/>
    <w:rPr>
      <w:b/>
    </w:rPr>
  </w:style>
  <w:style w:type="paragraph" w:customStyle="1" w:styleId="Table-HeadingRight">
    <w:name w:val="Table - Heading Right"/>
    <w:basedOn w:val="Table-Heading"/>
    <w:uiPriority w:val="4"/>
    <w:rsid w:val="000C73D1"/>
    <w:pPr>
      <w:jc w:val="right"/>
    </w:pPr>
  </w:style>
  <w:style w:type="paragraph" w:customStyle="1" w:styleId="Table-Text">
    <w:name w:val="Table - Text"/>
    <w:basedOn w:val="Table"/>
    <w:uiPriority w:val="4"/>
    <w:rsid w:val="00B96627"/>
  </w:style>
  <w:style w:type="paragraph" w:customStyle="1" w:styleId="Table-TextTotal">
    <w:name w:val="Table - Text Total"/>
    <w:basedOn w:val="Table-Text"/>
    <w:uiPriority w:val="4"/>
    <w:rsid w:val="00B96627"/>
    <w:rPr>
      <w:b/>
    </w:rPr>
  </w:style>
  <w:style w:type="paragraph" w:customStyle="1" w:styleId="Table-Numbers">
    <w:name w:val="Table - Numbers"/>
    <w:basedOn w:val="Table"/>
    <w:uiPriority w:val="4"/>
    <w:rsid w:val="00B96627"/>
    <w:pPr>
      <w:jc w:val="right"/>
    </w:pPr>
  </w:style>
  <w:style w:type="paragraph" w:customStyle="1" w:styleId="Table-NumbersTotal">
    <w:name w:val="Table - Numbers Total"/>
    <w:basedOn w:val="Table-Numbers"/>
    <w:uiPriority w:val="4"/>
    <w:rsid w:val="00B96627"/>
    <w:rPr>
      <w:b/>
    </w:rPr>
  </w:style>
  <w:style w:type="paragraph" w:customStyle="1" w:styleId="Template-CompanyName">
    <w:name w:val="Template - Company Name"/>
    <w:basedOn w:val="Template"/>
    <w:next w:val="Template-Address"/>
    <w:uiPriority w:val="15"/>
    <w:semiHidden/>
    <w:rsid w:val="00B45D26"/>
    <w:pPr>
      <w:spacing w:before="74" w:after="80" w:line="240" w:lineRule="atLeast"/>
    </w:pPr>
    <w:rPr>
      <w:sz w:val="20"/>
    </w:rPr>
  </w:style>
  <w:style w:type="paragraph" w:customStyle="1" w:styleId="Template-Address">
    <w:name w:val="Template - Address"/>
    <w:basedOn w:val="Template"/>
    <w:uiPriority w:val="15"/>
    <w:semiHidden/>
    <w:rsid w:val="009C2901"/>
    <w:pPr>
      <w:tabs>
        <w:tab w:val="left" w:pos="567"/>
      </w:tabs>
      <w:spacing w:before="74" w:after="80" w:line="220" w:lineRule="atLeast"/>
    </w:pPr>
  </w:style>
  <w:style w:type="paragraph" w:customStyle="1" w:styleId="Template-Date">
    <w:name w:val="Template - Date"/>
    <w:basedOn w:val="Recipient-NameandAddress"/>
    <w:uiPriority w:val="15"/>
    <w:semiHidden/>
    <w:rsid w:val="00EB3839"/>
    <w:pPr>
      <w:spacing w:after="440"/>
    </w:pPr>
  </w:style>
  <w:style w:type="paragraph" w:customStyle="1" w:styleId="Recipient-NameandAddress">
    <w:name w:val="Recipient - Name and Address"/>
    <w:basedOn w:val="Normal"/>
    <w:uiPriority w:val="10"/>
    <w:semiHidden/>
    <w:rsid w:val="00757937"/>
  </w:style>
  <w:style w:type="paragraph" w:customStyle="1" w:styleId="DocumentType">
    <w:name w:val="Document Type"/>
    <w:basedOn w:val="Normal"/>
    <w:next w:val="Normal"/>
    <w:uiPriority w:val="8"/>
    <w:semiHidden/>
    <w:rsid w:val="005F2512"/>
    <w:rPr>
      <w:caps/>
      <w:sz w:val="28"/>
    </w:rPr>
  </w:style>
  <w:style w:type="paragraph" w:customStyle="1" w:styleId="Table-ListBullet">
    <w:name w:val="Table - List Bullet"/>
    <w:basedOn w:val="Table"/>
    <w:uiPriority w:val="4"/>
    <w:rsid w:val="00C5707C"/>
    <w:pPr>
      <w:numPr>
        <w:numId w:val="24"/>
      </w:numPr>
    </w:pPr>
  </w:style>
  <w:style w:type="numbering" w:customStyle="1" w:styleId="ListStyle-ListBullet">
    <w:name w:val="_List Style - List Bullet"/>
    <w:uiPriority w:val="99"/>
    <w:rsid w:val="00EB3839"/>
    <w:pPr>
      <w:numPr>
        <w:numId w:val="15"/>
      </w:numPr>
    </w:pPr>
  </w:style>
  <w:style w:type="numbering" w:customStyle="1" w:styleId="ListStyle-ListNumber">
    <w:name w:val="_List Style - List Number"/>
    <w:uiPriority w:val="99"/>
    <w:rsid w:val="00EB3839"/>
    <w:pPr>
      <w:numPr>
        <w:numId w:val="16"/>
      </w:numPr>
    </w:pPr>
  </w:style>
  <w:style w:type="numbering" w:customStyle="1" w:styleId="Liststyle-TableListBullet">
    <w:name w:val="_List style - Table List Bullet"/>
    <w:uiPriority w:val="99"/>
    <w:rsid w:val="005E5522"/>
    <w:pPr>
      <w:numPr>
        <w:numId w:val="9"/>
      </w:numPr>
    </w:pPr>
  </w:style>
  <w:style w:type="paragraph" w:customStyle="1" w:styleId="Table-ListNumber">
    <w:name w:val="Table - List Number"/>
    <w:basedOn w:val="Table"/>
    <w:uiPriority w:val="4"/>
    <w:rsid w:val="00F16D57"/>
    <w:pPr>
      <w:ind w:left="340" w:hanging="227"/>
    </w:pPr>
  </w:style>
  <w:style w:type="numbering" w:customStyle="1" w:styleId="ListStyle-TableListNumber">
    <w:name w:val="_List Style - Table List Number"/>
    <w:uiPriority w:val="99"/>
    <w:rsid w:val="00F16D57"/>
    <w:pPr>
      <w:numPr>
        <w:numId w:val="10"/>
      </w:numPr>
    </w:pPr>
  </w:style>
  <w:style w:type="table" w:customStyle="1" w:styleId="Blank">
    <w:name w:val="Blank"/>
    <w:basedOn w:val="TableNormal"/>
    <w:uiPriority w:val="99"/>
    <w:rsid w:val="00D02A26"/>
    <w:tblPr/>
  </w:style>
  <w:style w:type="paragraph" w:customStyle="1" w:styleId="FactBox">
    <w:name w:val="Fact Box"/>
    <w:basedOn w:val="Normal"/>
    <w:uiPriority w:val="5"/>
    <w:semiHidden/>
    <w:rsid w:val="00C8103F"/>
    <w:pPr>
      <w:spacing w:before="170" w:after="170"/>
      <w:ind w:left="170" w:right="170"/>
    </w:pPr>
  </w:style>
  <w:style w:type="paragraph" w:customStyle="1" w:styleId="FactBox-Text">
    <w:name w:val="Fact Box - Text"/>
    <w:basedOn w:val="FactBox"/>
    <w:uiPriority w:val="5"/>
    <w:semiHidden/>
    <w:rsid w:val="00271A6B"/>
  </w:style>
  <w:style w:type="paragraph" w:customStyle="1" w:styleId="FactBox-Heading">
    <w:name w:val="Fact Box - Heading"/>
    <w:basedOn w:val="FactBox"/>
    <w:next w:val="FactBox-Text"/>
    <w:uiPriority w:val="5"/>
    <w:semiHidden/>
    <w:rsid w:val="000379BD"/>
    <w:rPr>
      <w:b/>
    </w:rPr>
  </w:style>
  <w:style w:type="paragraph" w:customStyle="1" w:styleId="FactBox-ListBullet">
    <w:name w:val="Fact Box - List Bullet"/>
    <w:basedOn w:val="FactBox"/>
    <w:uiPriority w:val="5"/>
    <w:semiHidden/>
    <w:rsid w:val="00F16D57"/>
    <w:pPr>
      <w:numPr>
        <w:numId w:val="19"/>
      </w:numPr>
    </w:pPr>
  </w:style>
  <w:style w:type="numbering" w:customStyle="1" w:styleId="ListStyle-FactBoxListBullet">
    <w:name w:val="_List Style - Fact Box List Bullet"/>
    <w:uiPriority w:val="99"/>
    <w:rsid w:val="00F16D57"/>
    <w:pPr>
      <w:numPr>
        <w:numId w:val="12"/>
      </w:numPr>
    </w:pPr>
  </w:style>
  <w:style w:type="paragraph" w:customStyle="1" w:styleId="Footer-PageNumber">
    <w:name w:val="Footer - Page Number"/>
    <w:basedOn w:val="Footer"/>
    <w:next w:val="Footer"/>
    <w:uiPriority w:val="13"/>
    <w:semiHidden/>
    <w:rsid w:val="00B45D26"/>
    <w:rPr>
      <w:color w:val="76777B" w:themeColor="accent4"/>
    </w:rPr>
  </w:style>
  <w:style w:type="numbering" w:customStyle="1" w:styleId="ListStyle-AppendixHeading">
    <w:name w:val="_List Style - Appendix Heading"/>
    <w:uiPriority w:val="99"/>
    <w:rsid w:val="00F16D57"/>
    <w:pPr>
      <w:numPr>
        <w:numId w:val="11"/>
      </w:numPr>
    </w:pPr>
  </w:style>
  <w:style w:type="paragraph" w:customStyle="1" w:styleId="ListAlphabet">
    <w:name w:val="List Alphabet"/>
    <w:basedOn w:val="Normal"/>
    <w:uiPriority w:val="2"/>
    <w:semiHidden/>
    <w:rsid w:val="00F16D57"/>
    <w:pPr>
      <w:numPr>
        <w:numId w:val="21"/>
      </w:numPr>
    </w:pPr>
  </w:style>
  <w:style w:type="numbering" w:customStyle="1" w:styleId="ListStyle-ListAlphabet">
    <w:name w:val="_List Style - List Alphabet"/>
    <w:uiPriority w:val="99"/>
    <w:rsid w:val="00F16D57"/>
    <w:pPr>
      <w:numPr>
        <w:numId w:val="14"/>
      </w:numPr>
    </w:pPr>
  </w:style>
  <w:style w:type="paragraph" w:customStyle="1" w:styleId="ListAlphabet2">
    <w:name w:val="List Alphabet 2"/>
    <w:basedOn w:val="Normal"/>
    <w:uiPriority w:val="2"/>
    <w:semiHidden/>
    <w:rsid w:val="00F16D57"/>
    <w:pPr>
      <w:numPr>
        <w:ilvl w:val="1"/>
        <w:numId w:val="21"/>
      </w:numPr>
    </w:pPr>
  </w:style>
  <w:style w:type="paragraph" w:customStyle="1" w:styleId="ListAlphabet3">
    <w:name w:val="List Alphabet 3"/>
    <w:basedOn w:val="Normal"/>
    <w:uiPriority w:val="2"/>
    <w:semiHidden/>
    <w:rsid w:val="00F16D57"/>
    <w:pPr>
      <w:numPr>
        <w:ilvl w:val="2"/>
        <w:numId w:val="21"/>
      </w:numPr>
    </w:pPr>
  </w:style>
  <w:style w:type="table" w:customStyle="1" w:styleId="CustomernameTableStyle">
    <w:name w:val="[Customer name] (Table Style)"/>
    <w:basedOn w:val="TableNormal"/>
    <w:uiPriority w:val="99"/>
    <w:rsid w:val="00D02A26"/>
    <w:tblPr/>
  </w:style>
  <w:style w:type="paragraph" w:customStyle="1" w:styleId="FactBox-ListNumber">
    <w:name w:val="Fact Box - List Number"/>
    <w:basedOn w:val="FactBox"/>
    <w:uiPriority w:val="5"/>
    <w:semiHidden/>
    <w:rsid w:val="00F16D57"/>
    <w:pPr>
      <w:numPr>
        <w:numId w:val="20"/>
      </w:numPr>
    </w:pPr>
  </w:style>
  <w:style w:type="numbering" w:customStyle="1" w:styleId="ListStyle-FactBoxListNumber">
    <w:name w:val="_List Style - Fact Box List Number"/>
    <w:uiPriority w:val="99"/>
    <w:rsid w:val="00F16D57"/>
    <w:pPr>
      <w:numPr>
        <w:numId w:val="13"/>
      </w:numPr>
    </w:pPr>
  </w:style>
  <w:style w:type="numbering" w:customStyle="1" w:styleId="ListStyle-TableListBullet0">
    <w:name w:val="_List Style - Table List Bullet"/>
    <w:uiPriority w:val="99"/>
    <w:rsid w:val="00C5707C"/>
    <w:pPr>
      <w:numPr>
        <w:numId w:val="17"/>
      </w:numPr>
    </w:pPr>
  </w:style>
  <w:style w:type="paragraph" w:customStyle="1" w:styleId="AppendixHeading">
    <w:name w:val="Appendix Heading"/>
    <w:basedOn w:val="Heading1"/>
    <w:next w:val="Normal"/>
    <w:uiPriority w:val="9"/>
    <w:semiHidden/>
    <w:rsid w:val="00F16D57"/>
    <w:pPr>
      <w:pageBreakBefore/>
      <w:numPr>
        <w:numId w:val="18"/>
      </w:numPr>
      <w:spacing w:line="380" w:lineRule="atLeast"/>
      <w:outlineLvl w:val="8"/>
    </w:pPr>
    <w:rPr>
      <w:sz w:val="34"/>
    </w:rPr>
  </w:style>
  <w:style w:type="paragraph" w:customStyle="1" w:styleId="Webaddress">
    <w:name w:val="Web address"/>
    <w:basedOn w:val="Footer"/>
    <w:uiPriority w:val="99"/>
    <w:semiHidden/>
    <w:rsid w:val="00E06C5B"/>
    <w:pPr>
      <w:spacing w:before="40"/>
      <w:jc w:val="right"/>
    </w:pPr>
    <w:rPr>
      <w:color w:val="76777B" w:themeColor="accent4"/>
    </w:rPr>
  </w:style>
  <w:style w:type="paragraph" w:customStyle="1" w:styleId="HeaderSpacer">
    <w:name w:val="Header Spacer"/>
    <w:basedOn w:val="Header"/>
    <w:uiPriority w:val="13"/>
    <w:semiHidden/>
    <w:rsid w:val="009C2901"/>
    <w:pPr>
      <w:spacing w:after="820"/>
    </w:pPr>
  </w:style>
  <w:style w:type="paragraph" w:customStyle="1" w:styleId="Note">
    <w:name w:val="Note"/>
    <w:basedOn w:val="Normal"/>
    <w:uiPriority w:val="8"/>
    <w:rsid w:val="00847018"/>
    <w:pPr>
      <w:spacing w:line="200" w:lineRule="atLeast"/>
    </w:pPr>
    <w:rPr>
      <w:sz w:val="16"/>
    </w:rPr>
  </w:style>
  <w:style w:type="paragraph" w:customStyle="1" w:styleId="Note-NumberBullet">
    <w:name w:val="Note - Number Bullet"/>
    <w:basedOn w:val="Note"/>
    <w:uiPriority w:val="8"/>
    <w:rsid w:val="00847018"/>
    <w:pPr>
      <w:numPr>
        <w:numId w:val="25"/>
      </w:numPr>
      <w:spacing w:line="240" w:lineRule="atLeast"/>
    </w:pPr>
    <w:rPr>
      <w:sz w:val="12"/>
    </w:rPr>
  </w:style>
  <w:style w:type="paragraph" w:customStyle="1" w:styleId="Note-Bullet">
    <w:name w:val="Note - Bullet"/>
    <w:basedOn w:val="Note-NumberBullet"/>
    <w:uiPriority w:val="8"/>
    <w:rsid w:val="00847018"/>
    <w:pPr>
      <w:numPr>
        <w:numId w:val="26"/>
      </w:numPr>
    </w:pPr>
  </w:style>
  <w:style w:type="paragraph" w:customStyle="1" w:styleId="QuoteSmall">
    <w:name w:val="Quote Small"/>
    <w:basedOn w:val="Quote"/>
    <w:uiPriority w:val="12"/>
    <w:semiHidden/>
    <w:rsid w:val="00847018"/>
    <w:pPr>
      <w:spacing w:before="200" w:line="200" w:lineRule="atLeast"/>
    </w:pPr>
    <w:rPr>
      <w:sz w:val="16"/>
    </w:rPr>
  </w:style>
  <w:style w:type="paragraph" w:customStyle="1" w:styleId="paragraph">
    <w:name w:val="paragraph"/>
    <w:basedOn w:val="Normal"/>
    <w:rsid w:val="00C23816"/>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C23816"/>
  </w:style>
  <w:style w:type="character" w:customStyle="1" w:styleId="tabchar">
    <w:name w:val="tabchar"/>
    <w:basedOn w:val="DefaultParagraphFont"/>
    <w:rsid w:val="00C23816"/>
  </w:style>
  <w:style w:type="character" w:customStyle="1" w:styleId="eop">
    <w:name w:val="eop"/>
    <w:basedOn w:val="DefaultParagraphFont"/>
    <w:rsid w:val="00C23816"/>
  </w:style>
  <w:style w:type="paragraph" w:styleId="Revision">
    <w:name w:val="Revision"/>
    <w:hidden/>
    <w:uiPriority w:val="99"/>
    <w:semiHidden/>
    <w:rsid w:val="007F3B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8883">
      <w:bodyDiv w:val="1"/>
      <w:marLeft w:val="0"/>
      <w:marRight w:val="0"/>
      <w:marTop w:val="0"/>
      <w:marBottom w:val="0"/>
      <w:divBdr>
        <w:top w:val="none" w:sz="0" w:space="0" w:color="auto"/>
        <w:left w:val="none" w:sz="0" w:space="0" w:color="auto"/>
        <w:bottom w:val="none" w:sz="0" w:space="0" w:color="auto"/>
        <w:right w:val="none" w:sz="0" w:space="0" w:color="auto"/>
      </w:divBdr>
    </w:div>
    <w:div w:id="265120375">
      <w:bodyDiv w:val="1"/>
      <w:marLeft w:val="0"/>
      <w:marRight w:val="0"/>
      <w:marTop w:val="0"/>
      <w:marBottom w:val="0"/>
      <w:divBdr>
        <w:top w:val="none" w:sz="0" w:space="0" w:color="auto"/>
        <w:left w:val="none" w:sz="0" w:space="0" w:color="auto"/>
        <w:bottom w:val="none" w:sz="0" w:space="0" w:color="auto"/>
        <w:right w:val="none" w:sz="0" w:space="0" w:color="auto"/>
      </w:divBdr>
    </w:div>
    <w:div w:id="565146975">
      <w:bodyDiv w:val="1"/>
      <w:marLeft w:val="0"/>
      <w:marRight w:val="0"/>
      <w:marTop w:val="0"/>
      <w:marBottom w:val="0"/>
      <w:divBdr>
        <w:top w:val="none" w:sz="0" w:space="0" w:color="auto"/>
        <w:left w:val="none" w:sz="0" w:space="0" w:color="auto"/>
        <w:bottom w:val="none" w:sz="0" w:space="0" w:color="auto"/>
        <w:right w:val="none" w:sz="0" w:space="0" w:color="auto"/>
      </w:divBdr>
    </w:div>
    <w:div w:id="112669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deralregister.gov/documents/2019/03/11/2019-04270/patient-protection-and-affordable-care-act-increasing-consumer-choice-through-the-sale-of-individu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ntent.naic.org/sites/default/files/hhs-letter-health-human-interstate-compacts.pdf" TargetMode="Externa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www.shadac.org/publications/1332-state-innovation-waivers" TargetMode="External"/><Relationship Id="rId13" Type="http://schemas.openxmlformats.org/officeDocument/2006/relationships/hyperlink" Target="https://www.insurancecompact.org/about/faq" TargetMode="External"/><Relationship Id="rId18" Type="http://schemas.openxmlformats.org/officeDocument/2006/relationships/hyperlink" Target="https://files.americanexperiment.org/wp-content/uploads/2024/07/Health-Care-Choice-Compacts.pdf" TargetMode="External"/><Relationship Id="rId3" Type="http://schemas.openxmlformats.org/officeDocument/2006/relationships/hyperlink" Target="https://hcopub.dhs.state.mn.us/epm/3.htm" TargetMode="External"/><Relationship Id="rId7" Type="http://schemas.openxmlformats.org/officeDocument/2006/relationships/hyperlink" Target="https://www.cms.gov/files/document/cciio-data-brief-042024-508-final.pdf" TargetMode="External"/><Relationship Id="rId12" Type="http://schemas.openxmlformats.org/officeDocument/2006/relationships/hyperlink" Target="https://www.cms.gov/cciio/programs-and-initiatives/state-innovation-waivers/downloads/ia-letter-withdraw-1332-waiver.pdf" TargetMode="External"/><Relationship Id="rId17" Type="http://schemas.openxmlformats.org/officeDocument/2006/relationships/hyperlink" Target="https://compacts.csg.org/faq/" TargetMode="External"/><Relationship Id="rId2" Type="http://schemas.openxmlformats.org/officeDocument/2006/relationships/hyperlink" Target="https://mn.gov/dhs/assets/BHP_Trust_Fund_Feb25_tcm1053-671717.pdf" TargetMode="External"/><Relationship Id="rId16" Type="http://schemas.openxmlformats.org/officeDocument/2006/relationships/hyperlink" Target="https://www.healthcarecompact.org/about.html" TargetMode="External"/><Relationship Id="rId1" Type="http://schemas.openxmlformats.org/officeDocument/2006/relationships/hyperlink" Target="https://www.medicaid.gov/basic-health-program" TargetMode="External"/><Relationship Id="rId6" Type="http://schemas.openxmlformats.org/officeDocument/2006/relationships/hyperlink" Target="https://unitedstatesofcare.org/wp-content/uploads/2023/05/1332-Chart.pdf" TargetMode="External"/><Relationship Id="rId11" Type="http://schemas.openxmlformats.org/officeDocument/2006/relationships/hyperlink" Target="https://www.cms.gov/cciio/programs-and-initiatives/state-innovation-waivers/section_1332_state_innovation_waivers-/1332-ga-fact-sheet.pdf" TargetMode="External"/><Relationship Id="rId5" Type="http://schemas.openxmlformats.org/officeDocument/2006/relationships/hyperlink" Target="https://www.law.cornell.edu/uscode/text/42/18052" TargetMode="External"/><Relationship Id="rId15" Type="http://schemas.openxmlformats.org/officeDocument/2006/relationships/hyperlink" Target="https://compacts.csg.org/faq/" TargetMode="External"/><Relationship Id="rId10" Type="http://schemas.openxmlformats.org/officeDocument/2006/relationships/hyperlink" Target="https://doi.colorado.gov/sites/doi/files/documents/2024_Annual_1332_Waiver_Public_Forum.pdf" TargetMode="External"/><Relationship Id="rId19" Type="http://schemas.openxmlformats.org/officeDocument/2006/relationships/hyperlink" Target="https://chir.georgetown.edu/a-blast-from-the-past-dusting-off-aca-section-1333-compacts/" TargetMode="External"/><Relationship Id="rId4" Type="http://schemas.openxmlformats.org/officeDocument/2006/relationships/hyperlink" Target="https://mn.gov/dhs/assets/forecastDHS_202502_tcm1053-671523.pdf" TargetMode="External"/><Relationship Id="rId9" Type="http://schemas.openxmlformats.org/officeDocument/2006/relationships/hyperlink" Target="https://www.cms.gov/files/document/cciio-data-brief-042024-508-final.pdf" TargetMode="External"/><Relationship Id="rId14" Type="http://schemas.openxmlformats.org/officeDocument/2006/relationships/hyperlink" Target="https://www.healthcarecompact.org/about.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F2071D1DF049FDBAA181950DF52EE0"/>
        <w:category>
          <w:name w:val="General"/>
          <w:gallery w:val="placeholder"/>
        </w:category>
        <w:types>
          <w:type w:val="bbPlcHdr"/>
        </w:types>
        <w:behaviors>
          <w:behavior w:val="content"/>
        </w:behaviors>
        <w:guid w:val="{0B651196-CCF2-4213-AC7E-963EAE694393}"/>
      </w:docPartPr>
      <w:docPartBody>
        <w:p w:rsidR="00153905" w:rsidRDefault="00153905" w:rsidP="00153905">
          <w:pPr>
            <w:pStyle w:val="EFF2071D1DF049FDBAA181950DF52EE0"/>
          </w:pPr>
          <w:r>
            <w:t>Introduction</w:t>
          </w:r>
        </w:p>
      </w:docPartBody>
    </w:docPart>
    <w:docPart>
      <w:docPartPr>
        <w:name w:val="0B715506262648B29E83A7614105CE06"/>
        <w:category>
          <w:name w:val="General"/>
          <w:gallery w:val="placeholder"/>
        </w:category>
        <w:types>
          <w:type w:val="bbPlcHdr"/>
        </w:types>
        <w:behaviors>
          <w:behavior w:val="content"/>
        </w:behaviors>
        <w:guid w:val="{A2051A31-3A73-4080-814D-B54A224323A7}"/>
      </w:docPartPr>
      <w:docPartBody>
        <w:p w:rsidR="00153905" w:rsidRDefault="00153905" w:rsidP="00153905">
          <w:pPr>
            <w:pStyle w:val="0B715506262648B29E83A7614105CE06"/>
          </w:pPr>
          <w:r>
            <w:t>Conclusion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05"/>
    <w:rsid w:val="000676F6"/>
    <w:rsid w:val="00077603"/>
    <w:rsid w:val="00113240"/>
    <w:rsid w:val="00152618"/>
    <w:rsid w:val="00153905"/>
    <w:rsid w:val="00216BDF"/>
    <w:rsid w:val="00294FF8"/>
    <w:rsid w:val="002E7DC4"/>
    <w:rsid w:val="00307506"/>
    <w:rsid w:val="00340D29"/>
    <w:rsid w:val="003E18A4"/>
    <w:rsid w:val="003E639C"/>
    <w:rsid w:val="004A0789"/>
    <w:rsid w:val="004A533E"/>
    <w:rsid w:val="00524060"/>
    <w:rsid w:val="005F1268"/>
    <w:rsid w:val="00600C2C"/>
    <w:rsid w:val="00613D1A"/>
    <w:rsid w:val="006408D5"/>
    <w:rsid w:val="006C391D"/>
    <w:rsid w:val="006D2415"/>
    <w:rsid w:val="00771AD4"/>
    <w:rsid w:val="00804B4A"/>
    <w:rsid w:val="00884EF1"/>
    <w:rsid w:val="00933B22"/>
    <w:rsid w:val="00973E8E"/>
    <w:rsid w:val="00985D25"/>
    <w:rsid w:val="009A7394"/>
    <w:rsid w:val="009E32F7"/>
    <w:rsid w:val="009F74C4"/>
    <w:rsid w:val="00A35E25"/>
    <w:rsid w:val="00A76A0B"/>
    <w:rsid w:val="00A931B3"/>
    <w:rsid w:val="00BA6EB9"/>
    <w:rsid w:val="00CF4BF5"/>
    <w:rsid w:val="00D34CCA"/>
    <w:rsid w:val="00E73269"/>
    <w:rsid w:val="00F61D47"/>
    <w:rsid w:val="00F67334"/>
    <w:rsid w:val="00F86C04"/>
    <w:rsid w:val="00FC0C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F2071D1DF049FDBAA181950DF52EE0">
    <w:name w:val="EFF2071D1DF049FDBAA181950DF52EE0"/>
    <w:rsid w:val="00153905"/>
  </w:style>
  <w:style w:type="paragraph" w:customStyle="1" w:styleId="0B715506262648B29E83A7614105CE06">
    <w:name w:val="0B715506262648B29E83A7614105CE06"/>
    <w:rsid w:val="00153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NAIC">
      <a:dk1>
        <a:sysClr val="windowText" lastClr="000000"/>
      </a:dk1>
      <a:lt1>
        <a:sysClr val="window" lastClr="FFFFFF"/>
      </a:lt1>
      <a:dk2>
        <a:srgbClr val="111821"/>
      </a:dk2>
      <a:lt2>
        <a:srgbClr val="FFFFFF"/>
      </a:lt2>
      <a:accent1>
        <a:srgbClr val="005CB9"/>
      </a:accent1>
      <a:accent2>
        <a:srgbClr val="BBBBBB"/>
      </a:accent2>
      <a:accent3>
        <a:srgbClr val="7FADDC"/>
      </a:accent3>
      <a:accent4>
        <a:srgbClr val="76777B"/>
      </a:accent4>
      <a:accent5>
        <a:srgbClr val="111821"/>
      </a:accent5>
      <a:accent6>
        <a:srgbClr val="BFD6ED"/>
      </a:accent6>
      <a:hlink>
        <a:srgbClr val="0563C1"/>
      </a:hlink>
      <a:folHlink>
        <a:srgbClr val="954F72"/>
      </a:folHlink>
    </a:clrScheme>
    <a:fontScheme name="NAIC">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Son11</b:Tag>
    <b:SourceType>JournalArticle</b:SourceType>
    <b:Guid>{A02995D0-E9BB-4189-9738-F5E5F9650313}</b:Guid>
    <b:Title>MinnesotaCare: Key Trends &amp; Challenges</b:Title>
    <b:Year>2011</b:Year>
    <b:Author>
      <b:Author>
        <b:NameList>
          <b:Person>
            <b:Last>Sonier</b:Last>
            <b:First>Julie</b:First>
          </b:Person>
        </b:NameList>
      </b:Author>
    </b:Author>
    <b:JournalName>Rural Minnesota Journal</b:JournalName>
    <b:Pages>37-52</b:Pages>
    <b:Month>March</b:Month>
    <b:Volume>2</b:Volume>
    <b:Issue>1</b:Issue>
    <b:URL>https://www.ruralmn.org/wp-content/uploads/2011/03/MinnesotaCare.pdf</b:URL>
    <b:RefOrder>1</b:RefOrder>
  </b:Source>
  <b:Source>
    <b:Tag>Cou97</b:Tag>
    <b:SourceType>Report</b:SourceType>
    <b:Guid>{08BAB6AA-3F95-49F6-ABFC-06714D6B8E9B}</b:Guid>
    <b:Title>Health Policy for Low-Income People in Minnesota</b:Title>
    <b:Year>1997</b:Year>
    <b:Publisher>The Urban Institute</b:Publisher>
    <b:City>Washington, D.C.</b:City>
    <b:Author>
      <b:Author>
        <b:NameList>
          <b:Person>
            <b:Last>Coughlin</b:Last>
            <b:Middle>A.</b:Middle>
            <b:First>Teresa</b:First>
          </b:Person>
          <b:Person>
            <b:Last>Rajan</b:Last>
            <b:First>Shruti</b:First>
          </b:Person>
          <b:Person>
            <b:Last>Zuckerman</b:Last>
            <b:First>Stephen</b:First>
          </b:Person>
          <b:Person>
            <b:Last>Marsteller</b:Last>
            <b:Middle>A.</b:Middle>
            <b:First>Jill</b:First>
          </b:Person>
        </b:NameList>
      </b:Author>
    </b:Author>
    <b:URL>https://www.urban.org/sites/default/files/publication/67041/307320-Health-Policy-for-Low-Income-People-in-Minnesota.PDF</b:URL>
    <b:RefOrder>2</b:RefOrder>
  </b:Source>
  <b:Source>
    <b:Tag>Min18</b:Tag>
    <b:SourceType>Report</b:SourceType>
    <b:Guid>{0E3CBA34-F95D-44B1-85A9-2865272E9F01}</b:Guid>
    <b:Author>
      <b:Author>
        <b:Corporate>Minnesota Department of Human Services</b:Corporate>
      </b:Author>
    </b:Author>
    <b:Title>Medicaid Matters - The Impact of Minnesota's Medicaid Program</b:Title>
    <b:Year>2018</b:Year>
    <b:URL>https://www.leg.mn.gov/docs/2018/other/180391.pdf</b:URL>
    <b:RefOrder>3</b:RefOrder>
  </b:Source>
  <b:Source>
    <b:Tag>Bud25</b:Tag>
    <b:SourceType>Report</b:SourceType>
    <b:Guid>{F91B6C4E-87EE-4181-8878-E583ECDF340A}</b:Guid>
    <b:Author>
      <b:Author>
        <b:Corporate>Minnesota Management and Budget</b:Corporate>
      </b:Author>
    </b:Author>
    <b:Title>BHP Trust Fund - February 2025 Forecast</b:Title>
    <b:Year>2025</b:Year>
    <b:URL>https://mn.gov/dhs/assets/BHP_Trust_Fund_Feb25_tcm1053-671717.pdf</b:URL>
    <b:RefOrder>4</b:RefOrder>
  </b:Source>
  <b:Source>
    <b:Tag>Rep25</b:Tag>
    <b:SourceType>Report</b:SourceType>
    <b:Guid>{93D5CE28-F7A8-44B4-8467-1244CAE88FEE}</b:Guid>
    <b:Author>
      <b:Author>
        <b:Corporate>Minnesota Department of Human Services, Reports and Forecasts Division</b:Corporate>
      </b:Author>
    </b:Author>
    <b:Title>February 2025 Forecast</b:Title>
    <b:Year>2025</b:Year>
    <b:Publisher>Minnesota Department of Human Services</b:Publisher>
    <b:URL>https://mn.gov/dhs/assets/forecastDHS_202502_tcm1053-671523.pdf</b:URL>
    <b:RefOrder>5</b:RefOrder>
  </b:Source>
  <b:Source>
    <b:Tag>Min25</b:Tag>
    <b:SourceType>Report</b:SourceType>
    <b:Guid>{AE276E8D-8273-4E15-B7A8-3A7B6F476B78}</b:Guid>
    <b:Author>
      <b:Author>
        <b:Corporate>Minnesota Department of Human Services</b:Corporate>
      </b:Author>
    </b:Author>
    <b:Title>Minnesota Health Care Programs Eligibility Policy Manual</b:Title>
    <b:Year>2025</b:Year>
    <b:URL>https://hcopub.dhs.state.mn.us/epm/3.htm</b:URL>
    <b:RefOrder>6</b:RefOrder>
  </b:Source>
  <b:Source>
    <b:Tag>Off17</b:Tag>
    <b:SourceType>Misc</b:SourceType>
    <b:Guid>{EFB44F1E-8259-4DD2-A64F-A42B829BED5D}</b:Guid>
    <b:Title>Letter to U.S. House of Representatives Majority Leader Kevin McCarthy</b:Title>
    <b:Year>2017</b:Year>
    <b:Author>
      <b:Author>
        <b:Corporate>Office off Governor Mark Dayton</b:Corporate>
      </b:Author>
    </b:Author>
    <b:Month>January</b:Month>
    <b:Day>6</b:Day>
    <b:URL>https://mn.gov/gov-stat/pdf/2017_01_06_GMD_Response_to_McCarthy.pdf</b:URL>
    <b:RefOrder>7</b:RefOrder>
  </b:Source>
  <b:Source>
    <b:Tag>Min251</b:Tag>
    <b:SourceType>Misc</b:SourceType>
    <b:Guid>{727034AA-EFDE-416B-B52F-704CF6910C59}</b:Guid>
    <b:Author>
      <b:Author>
        <b:Corporate>Minnesota Department of Human Services</b:Corporate>
      </b:Author>
    </b:Author>
    <b:Title>Summary of Coverage, Cost Sharing and Limits</b:Title>
    <b:Year>2025</b:Year>
    <b:Month>January</b:Month>
    <b:Day>1</b:Day>
    <b:URL>https://edocs.dhs.state.mn.us/lfserver/Public/DHS-3860-ENG</b:URL>
    <b:RefOrder>8</b:RefOrder>
  </b:Source>
  <b:Source>
    <b:Tag>KFF23</b:Tag>
    <b:SourceType>InternetSite</b:SourceType>
    <b:Guid>{4F472D0F-A37B-42BC-BAC5-715D16312D34}</b:Guid>
    <b:Author>
      <b:Author>
        <b:Corporate>KFF</b:Corporate>
      </b:Author>
    </b:Author>
    <b:Title>Health Insurance Coverage of the Total Population</b:Title>
    <b:Year>2023</b:Year>
    <b:URL>https://www.kff.org/state-health-policy-data/state-indicator/total-population/?currentTimeframe=0&amp;sortModel=%7B%22colId%22:%22Location%22,%22sort%22:%22asc%22%7D</b:URL>
    <b:RefOrder>10</b:RefOrder>
  </b:Source>
  <b:Source>
    <b:Tag>87F</b:Tag>
    <b:SourceType>Misc</b:SourceType>
    <b:Guid>{660E59CC-572B-4B02-AFB8-F02103FDE35B}</b:Guid>
    <b:PublicationTitle>87 FR 77722</b:PublicationTitle>
    <b:URL>https://www.federalregister.gov/documents/2022/12/20/2022-27211/basic-health-program-federal-funding-methodology-for-program-year-2023-and-changes-to-the-basic</b:URL>
    <b:RefOrder>11</b:RefOrder>
  </b:Source>
  <b:Source>
    <b:Tag>42C</b:Tag>
    <b:SourceType>Misc</b:SourceType>
    <b:Guid>{43E309AA-85D6-4428-A185-1EC68DA3667C}</b:Guid>
    <b:Title>42 CFR 600</b:Title>
    <b:URL>https://www.govinfo.gov/content/pkg/CFR-2024-title42-vol5/pdf/CFR-2024-title42-vol5-part600.pdf</b:URL>
    <b:RefOrder>13</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0F1FFE666137624DBD990529B435E7FE" ma:contentTypeVersion="16" ma:contentTypeDescription="Create a new document." ma:contentTypeScope="" ma:versionID="8dd3c456093be238284b84ca36cd52f1">
  <xsd:schema xmlns:xsd="http://www.w3.org/2001/XMLSchema" xmlns:xs="http://www.w3.org/2001/XMLSchema" xmlns:p="http://schemas.microsoft.com/office/2006/metadata/properties" xmlns:ns2="5624f10e-bf46-4f43-954e-97bc22b3a42d" xmlns:ns3="3b6417ec-de13-4da0-b4ae-6498de0ae170" xmlns:ns4="3c9e15a3-223f-4584-afb1-1dbe0b3878fa" targetNamespace="http://schemas.microsoft.com/office/2006/metadata/properties" ma:root="true" ma:fieldsID="410a5bfa5ec203f3cede3c725ed3ccc7" ns2:_="" ns3:_="" ns4:_="">
    <xsd:import namespace="5624f10e-bf46-4f43-954e-97bc22b3a42d"/>
    <xsd:import namespace="3b6417ec-de13-4da0-b4ae-6498de0ae170"/>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4f10e-bf46-4f43-954e-97bc22b3a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6417ec-de13-4da0-b4ae-6498de0ae17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1f6fe8-9e50-4385-a72a-716b3955ca18}" ma:internalName="TaxCatchAll" ma:showField="CatchAllData" ma:web="3b6417ec-de13-4da0-b4ae-6498de0ae1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624f10e-bf46-4f43-954e-97bc22b3a42d">
      <Terms xmlns="http://schemas.microsoft.com/office/infopath/2007/PartnerControls"/>
    </lcf76f155ced4ddcb4097134ff3c332f>
    <TaxCatchAll xmlns="3c9e15a3-223f-4584-afb1-1dbe0b3878fa" xsi:nil="true"/>
  </documentManagement>
</p:properties>
</file>

<file path=customXml/item6.xml><?xml version="1.0" encoding="utf-8"?>
<TemplafyTemplateConfiguration><![CDATA[{"elementsMetadata":[],"transformationConfigurations":[],"isBaseTemplate":false,"templateName":"NAIC Letterhead","templateDescription":"","enableDocumentContentUpdater":false,"version":"2.0"}]]></TemplafyTemplateConfiguration>
</file>

<file path=customXml/itemProps1.xml><?xml version="1.0" encoding="utf-8"?>
<ds:datastoreItem xmlns:ds="http://schemas.openxmlformats.org/officeDocument/2006/customXml" ds:itemID="{E4C584DA-9A68-4D10-B119-5906CD2012AF}">
  <ds:schemaRefs/>
</ds:datastoreItem>
</file>

<file path=customXml/itemProps2.xml><?xml version="1.0" encoding="utf-8"?>
<ds:datastoreItem xmlns:ds="http://schemas.openxmlformats.org/officeDocument/2006/customXml" ds:itemID="{8ABE95E5-F6C8-42B4-8B9E-148BB6870DA3}">
  <ds:schemaRefs>
    <ds:schemaRef ds:uri="http://schemas.microsoft.com/sharepoint/v3/contenttype/forms"/>
  </ds:schemaRefs>
</ds:datastoreItem>
</file>

<file path=customXml/itemProps3.xml><?xml version="1.0" encoding="utf-8"?>
<ds:datastoreItem xmlns:ds="http://schemas.openxmlformats.org/officeDocument/2006/customXml" ds:itemID="{23469808-D305-4D08-8441-E059D862718E}">
  <ds:schemaRefs>
    <ds:schemaRef ds:uri="http://schemas.openxmlformats.org/officeDocument/2006/bibliography"/>
  </ds:schemaRefs>
</ds:datastoreItem>
</file>

<file path=customXml/itemProps4.xml><?xml version="1.0" encoding="utf-8"?>
<ds:datastoreItem xmlns:ds="http://schemas.openxmlformats.org/officeDocument/2006/customXml" ds:itemID="{AFF4CAEE-9F0C-4E82-9560-1C79F9F93BAA}"/>
</file>

<file path=customXml/itemProps5.xml><?xml version="1.0" encoding="utf-8"?>
<ds:datastoreItem xmlns:ds="http://schemas.openxmlformats.org/officeDocument/2006/customXml" ds:itemID="{822D13C9-6A70-4750-A985-D4F75E9C9D63}">
  <ds:schemaRefs>
    <ds:schemaRef ds:uri="http://schemas.microsoft.com/office/2006/metadata/properties"/>
    <ds:schemaRef ds:uri="http://schemas.microsoft.com/office/infopath/2007/PartnerControls"/>
    <ds:schemaRef ds:uri="5624f10e-bf46-4f43-954e-97bc22b3a42d"/>
    <ds:schemaRef ds:uri="3c9e15a3-223f-4584-afb1-1dbe0b3878fa"/>
  </ds:schemaRefs>
</ds:datastoreItem>
</file>

<file path=customXml/itemProps6.xml><?xml version="1.0" encoding="utf-8"?>
<ds:datastoreItem xmlns:ds="http://schemas.openxmlformats.org/officeDocument/2006/customXml" ds:itemID="{9B65D4CF-8DED-415C-8069-3577EE458E0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8667</Words>
  <Characters>48279</Characters>
  <Application>Microsoft Office Word</Application>
  <DocSecurity>0</DocSecurity>
  <Lines>778</Lines>
  <Paragraphs>247</Paragraphs>
  <ScaleCrop>false</ScaleCrop>
  <Company/>
  <LinksUpToDate>false</LinksUpToDate>
  <CharactersWithSpaces>56699</CharactersWithSpaces>
  <SharedDoc>false</SharedDoc>
  <HLinks>
    <vt:vector size="300" baseType="variant">
      <vt:variant>
        <vt:i4>5505037</vt:i4>
      </vt:variant>
      <vt:variant>
        <vt:i4>189</vt:i4>
      </vt:variant>
      <vt:variant>
        <vt:i4>0</vt:i4>
      </vt:variant>
      <vt:variant>
        <vt:i4>5</vt:i4>
      </vt:variant>
      <vt:variant>
        <vt:lpwstr>https://content.naic.org/sites/default/files/hhs-letter-health-human-interstate-compacts.pdf</vt:lpwstr>
      </vt:variant>
      <vt:variant>
        <vt:lpwstr/>
      </vt:variant>
      <vt:variant>
        <vt:i4>655375</vt:i4>
      </vt:variant>
      <vt:variant>
        <vt:i4>186</vt:i4>
      </vt:variant>
      <vt:variant>
        <vt:i4>0</vt:i4>
      </vt:variant>
      <vt:variant>
        <vt:i4>5</vt:i4>
      </vt:variant>
      <vt:variant>
        <vt:lpwstr>https://www.federalregister.gov/documents/2019/03/11/2019-04270/patient-protection-and-affordable-care-act-increasing-consumer-choice-through-the-sale-of-individual</vt:lpwstr>
      </vt:variant>
      <vt:variant>
        <vt:lpwstr/>
      </vt:variant>
      <vt:variant>
        <vt:i4>1966134</vt:i4>
      </vt:variant>
      <vt:variant>
        <vt:i4>176</vt:i4>
      </vt:variant>
      <vt:variant>
        <vt:i4>0</vt:i4>
      </vt:variant>
      <vt:variant>
        <vt:i4>5</vt:i4>
      </vt:variant>
      <vt:variant>
        <vt:lpwstr/>
      </vt:variant>
      <vt:variant>
        <vt:lpwstr>_Toc214907066</vt:lpwstr>
      </vt:variant>
      <vt:variant>
        <vt:i4>1966134</vt:i4>
      </vt:variant>
      <vt:variant>
        <vt:i4>170</vt:i4>
      </vt:variant>
      <vt:variant>
        <vt:i4>0</vt:i4>
      </vt:variant>
      <vt:variant>
        <vt:i4>5</vt:i4>
      </vt:variant>
      <vt:variant>
        <vt:lpwstr/>
      </vt:variant>
      <vt:variant>
        <vt:lpwstr>_Toc214907065</vt:lpwstr>
      </vt:variant>
      <vt:variant>
        <vt:i4>1966134</vt:i4>
      </vt:variant>
      <vt:variant>
        <vt:i4>164</vt:i4>
      </vt:variant>
      <vt:variant>
        <vt:i4>0</vt:i4>
      </vt:variant>
      <vt:variant>
        <vt:i4>5</vt:i4>
      </vt:variant>
      <vt:variant>
        <vt:lpwstr/>
      </vt:variant>
      <vt:variant>
        <vt:lpwstr>_Toc214907064</vt:lpwstr>
      </vt:variant>
      <vt:variant>
        <vt:i4>1966134</vt:i4>
      </vt:variant>
      <vt:variant>
        <vt:i4>158</vt:i4>
      </vt:variant>
      <vt:variant>
        <vt:i4>0</vt:i4>
      </vt:variant>
      <vt:variant>
        <vt:i4>5</vt:i4>
      </vt:variant>
      <vt:variant>
        <vt:lpwstr/>
      </vt:variant>
      <vt:variant>
        <vt:lpwstr>_Toc214907063</vt:lpwstr>
      </vt:variant>
      <vt:variant>
        <vt:i4>1966134</vt:i4>
      </vt:variant>
      <vt:variant>
        <vt:i4>152</vt:i4>
      </vt:variant>
      <vt:variant>
        <vt:i4>0</vt:i4>
      </vt:variant>
      <vt:variant>
        <vt:i4>5</vt:i4>
      </vt:variant>
      <vt:variant>
        <vt:lpwstr/>
      </vt:variant>
      <vt:variant>
        <vt:lpwstr>_Toc214907062</vt:lpwstr>
      </vt:variant>
      <vt:variant>
        <vt:i4>1966134</vt:i4>
      </vt:variant>
      <vt:variant>
        <vt:i4>146</vt:i4>
      </vt:variant>
      <vt:variant>
        <vt:i4>0</vt:i4>
      </vt:variant>
      <vt:variant>
        <vt:i4>5</vt:i4>
      </vt:variant>
      <vt:variant>
        <vt:lpwstr/>
      </vt:variant>
      <vt:variant>
        <vt:lpwstr>_Toc214907061</vt:lpwstr>
      </vt:variant>
      <vt:variant>
        <vt:i4>1966134</vt:i4>
      </vt:variant>
      <vt:variant>
        <vt:i4>140</vt:i4>
      </vt:variant>
      <vt:variant>
        <vt:i4>0</vt:i4>
      </vt:variant>
      <vt:variant>
        <vt:i4>5</vt:i4>
      </vt:variant>
      <vt:variant>
        <vt:lpwstr/>
      </vt:variant>
      <vt:variant>
        <vt:lpwstr>_Toc214907060</vt:lpwstr>
      </vt:variant>
      <vt:variant>
        <vt:i4>1900598</vt:i4>
      </vt:variant>
      <vt:variant>
        <vt:i4>134</vt:i4>
      </vt:variant>
      <vt:variant>
        <vt:i4>0</vt:i4>
      </vt:variant>
      <vt:variant>
        <vt:i4>5</vt:i4>
      </vt:variant>
      <vt:variant>
        <vt:lpwstr/>
      </vt:variant>
      <vt:variant>
        <vt:lpwstr>_Toc214907059</vt:lpwstr>
      </vt:variant>
      <vt:variant>
        <vt:i4>1900598</vt:i4>
      </vt:variant>
      <vt:variant>
        <vt:i4>128</vt:i4>
      </vt:variant>
      <vt:variant>
        <vt:i4>0</vt:i4>
      </vt:variant>
      <vt:variant>
        <vt:i4>5</vt:i4>
      </vt:variant>
      <vt:variant>
        <vt:lpwstr/>
      </vt:variant>
      <vt:variant>
        <vt:lpwstr>_Toc214907058</vt:lpwstr>
      </vt:variant>
      <vt:variant>
        <vt:i4>1900598</vt:i4>
      </vt:variant>
      <vt:variant>
        <vt:i4>122</vt:i4>
      </vt:variant>
      <vt:variant>
        <vt:i4>0</vt:i4>
      </vt:variant>
      <vt:variant>
        <vt:i4>5</vt:i4>
      </vt:variant>
      <vt:variant>
        <vt:lpwstr/>
      </vt:variant>
      <vt:variant>
        <vt:lpwstr>_Toc214907057</vt:lpwstr>
      </vt:variant>
      <vt:variant>
        <vt:i4>1900598</vt:i4>
      </vt:variant>
      <vt:variant>
        <vt:i4>116</vt:i4>
      </vt:variant>
      <vt:variant>
        <vt:i4>0</vt:i4>
      </vt:variant>
      <vt:variant>
        <vt:i4>5</vt:i4>
      </vt:variant>
      <vt:variant>
        <vt:lpwstr/>
      </vt:variant>
      <vt:variant>
        <vt:lpwstr>_Toc214907056</vt:lpwstr>
      </vt:variant>
      <vt:variant>
        <vt:i4>1900598</vt:i4>
      </vt:variant>
      <vt:variant>
        <vt:i4>110</vt:i4>
      </vt:variant>
      <vt:variant>
        <vt:i4>0</vt:i4>
      </vt:variant>
      <vt:variant>
        <vt:i4>5</vt:i4>
      </vt:variant>
      <vt:variant>
        <vt:lpwstr/>
      </vt:variant>
      <vt:variant>
        <vt:lpwstr>_Toc214907055</vt:lpwstr>
      </vt:variant>
      <vt:variant>
        <vt:i4>1900598</vt:i4>
      </vt:variant>
      <vt:variant>
        <vt:i4>104</vt:i4>
      </vt:variant>
      <vt:variant>
        <vt:i4>0</vt:i4>
      </vt:variant>
      <vt:variant>
        <vt:i4>5</vt:i4>
      </vt:variant>
      <vt:variant>
        <vt:lpwstr/>
      </vt:variant>
      <vt:variant>
        <vt:lpwstr>_Toc214907054</vt:lpwstr>
      </vt:variant>
      <vt:variant>
        <vt:i4>1900598</vt:i4>
      </vt:variant>
      <vt:variant>
        <vt:i4>98</vt:i4>
      </vt:variant>
      <vt:variant>
        <vt:i4>0</vt:i4>
      </vt:variant>
      <vt:variant>
        <vt:i4>5</vt:i4>
      </vt:variant>
      <vt:variant>
        <vt:lpwstr/>
      </vt:variant>
      <vt:variant>
        <vt:lpwstr>_Toc214907053</vt:lpwstr>
      </vt:variant>
      <vt:variant>
        <vt:i4>1900598</vt:i4>
      </vt:variant>
      <vt:variant>
        <vt:i4>92</vt:i4>
      </vt:variant>
      <vt:variant>
        <vt:i4>0</vt:i4>
      </vt:variant>
      <vt:variant>
        <vt:i4>5</vt:i4>
      </vt:variant>
      <vt:variant>
        <vt:lpwstr/>
      </vt:variant>
      <vt:variant>
        <vt:lpwstr>_Toc214907052</vt:lpwstr>
      </vt:variant>
      <vt:variant>
        <vt:i4>1900598</vt:i4>
      </vt:variant>
      <vt:variant>
        <vt:i4>86</vt:i4>
      </vt:variant>
      <vt:variant>
        <vt:i4>0</vt:i4>
      </vt:variant>
      <vt:variant>
        <vt:i4>5</vt:i4>
      </vt:variant>
      <vt:variant>
        <vt:lpwstr/>
      </vt:variant>
      <vt:variant>
        <vt:lpwstr>_Toc214907051</vt:lpwstr>
      </vt:variant>
      <vt:variant>
        <vt:i4>1900598</vt:i4>
      </vt:variant>
      <vt:variant>
        <vt:i4>80</vt:i4>
      </vt:variant>
      <vt:variant>
        <vt:i4>0</vt:i4>
      </vt:variant>
      <vt:variant>
        <vt:i4>5</vt:i4>
      </vt:variant>
      <vt:variant>
        <vt:lpwstr/>
      </vt:variant>
      <vt:variant>
        <vt:lpwstr>_Toc214907050</vt:lpwstr>
      </vt:variant>
      <vt:variant>
        <vt:i4>1835062</vt:i4>
      </vt:variant>
      <vt:variant>
        <vt:i4>74</vt:i4>
      </vt:variant>
      <vt:variant>
        <vt:i4>0</vt:i4>
      </vt:variant>
      <vt:variant>
        <vt:i4>5</vt:i4>
      </vt:variant>
      <vt:variant>
        <vt:lpwstr/>
      </vt:variant>
      <vt:variant>
        <vt:lpwstr>_Toc214907049</vt:lpwstr>
      </vt:variant>
      <vt:variant>
        <vt:i4>1835062</vt:i4>
      </vt:variant>
      <vt:variant>
        <vt:i4>68</vt:i4>
      </vt:variant>
      <vt:variant>
        <vt:i4>0</vt:i4>
      </vt:variant>
      <vt:variant>
        <vt:i4>5</vt:i4>
      </vt:variant>
      <vt:variant>
        <vt:lpwstr/>
      </vt:variant>
      <vt:variant>
        <vt:lpwstr>_Toc214907048</vt:lpwstr>
      </vt:variant>
      <vt:variant>
        <vt:i4>1835062</vt:i4>
      </vt:variant>
      <vt:variant>
        <vt:i4>62</vt:i4>
      </vt:variant>
      <vt:variant>
        <vt:i4>0</vt:i4>
      </vt:variant>
      <vt:variant>
        <vt:i4>5</vt:i4>
      </vt:variant>
      <vt:variant>
        <vt:lpwstr/>
      </vt:variant>
      <vt:variant>
        <vt:lpwstr>_Toc214907047</vt:lpwstr>
      </vt:variant>
      <vt:variant>
        <vt:i4>1835062</vt:i4>
      </vt:variant>
      <vt:variant>
        <vt:i4>56</vt:i4>
      </vt:variant>
      <vt:variant>
        <vt:i4>0</vt:i4>
      </vt:variant>
      <vt:variant>
        <vt:i4>5</vt:i4>
      </vt:variant>
      <vt:variant>
        <vt:lpwstr/>
      </vt:variant>
      <vt:variant>
        <vt:lpwstr>_Toc214907046</vt:lpwstr>
      </vt:variant>
      <vt:variant>
        <vt:i4>1835062</vt:i4>
      </vt:variant>
      <vt:variant>
        <vt:i4>50</vt:i4>
      </vt:variant>
      <vt:variant>
        <vt:i4>0</vt:i4>
      </vt:variant>
      <vt:variant>
        <vt:i4>5</vt:i4>
      </vt:variant>
      <vt:variant>
        <vt:lpwstr/>
      </vt:variant>
      <vt:variant>
        <vt:lpwstr>_Toc214907045</vt:lpwstr>
      </vt:variant>
      <vt:variant>
        <vt:i4>1835062</vt:i4>
      </vt:variant>
      <vt:variant>
        <vt:i4>44</vt:i4>
      </vt:variant>
      <vt:variant>
        <vt:i4>0</vt:i4>
      </vt:variant>
      <vt:variant>
        <vt:i4>5</vt:i4>
      </vt:variant>
      <vt:variant>
        <vt:lpwstr/>
      </vt:variant>
      <vt:variant>
        <vt:lpwstr>_Toc214907044</vt:lpwstr>
      </vt:variant>
      <vt:variant>
        <vt:i4>1835062</vt:i4>
      </vt:variant>
      <vt:variant>
        <vt:i4>38</vt:i4>
      </vt:variant>
      <vt:variant>
        <vt:i4>0</vt:i4>
      </vt:variant>
      <vt:variant>
        <vt:i4>5</vt:i4>
      </vt:variant>
      <vt:variant>
        <vt:lpwstr/>
      </vt:variant>
      <vt:variant>
        <vt:lpwstr>_Toc214907043</vt:lpwstr>
      </vt:variant>
      <vt:variant>
        <vt:i4>1835062</vt:i4>
      </vt:variant>
      <vt:variant>
        <vt:i4>32</vt:i4>
      </vt:variant>
      <vt:variant>
        <vt:i4>0</vt:i4>
      </vt:variant>
      <vt:variant>
        <vt:i4>5</vt:i4>
      </vt:variant>
      <vt:variant>
        <vt:lpwstr/>
      </vt:variant>
      <vt:variant>
        <vt:lpwstr>_Toc214907042</vt:lpwstr>
      </vt:variant>
      <vt:variant>
        <vt:i4>1835062</vt:i4>
      </vt:variant>
      <vt:variant>
        <vt:i4>26</vt:i4>
      </vt:variant>
      <vt:variant>
        <vt:i4>0</vt:i4>
      </vt:variant>
      <vt:variant>
        <vt:i4>5</vt:i4>
      </vt:variant>
      <vt:variant>
        <vt:lpwstr/>
      </vt:variant>
      <vt:variant>
        <vt:lpwstr>_Toc214907041</vt:lpwstr>
      </vt:variant>
      <vt:variant>
        <vt:i4>1835062</vt:i4>
      </vt:variant>
      <vt:variant>
        <vt:i4>20</vt:i4>
      </vt:variant>
      <vt:variant>
        <vt:i4>0</vt:i4>
      </vt:variant>
      <vt:variant>
        <vt:i4>5</vt:i4>
      </vt:variant>
      <vt:variant>
        <vt:lpwstr/>
      </vt:variant>
      <vt:variant>
        <vt:lpwstr>_Toc214907040</vt:lpwstr>
      </vt:variant>
      <vt:variant>
        <vt:i4>1769526</vt:i4>
      </vt:variant>
      <vt:variant>
        <vt:i4>14</vt:i4>
      </vt:variant>
      <vt:variant>
        <vt:i4>0</vt:i4>
      </vt:variant>
      <vt:variant>
        <vt:i4>5</vt:i4>
      </vt:variant>
      <vt:variant>
        <vt:lpwstr/>
      </vt:variant>
      <vt:variant>
        <vt:lpwstr>_Toc214907039</vt:lpwstr>
      </vt:variant>
      <vt:variant>
        <vt:i4>1769526</vt:i4>
      </vt:variant>
      <vt:variant>
        <vt:i4>8</vt:i4>
      </vt:variant>
      <vt:variant>
        <vt:i4>0</vt:i4>
      </vt:variant>
      <vt:variant>
        <vt:i4>5</vt:i4>
      </vt:variant>
      <vt:variant>
        <vt:lpwstr/>
      </vt:variant>
      <vt:variant>
        <vt:lpwstr>_Toc214907038</vt:lpwstr>
      </vt:variant>
      <vt:variant>
        <vt:i4>1769526</vt:i4>
      </vt:variant>
      <vt:variant>
        <vt:i4>2</vt:i4>
      </vt:variant>
      <vt:variant>
        <vt:i4>0</vt:i4>
      </vt:variant>
      <vt:variant>
        <vt:i4>5</vt:i4>
      </vt:variant>
      <vt:variant>
        <vt:lpwstr/>
      </vt:variant>
      <vt:variant>
        <vt:lpwstr>_Toc214907037</vt:lpwstr>
      </vt:variant>
      <vt:variant>
        <vt:i4>1900610</vt:i4>
      </vt:variant>
      <vt:variant>
        <vt:i4>51</vt:i4>
      </vt:variant>
      <vt:variant>
        <vt:i4>0</vt:i4>
      </vt:variant>
      <vt:variant>
        <vt:i4>5</vt:i4>
      </vt:variant>
      <vt:variant>
        <vt:lpwstr>https://chir.georgetown.edu/a-blast-from-the-past-dusting-off-aca-section-1333-compacts/</vt:lpwstr>
      </vt:variant>
      <vt:variant>
        <vt:lpwstr/>
      </vt:variant>
      <vt:variant>
        <vt:i4>7012404</vt:i4>
      </vt:variant>
      <vt:variant>
        <vt:i4>48</vt:i4>
      </vt:variant>
      <vt:variant>
        <vt:i4>0</vt:i4>
      </vt:variant>
      <vt:variant>
        <vt:i4>5</vt:i4>
      </vt:variant>
      <vt:variant>
        <vt:lpwstr>https://files.americanexperiment.org/wp-content/uploads/2024/07/Health-Care-Choice-Compacts.pdf</vt:lpwstr>
      </vt:variant>
      <vt:variant>
        <vt:lpwstr/>
      </vt:variant>
      <vt:variant>
        <vt:i4>327700</vt:i4>
      </vt:variant>
      <vt:variant>
        <vt:i4>45</vt:i4>
      </vt:variant>
      <vt:variant>
        <vt:i4>0</vt:i4>
      </vt:variant>
      <vt:variant>
        <vt:i4>5</vt:i4>
      </vt:variant>
      <vt:variant>
        <vt:lpwstr>https://compacts.csg.org/faq/</vt:lpwstr>
      </vt:variant>
      <vt:variant>
        <vt:lpwstr/>
      </vt:variant>
      <vt:variant>
        <vt:i4>196672</vt:i4>
      </vt:variant>
      <vt:variant>
        <vt:i4>42</vt:i4>
      </vt:variant>
      <vt:variant>
        <vt:i4>0</vt:i4>
      </vt:variant>
      <vt:variant>
        <vt:i4>5</vt:i4>
      </vt:variant>
      <vt:variant>
        <vt:lpwstr>https://www.healthcarecompact.org/about.html</vt:lpwstr>
      </vt:variant>
      <vt:variant>
        <vt:lpwstr/>
      </vt:variant>
      <vt:variant>
        <vt:i4>327700</vt:i4>
      </vt:variant>
      <vt:variant>
        <vt:i4>39</vt:i4>
      </vt:variant>
      <vt:variant>
        <vt:i4>0</vt:i4>
      </vt:variant>
      <vt:variant>
        <vt:i4>5</vt:i4>
      </vt:variant>
      <vt:variant>
        <vt:lpwstr>https://compacts.csg.org/faq/</vt:lpwstr>
      </vt:variant>
      <vt:variant>
        <vt:lpwstr/>
      </vt:variant>
      <vt:variant>
        <vt:i4>196672</vt:i4>
      </vt:variant>
      <vt:variant>
        <vt:i4>36</vt:i4>
      </vt:variant>
      <vt:variant>
        <vt:i4>0</vt:i4>
      </vt:variant>
      <vt:variant>
        <vt:i4>5</vt:i4>
      </vt:variant>
      <vt:variant>
        <vt:lpwstr>https://www.healthcarecompact.org/about.html</vt:lpwstr>
      </vt:variant>
      <vt:variant>
        <vt:lpwstr/>
      </vt:variant>
      <vt:variant>
        <vt:i4>3080309</vt:i4>
      </vt:variant>
      <vt:variant>
        <vt:i4>33</vt:i4>
      </vt:variant>
      <vt:variant>
        <vt:i4>0</vt:i4>
      </vt:variant>
      <vt:variant>
        <vt:i4>5</vt:i4>
      </vt:variant>
      <vt:variant>
        <vt:lpwstr>https://www.insurancecompact.org/about/faq</vt:lpwstr>
      </vt:variant>
      <vt:variant>
        <vt:lpwstr/>
      </vt:variant>
      <vt:variant>
        <vt:i4>4325377</vt:i4>
      </vt:variant>
      <vt:variant>
        <vt:i4>30</vt:i4>
      </vt:variant>
      <vt:variant>
        <vt:i4>0</vt:i4>
      </vt:variant>
      <vt:variant>
        <vt:i4>5</vt:i4>
      </vt:variant>
      <vt:variant>
        <vt:lpwstr>https://www.cms.gov/cciio/programs-and-initiatives/state-innovation-waivers/downloads/ia-letter-withdraw-1332-waiver.pdf</vt:lpwstr>
      </vt:variant>
      <vt:variant>
        <vt:lpwstr/>
      </vt:variant>
      <vt:variant>
        <vt:i4>327753</vt:i4>
      </vt:variant>
      <vt:variant>
        <vt:i4>27</vt:i4>
      </vt:variant>
      <vt:variant>
        <vt:i4>0</vt:i4>
      </vt:variant>
      <vt:variant>
        <vt:i4>5</vt:i4>
      </vt:variant>
      <vt:variant>
        <vt:lpwstr>https://www.cms.gov/cciio/programs-and-initiatives/state-innovation-waivers/section_1332_state_innovation_waivers-/1332-ga-fact-sheet.pdf</vt:lpwstr>
      </vt:variant>
      <vt:variant>
        <vt:lpwstr/>
      </vt:variant>
      <vt:variant>
        <vt:i4>5111835</vt:i4>
      </vt:variant>
      <vt:variant>
        <vt:i4>24</vt:i4>
      </vt:variant>
      <vt:variant>
        <vt:i4>0</vt:i4>
      </vt:variant>
      <vt:variant>
        <vt:i4>5</vt:i4>
      </vt:variant>
      <vt:variant>
        <vt:lpwstr>https://www.cms.gov/files/document/cciio-data-brief-042024-508-final.pdf</vt:lpwstr>
      </vt:variant>
      <vt:variant>
        <vt:lpwstr/>
      </vt:variant>
      <vt:variant>
        <vt:i4>4784204</vt:i4>
      </vt:variant>
      <vt:variant>
        <vt:i4>21</vt:i4>
      </vt:variant>
      <vt:variant>
        <vt:i4>0</vt:i4>
      </vt:variant>
      <vt:variant>
        <vt:i4>5</vt:i4>
      </vt:variant>
      <vt:variant>
        <vt:lpwstr>https://www.shadac.org/publications/1332-state-innovation-waivers</vt:lpwstr>
      </vt:variant>
      <vt:variant>
        <vt:lpwstr/>
      </vt:variant>
      <vt:variant>
        <vt:i4>5111835</vt:i4>
      </vt:variant>
      <vt:variant>
        <vt:i4>18</vt:i4>
      </vt:variant>
      <vt:variant>
        <vt:i4>0</vt:i4>
      </vt:variant>
      <vt:variant>
        <vt:i4>5</vt:i4>
      </vt:variant>
      <vt:variant>
        <vt:lpwstr>https://www.cms.gov/files/document/cciio-data-brief-042024-508-final.pdf</vt:lpwstr>
      </vt:variant>
      <vt:variant>
        <vt:lpwstr/>
      </vt:variant>
      <vt:variant>
        <vt:i4>6225985</vt:i4>
      </vt:variant>
      <vt:variant>
        <vt:i4>15</vt:i4>
      </vt:variant>
      <vt:variant>
        <vt:i4>0</vt:i4>
      </vt:variant>
      <vt:variant>
        <vt:i4>5</vt:i4>
      </vt:variant>
      <vt:variant>
        <vt:lpwstr>https://unitedstatesofcare.org/wp-content/uploads/2023/05/1332-Chart.pdf</vt:lpwstr>
      </vt:variant>
      <vt:variant>
        <vt:lpwstr/>
      </vt:variant>
      <vt:variant>
        <vt:i4>5505033</vt:i4>
      </vt:variant>
      <vt:variant>
        <vt:i4>12</vt:i4>
      </vt:variant>
      <vt:variant>
        <vt:i4>0</vt:i4>
      </vt:variant>
      <vt:variant>
        <vt:i4>5</vt:i4>
      </vt:variant>
      <vt:variant>
        <vt:lpwstr>https://www.law.cornell.edu/uscode/text/42/18052</vt:lpwstr>
      </vt:variant>
      <vt:variant>
        <vt:lpwstr/>
      </vt:variant>
      <vt:variant>
        <vt:i4>4849686</vt:i4>
      </vt:variant>
      <vt:variant>
        <vt:i4>9</vt:i4>
      </vt:variant>
      <vt:variant>
        <vt:i4>0</vt:i4>
      </vt:variant>
      <vt:variant>
        <vt:i4>5</vt:i4>
      </vt:variant>
      <vt:variant>
        <vt:lpwstr>https://mn.gov/dhs/assets/forecastDHS_202502_tcm1053-671523.pdf</vt:lpwstr>
      </vt:variant>
      <vt:variant>
        <vt:lpwstr/>
      </vt:variant>
      <vt:variant>
        <vt:i4>917573</vt:i4>
      </vt:variant>
      <vt:variant>
        <vt:i4>6</vt:i4>
      </vt:variant>
      <vt:variant>
        <vt:i4>0</vt:i4>
      </vt:variant>
      <vt:variant>
        <vt:i4>5</vt:i4>
      </vt:variant>
      <vt:variant>
        <vt:lpwstr>https://hcopub.dhs.state.mn.us/epm/3.htm</vt:lpwstr>
      </vt:variant>
      <vt:variant>
        <vt:lpwstr/>
      </vt:variant>
      <vt:variant>
        <vt:i4>2031700</vt:i4>
      </vt:variant>
      <vt:variant>
        <vt:i4>3</vt:i4>
      </vt:variant>
      <vt:variant>
        <vt:i4>0</vt:i4>
      </vt:variant>
      <vt:variant>
        <vt:i4>5</vt:i4>
      </vt:variant>
      <vt:variant>
        <vt:lpwstr>https://mn.gov/dhs/assets/BHP_Trust_Fund_Feb25_tcm1053-671717.pdf</vt:lpwstr>
      </vt:variant>
      <vt:variant>
        <vt:lpwstr/>
      </vt:variant>
      <vt:variant>
        <vt:i4>393220</vt:i4>
      </vt:variant>
      <vt:variant>
        <vt:i4>0</vt:i4>
      </vt:variant>
      <vt:variant>
        <vt:i4>0</vt:i4>
      </vt:variant>
      <vt:variant>
        <vt:i4>5</vt:i4>
      </vt:variant>
      <vt:variant>
        <vt:lpwstr>https://www.medicaid.gov/basic-health-program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NAIC</dc:creator>
  <cp:keywords/>
  <dc:description/>
  <cp:lastModifiedBy>Touschner, Joe</cp:lastModifiedBy>
  <cp:revision>2</cp:revision>
  <dcterms:created xsi:type="dcterms:W3CDTF">2025-12-17T16:34:00Z</dcterms:created>
  <dcterms:modified xsi:type="dcterms:W3CDTF">2025-12-17T16:34:00Z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naic</vt:lpwstr>
  </property>
  <property fmtid="{D5CDD505-2E9C-101B-9397-08002B2CF9AE}" pid="3" name="TemplafyTemplateId">
    <vt:lpwstr>637807208034158280</vt:lpwstr>
  </property>
  <property fmtid="{D5CDD505-2E9C-101B-9397-08002B2CF9AE}" pid="4" name="TemplafyUserProfileId">
    <vt:lpwstr>637720793817323206</vt:lpwstr>
  </property>
  <property fmtid="{D5CDD505-2E9C-101B-9397-08002B2CF9AE}" pid="5" name="TemplafyFromBlank">
    <vt:bool>false</vt:bool>
  </property>
  <property fmtid="{D5CDD505-2E9C-101B-9397-08002B2CF9AE}" pid="6" name="ContentTypeId">
    <vt:lpwstr>0x0101000F1FFE666137624DBD990529B435E7FE</vt:lpwstr>
  </property>
  <property fmtid="{D5CDD505-2E9C-101B-9397-08002B2CF9AE}" pid="7" name="MediaServiceImageTags">
    <vt:lpwstr/>
  </property>
</Properties>
</file>