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venir Next LT Pro" w:eastAsiaTheme="minorEastAsia" w:hAnsi="Avenir Next LT Pro" w:cstheme="minorBidi"/>
          <w:sz w:val="22"/>
          <w:szCs w:val="22"/>
        </w:rPr>
        <w:id w:val="2061590322"/>
        <w:docPartObj>
          <w:docPartGallery w:val="Table of Contents"/>
          <w:docPartUnique/>
        </w:docPartObj>
      </w:sdtPr>
      <w:sdtEndPr>
        <w:rPr>
          <w:rFonts w:asciiTheme="minorHAnsi" w:hAnsiTheme="minorHAnsi"/>
          <w:b/>
          <w:bCs/>
          <w:noProof/>
        </w:rPr>
      </w:sdtEndPr>
      <w:sdtContent>
        <w:p w14:paraId="5C07411A" w14:textId="3FF9E4A8" w:rsidR="001112D4" w:rsidRDefault="001C24F4" w:rsidP="00A14671">
          <w:pPr>
            <w:pStyle w:val="BodyText"/>
            <w:rPr>
              <w:rFonts w:ascii="Avenir Next LT Pro" w:eastAsiaTheme="minorHAnsi" w:hAnsi="Avenir Next LT Pro" w:cstheme="minorBidi"/>
              <w:sz w:val="22"/>
              <w:szCs w:val="22"/>
            </w:rPr>
          </w:pPr>
          <w:r>
            <w:rPr>
              <w:noProof/>
            </w:rPr>
            <w:drawing>
              <wp:anchor distT="0" distB="0" distL="114300" distR="114300" simplePos="0" relativeHeight="251658258" behindDoc="0" locked="0" layoutInCell="1" allowOverlap="1" wp14:anchorId="5F3DE28A" wp14:editId="6440842D">
                <wp:simplePos x="0" y="0"/>
                <wp:positionH relativeFrom="margin">
                  <wp:posOffset>4869180</wp:posOffset>
                </wp:positionH>
                <wp:positionV relativeFrom="page">
                  <wp:posOffset>91440</wp:posOffset>
                </wp:positionV>
                <wp:extent cx="1365250" cy="640080"/>
                <wp:effectExtent l="0" t="0" r="6350" b="7620"/>
                <wp:wrapNone/>
                <wp:docPr id="1873441378" name="Picture 1873441378"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ign, clipart&#10;&#10;Description automatically generated"/>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36525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0" distR="0" simplePos="0" relativeHeight="251658259" behindDoc="1" locked="0" layoutInCell="1" allowOverlap="1" wp14:anchorId="094757B0" wp14:editId="68C18CB9">
                    <wp:simplePos x="0" y="0"/>
                    <wp:positionH relativeFrom="page">
                      <wp:posOffset>0</wp:posOffset>
                    </wp:positionH>
                    <wp:positionV relativeFrom="page">
                      <wp:posOffset>807720</wp:posOffset>
                    </wp:positionV>
                    <wp:extent cx="7772400" cy="9247505"/>
                    <wp:effectExtent l="0" t="0" r="0" b="0"/>
                    <wp:wrapNone/>
                    <wp:docPr id="1065543334" name="Group 1065543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9247505"/>
                              <a:chOff x="0" y="718359"/>
                              <a:chExt cx="7772717" cy="8224663"/>
                            </a:xfrm>
                          </wpg:grpSpPr>
                          <pic:pic xmlns:pic="http://schemas.openxmlformats.org/drawingml/2006/picture">
                            <pic:nvPicPr>
                              <pic:cNvPr id="1319622611" name="Image 2"/>
                              <pic:cNvPicPr/>
                            </pic:nvPicPr>
                            <pic:blipFill>
                              <a:blip r:embed="rId12" cstate="email">
                                <a:extLst>
                                  <a:ext uri="{28A0092B-C50C-407E-A947-70E740481C1C}">
                                    <a14:useLocalDpi xmlns:a14="http://schemas.microsoft.com/office/drawing/2010/main"/>
                                  </a:ext>
                                </a:extLst>
                              </a:blip>
                              <a:stretch>
                                <a:fillRect/>
                              </a:stretch>
                            </pic:blipFill>
                            <pic:spPr>
                              <a:xfrm>
                                <a:off x="0" y="718359"/>
                                <a:ext cx="7772400" cy="8224473"/>
                              </a:xfrm>
                              <a:prstGeom prst="rect">
                                <a:avLst/>
                              </a:prstGeom>
                            </pic:spPr>
                          </pic:pic>
                          <wps:wsp>
                            <wps:cNvPr id="1486490558" name="Graphic 3"/>
                            <wps:cNvSpPr/>
                            <wps:spPr>
                              <a:xfrm>
                                <a:off x="1587" y="725136"/>
                                <a:ext cx="7771130" cy="8217886"/>
                              </a:xfrm>
                              <a:custGeom>
                                <a:avLst/>
                                <a:gdLst/>
                                <a:ahLst/>
                                <a:cxnLst/>
                                <a:rect l="l" t="t" r="r" b="b"/>
                                <a:pathLst>
                                  <a:path w="7771130" h="8941435">
                                    <a:moveTo>
                                      <a:pt x="7770812" y="0"/>
                                    </a:moveTo>
                                    <a:lnTo>
                                      <a:pt x="0" y="0"/>
                                    </a:lnTo>
                                    <a:lnTo>
                                      <a:pt x="0" y="8941244"/>
                                    </a:lnTo>
                                    <a:lnTo>
                                      <a:pt x="7770812" y="8941244"/>
                                    </a:lnTo>
                                    <a:lnTo>
                                      <a:pt x="7770812" y="0"/>
                                    </a:lnTo>
                                    <a:close/>
                                  </a:path>
                                </a:pathLst>
                              </a:custGeom>
                              <a:solidFill>
                                <a:srgbClr val="005CB9">
                                  <a:alpha val="75000"/>
                                </a:srgbClr>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xmlns:c="http://schemas.openxmlformats.org/drawingml/2006/chart">
                <w:pict w14:anchorId="15086A25">
                  <v:group id="Group 1065543334" style="position:absolute;margin-left:0;margin-top:63.6pt;width:612pt;height:728.15pt;z-index:-251658224;mso-wrap-distance-left:0;mso-wrap-distance-right:0;mso-position-horizontal-relative:page;mso-position-vertical-relative:page;mso-height-relative:margin" coordsize="77727,82246" coordorigin=",7183" o:spid="_x0000_s1026" w14:anchorId="13448BC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2" style="position:absolute;top:7183;width:77724;height:8224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">
                      <v:imagedata o:title="" r:id="rId13"/>
                    </v:shape>
                    <v:shape id="Graphic 3" style="position:absolute;left:15;top:7251;width:77712;height:82179;visibility:visible;mso-wrap-style:square;v-text-anchor:top" coordsize="7771130,8941435" o:spid="_x0000_s1028" fillcolor="#005cb9" stroked="f" path="m7770812,l,,,8941244r7770812,l7770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">
                      <v:fill opacity="49087f"/>
                      <v:path arrowok="t"/>
                    </v:shape>
                    <w10:wrap anchorx="page" anchory="page"/>
                  </v:group>
                </w:pict>
              </mc:Fallback>
            </mc:AlternateContent>
          </w:r>
        </w:p>
        <w:p w14:paraId="0A7AD412" w14:textId="77777777" w:rsidR="001112D4" w:rsidRDefault="001112D4" w:rsidP="00A14671">
          <w:pPr>
            <w:pStyle w:val="BodyText"/>
            <w:rPr>
              <w:rFonts w:ascii="Avenir Next LT Pro" w:eastAsiaTheme="minorHAnsi" w:hAnsi="Avenir Next LT Pro" w:cstheme="minorBidi"/>
              <w:sz w:val="22"/>
              <w:szCs w:val="22"/>
            </w:rPr>
          </w:pPr>
        </w:p>
        <w:p w14:paraId="4F6759FC" w14:textId="77777777" w:rsidR="001112D4" w:rsidRDefault="001112D4" w:rsidP="00A14671">
          <w:pPr>
            <w:pStyle w:val="BodyText"/>
            <w:rPr>
              <w:rFonts w:ascii="Avenir Next LT Pro" w:eastAsiaTheme="minorHAnsi" w:hAnsi="Avenir Next LT Pro" w:cstheme="minorBidi"/>
              <w:sz w:val="22"/>
              <w:szCs w:val="22"/>
            </w:rPr>
          </w:pPr>
        </w:p>
        <w:p w14:paraId="0C2ACBB1" w14:textId="77777777" w:rsidR="001112D4" w:rsidRDefault="001112D4" w:rsidP="00A14671">
          <w:pPr>
            <w:pStyle w:val="BodyText"/>
            <w:rPr>
              <w:rFonts w:ascii="Avenir Next LT Pro" w:eastAsiaTheme="minorHAnsi" w:hAnsi="Avenir Next LT Pro" w:cstheme="minorBidi"/>
              <w:sz w:val="22"/>
              <w:szCs w:val="22"/>
            </w:rPr>
          </w:pPr>
        </w:p>
        <w:p w14:paraId="183C0F65" w14:textId="77777777" w:rsidR="00720C22" w:rsidRDefault="00720C22" w:rsidP="00A14671">
          <w:pPr>
            <w:pStyle w:val="BodyText"/>
            <w:rPr>
              <w:rFonts w:ascii="Avenir Next LT Pro" w:eastAsiaTheme="minorHAnsi" w:hAnsi="Avenir Next LT Pro" w:cstheme="minorBidi"/>
              <w:sz w:val="22"/>
              <w:szCs w:val="22"/>
            </w:rPr>
          </w:pPr>
        </w:p>
        <w:p w14:paraId="7820BC63" w14:textId="0E7EF0E3" w:rsidR="00A14671" w:rsidRDefault="00A14671" w:rsidP="00A14671">
          <w:pPr>
            <w:pStyle w:val="BodyText"/>
            <w:rPr>
              <w:rFonts w:ascii="Times New Roman"/>
            </w:rPr>
          </w:pPr>
        </w:p>
        <w:p w14:paraId="1AE813B5" w14:textId="77777777" w:rsidR="00A14671" w:rsidRDefault="00A14671" w:rsidP="00A14671">
          <w:pPr>
            <w:pStyle w:val="BodyText"/>
            <w:spacing w:before="175"/>
            <w:rPr>
              <w:rFonts w:ascii="Times New Roman"/>
            </w:rPr>
          </w:pPr>
        </w:p>
        <w:p w14:paraId="5448D667" w14:textId="147A0DE4" w:rsidR="00A14671" w:rsidRDefault="00B20685" w:rsidP="00A14671">
          <w:pPr>
            <w:pStyle w:val="BodyText"/>
            <w:spacing w:before="1"/>
            <w:ind w:left="4622"/>
            <w:jc w:val="right"/>
          </w:pPr>
          <w:r>
            <w:rPr>
              <w:color w:val="FFFFFF"/>
              <w:spacing w:val="13"/>
              <w:w w:val="105"/>
            </w:rPr>
            <w:t>FINANCIAL STABILITY</w:t>
          </w:r>
          <w:r w:rsidR="00155B95">
            <w:rPr>
              <w:color w:val="FFFFFF"/>
              <w:spacing w:val="13"/>
              <w:w w:val="105"/>
            </w:rPr>
            <w:t>(E)</w:t>
          </w:r>
          <w:r w:rsidR="00A14671">
            <w:rPr>
              <w:color w:val="FFFFFF"/>
              <w:spacing w:val="24"/>
              <w:w w:val="105"/>
            </w:rPr>
            <w:t xml:space="preserve"> </w:t>
          </w:r>
          <w:r w:rsidR="00A14671">
            <w:rPr>
              <w:color w:val="FFFFFF"/>
              <w:w w:val="105"/>
            </w:rPr>
            <w:t>TASK</w:t>
          </w:r>
          <w:r w:rsidR="00A14671">
            <w:rPr>
              <w:color w:val="FFFFFF"/>
              <w:spacing w:val="27"/>
              <w:w w:val="105"/>
            </w:rPr>
            <w:t xml:space="preserve"> </w:t>
          </w:r>
          <w:r w:rsidR="00A14671">
            <w:rPr>
              <w:color w:val="FFFFFF"/>
              <w:spacing w:val="13"/>
              <w:w w:val="105"/>
            </w:rPr>
            <w:t>FORCE</w:t>
          </w:r>
        </w:p>
        <w:p w14:paraId="09560A7C" w14:textId="3BCAA850" w:rsidR="00A14671" w:rsidRDefault="00A47E65" w:rsidP="00FF0F9B">
          <w:pPr>
            <w:pStyle w:val="BodyText"/>
            <w:spacing w:before="77"/>
            <w:ind w:left="5400"/>
          </w:pPr>
          <w:r>
            <w:t xml:space="preserve">Attachment </w:t>
          </w:r>
          <w:r w:rsidR="00FF0F9B">
            <w:t>F</w:t>
          </w:r>
          <w:r w:rsidR="00D2293D">
            <w:t>ive</w:t>
          </w:r>
        </w:p>
        <w:p w14:paraId="44DCDB16" w14:textId="77777777" w:rsidR="00A14671" w:rsidRDefault="00A14671" w:rsidP="00A14671">
          <w:pPr>
            <w:pStyle w:val="BodyText"/>
            <w:spacing w:before="288"/>
            <w:rPr>
              <w:sz w:val="46"/>
            </w:rPr>
          </w:pPr>
        </w:p>
        <w:p w14:paraId="67CDC2FE" w14:textId="77777777" w:rsidR="00A14671" w:rsidRDefault="00A14671" w:rsidP="00A14671">
          <w:pPr>
            <w:spacing w:before="1"/>
            <w:ind w:left="90"/>
            <w:jc w:val="center"/>
            <w:rPr>
              <w:rFonts w:ascii="Arial" w:hAnsi="Arial" w:cs="Arial"/>
              <w:b/>
              <w:color w:val="FFFFFF"/>
              <w:spacing w:val="-2"/>
              <w:w w:val="85"/>
              <w:sz w:val="46"/>
            </w:rPr>
          </w:pPr>
          <w:r w:rsidRPr="00D852CA">
            <w:rPr>
              <w:rFonts w:ascii="Arial" w:hAnsi="Arial" w:cs="Arial"/>
              <w:b/>
              <w:color w:val="FFFFFF"/>
              <w:w w:val="85"/>
              <w:sz w:val="46"/>
            </w:rPr>
            <w:t>U.S.</w:t>
          </w:r>
          <w:r w:rsidRPr="00D852CA">
            <w:rPr>
              <w:rFonts w:ascii="Arial" w:hAnsi="Arial" w:cs="Arial"/>
              <w:b/>
              <w:color w:val="FFFFFF"/>
              <w:spacing w:val="1"/>
              <w:sz w:val="46"/>
            </w:rPr>
            <w:t xml:space="preserve"> </w:t>
          </w:r>
          <w:r w:rsidRPr="00D852CA">
            <w:rPr>
              <w:rFonts w:ascii="Arial" w:hAnsi="Arial" w:cs="Arial"/>
              <w:b/>
              <w:color w:val="FFFFFF"/>
              <w:w w:val="85"/>
              <w:sz w:val="46"/>
            </w:rPr>
            <w:t>Insurance</w:t>
          </w:r>
          <w:r w:rsidRPr="00D852CA">
            <w:rPr>
              <w:rFonts w:ascii="Arial" w:hAnsi="Arial" w:cs="Arial"/>
              <w:b/>
              <w:color w:val="FFFFFF"/>
              <w:spacing w:val="21"/>
              <w:sz w:val="46"/>
            </w:rPr>
            <w:t xml:space="preserve"> </w:t>
          </w:r>
          <w:r w:rsidRPr="00D852CA">
            <w:rPr>
              <w:rFonts w:ascii="Arial" w:hAnsi="Arial" w:cs="Arial"/>
              <w:b/>
              <w:color w:val="FFFFFF"/>
              <w:spacing w:val="-2"/>
              <w:w w:val="85"/>
              <w:sz w:val="46"/>
            </w:rPr>
            <w:t>Industry</w:t>
          </w:r>
        </w:p>
        <w:p w14:paraId="5BBE689B" w14:textId="77777777" w:rsidR="00A14671" w:rsidRPr="00D852CA" w:rsidRDefault="00A14671" w:rsidP="00A14671">
          <w:pPr>
            <w:spacing w:before="1"/>
            <w:ind w:left="4601"/>
            <w:rPr>
              <w:rFonts w:ascii="Arial" w:hAnsi="Arial" w:cs="Arial"/>
              <w:b/>
              <w:sz w:val="46"/>
            </w:rPr>
          </w:pPr>
        </w:p>
        <w:p w14:paraId="32BFF673" w14:textId="4A344BBE" w:rsidR="00A14671" w:rsidRDefault="00155B95" w:rsidP="00A14671">
          <w:pPr>
            <w:pStyle w:val="Title"/>
            <w:spacing w:line="235" w:lineRule="auto"/>
            <w:jc w:val="center"/>
            <w:rPr>
              <w:b/>
              <w:bCs/>
              <w:color w:val="FFFFFF"/>
              <w:spacing w:val="-2"/>
            </w:rPr>
          </w:pPr>
          <w:r>
            <w:rPr>
              <w:b/>
              <w:bCs/>
              <w:color w:val="FFFFFF"/>
              <w:spacing w:val="-2"/>
            </w:rPr>
            <w:t>MACROPRUDENTIAL</w:t>
          </w:r>
        </w:p>
        <w:p w14:paraId="095E6216" w14:textId="77777777" w:rsidR="00A14671" w:rsidRDefault="00A14671" w:rsidP="00A14671">
          <w:pPr>
            <w:pStyle w:val="Title"/>
            <w:spacing w:line="235" w:lineRule="auto"/>
            <w:jc w:val="center"/>
            <w:rPr>
              <w:b/>
              <w:bCs/>
              <w:color w:val="FFFFFF"/>
              <w:spacing w:val="-2"/>
            </w:rPr>
          </w:pPr>
          <w:r w:rsidRPr="000518F1">
            <w:rPr>
              <w:b/>
              <w:bCs/>
              <w:color w:val="FFFFFF"/>
              <w:spacing w:val="-2"/>
            </w:rPr>
            <w:t>RISK DASHBOARD</w:t>
          </w:r>
        </w:p>
        <w:p w14:paraId="7025CC59" w14:textId="618734F6" w:rsidR="00E16530" w:rsidRPr="00B077D1" w:rsidRDefault="00E16530" w:rsidP="00B077D1">
          <w:pPr>
            <w:jc w:val="center"/>
            <w:rPr>
              <w:rFonts w:asciiTheme="majorHAnsi" w:hAnsiTheme="majorHAnsi" w:cstheme="majorHAnsi"/>
              <w:b/>
              <w:bCs/>
              <w:color w:val="FFFFFF" w:themeColor="background1"/>
              <w:sz w:val="72"/>
              <w:szCs w:val="72"/>
            </w:rPr>
          </w:pPr>
          <w:r w:rsidRPr="00B077D1">
            <w:rPr>
              <w:rFonts w:asciiTheme="majorHAnsi" w:hAnsiTheme="majorHAnsi" w:cstheme="majorHAnsi"/>
              <w:b/>
              <w:bCs/>
              <w:color w:val="FFFFFF" w:themeColor="background1"/>
              <w:sz w:val="72"/>
              <w:szCs w:val="72"/>
            </w:rPr>
            <w:t>Summary Report</w:t>
          </w:r>
        </w:p>
        <w:p w14:paraId="04E5A456" w14:textId="099B171D" w:rsidR="00A14671" w:rsidRDefault="00A14671" w:rsidP="00A14671">
          <w:pPr>
            <w:spacing w:before="454"/>
            <w:jc w:val="center"/>
            <w:rPr>
              <w:rFonts w:ascii="Lucida Sans"/>
              <w:color w:val="FFFFFF"/>
              <w:spacing w:val="-8"/>
              <w:sz w:val="39"/>
            </w:rPr>
          </w:pPr>
          <w:r>
            <w:rPr>
              <w:rFonts w:ascii="Lucida Sans"/>
              <w:color w:val="FFFFFF"/>
              <w:spacing w:val="-8"/>
              <w:sz w:val="39"/>
            </w:rPr>
            <w:t>As</w:t>
          </w:r>
          <w:r>
            <w:rPr>
              <w:rFonts w:ascii="Lucida Sans"/>
              <w:color w:val="FFFFFF"/>
              <w:spacing w:val="-21"/>
              <w:sz w:val="39"/>
            </w:rPr>
            <w:t xml:space="preserve"> </w:t>
          </w:r>
          <w:r>
            <w:rPr>
              <w:rFonts w:ascii="Lucida Sans"/>
              <w:color w:val="FFFFFF"/>
              <w:spacing w:val="-8"/>
              <w:sz w:val="39"/>
            </w:rPr>
            <w:t>of</w:t>
          </w:r>
          <w:r>
            <w:rPr>
              <w:rFonts w:ascii="Lucida Sans"/>
              <w:color w:val="FFFFFF"/>
              <w:spacing w:val="-9"/>
              <w:sz w:val="39"/>
            </w:rPr>
            <w:t xml:space="preserve"> </w:t>
          </w:r>
          <w:r>
            <w:rPr>
              <w:rFonts w:ascii="Lucida Sans"/>
              <w:color w:val="FFFFFF"/>
              <w:spacing w:val="-8"/>
              <w:sz w:val="39"/>
            </w:rPr>
            <w:t>December</w:t>
          </w:r>
          <w:r>
            <w:rPr>
              <w:rFonts w:ascii="Lucida Sans"/>
              <w:color w:val="FFFFFF"/>
              <w:spacing w:val="-21"/>
              <w:sz w:val="39"/>
            </w:rPr>
            <w:t xml:space="preserve"> </w:t>
          </w:r>
          <w:r>
            <w:rPr>
              <w:rFonts w:ascii="Lucida Sans"/>
              <w:color w:val="FFFFFF"/>
              <w:spacing w:val="-8"/>
              <w:sz w:val="39"/>
            </w:rPr>
            <w:t>31,</w:t>
          </w:r>
          <w:r>
            <w:rPr>
              <w:rFonts w:ascii="Lucida Sans"/>
              <w:color w:val="FFFFFF"/>
              <w:spacing w:val="-33"/>
              <w:sz w:val="39"/>
            </w:rPr>
            <w:t xml:space="preserve"> </w:t>
          </w:r>
          <w:r>
            <w:rPr>
              <w:rFonts w:ascii="Lucida Sans"/>
              <w:color w:val="FFFFFF"/>
              <w:spacing w:val="-8"/>
              <w:sz w:val="39"/>
            </w:rPr>
            <w:t>202</w:t>
          </w:r>
          <w:r w:rsidR="00E870EB">
            <w:rPr>
              <w:rFonts w:ascii="Lucida Sans"/>
              <w:color w:val="FFFFFF"/>
              <w:spacing w:val="-8"/>
              <w:sz w:val="39"/>
            </w:rPr>
            <w:t>5</w:t>
          </w:r>
        </w:p>
        <w:p w14:paraId="78DE2F83" w14:textId="5E797D5B" w:rsidR="00A14671" w:rsidRPr="00FA3AB4" w:rsidRDefault="00FA3AB4" w:rsidP="00FA3AB4">
          <w:pPr>
            <w:spacing w:before="454"/>
            <w:jc w:val="center"/>
            <w:rPr>
              <w:rFonts w:ascii="Lucida Sans"/>
              <w:b/>
              <w:bCs/>
              <w:color w:val="FF0000"/>
              <w:spacing w:val="-8"/>
              <w:sz w:val="52"/>
              <w:szCs w:val="52"/>
            </w:rPr>
          </w:pPr>
          <w:r w:rsidRPr="00FA3AB4">
            <w:rPr>
              <w:rFonts w:ascii="Lucida Sans"/>
              <w:b/>
              <w:bCs/>
              <w:color w:val="FF0000"/>
              <w:spacing w:val="-8"/>
              <w:sz w:val="52"/>
              <w:szCs w:val="52"/>
            </w:rPr>
            <w:t>DRAFT</w:t>
          </w:r>
        </w:p>
        <w:p w14:paraId="4AB0687F" w14:textId="77777777" w:rsidR="00A14671" w:rsidRDefault="00A14671" w:rsidP="00A14671">
          <w:pPr>
            <w:spacing w:before="454"/>
            <w:ind w:left="4601"/>
            <w:rPr>
              <w:rFonts w:ascii="Lucida Sans"/>
              <w:color w:val="FFFFFF"/>
              <w:spacing w:val="-8"/>
              <w:sz w:val="39"/>
            </w:rPr>
          </w:pPr>
        </w:p>
        <w:p w14:paraId="6CA59DFC" w14:textId="77777777" w:rsidR="00A14671" w:rsidRDefault="00A14671" w:rsidP="00A14671">
          <w:pPr>
            <w:spacing w:before="454"/>
            <w:ind w:left="4601"/>
            <w:rPr>
              <w:rFonts w:ascii="Lucida Sans"/>
              <w:color w:val="FFFFFF"/>
              <w:spacing w:val="-8"/>
              <w:sz w:val="39"/>
            </w:rPr>
          </w:pPr>
        </w:p>
        <w:p w14:paraId="28AAC230" w14:textId="0E456B5F" w:rsidR="00A14671" w:rsidRPr="00DD33E4" w:rsidRDefault="00A14671" w:rsidP="00A14671">
          <w:pPr>
            <w:spacing w:before="454"/>
            <w:rPr>
              <w:rFonts w:ascii="Lucida Sans"/>
              <w:color w:val="FFFFFF" w:themeColor="background1"/>
              <w:sz w:val="28"/>
              <w:szCs w:val="28"/>
            </w:rPr>
          </w:pPr>
          <w:r w:rsidRPr="00DD33E4">
            <w:rPr>
              <w:rFonts w:ascii="Lucida Sans"/>
              <w:color w:val="FFFFFF" w:themeColor="background1"/>
              <w:sz w:val="28"/>
              <w:szCs w:val="28"/>
            </w:rPr>
            <w:t xml:space="preserve">Published:  </w:t>
          </w:r>
          <w:r w:rsidR="00A47E65">
            <w:rPr>
              <w:rFonts w:ascii="Lucida Sans"/>
              <w:color w:val="FFFFFF" w:themeColor="background1"/>
              <w:sz w:val="28"/>
              <w:szCs w:val="28"/>
            </w:rPr>
            <w:t>August</w:t>
          </w:r>
          <w:r w:rsidRPr="00DD33E4">
            <w:rPr>
              <w:rFonts w:ascii="Lucida Sans"/>
              <w:color w:val="FFFFFF" w:themeColor="background1"/>
              <w:sz w:val="28"/>
              <w:szCs w:val="28"/>
            </w:rPr>
            <w:t>, 202</w:t>
          </w:r>
          <w:r w:rsidR="008C3E6A">
            <w:rPr>
              <w:rFonts w:ascii="Lucida Sans"/>
              <w:color w:val="FFFFFF" w:themeColor="background1"/>
              <w:sz w:val="28"/>
              <w:szCs w:val="28"/>
            </w:rPr>
            <w:t>6</w:t>
          </w:r>
        </w:p>
        <w:p w14:paraId="39E865CF" w14:textId="77777777" w:rsidR="00A14671" w:rsidRDefault="00A14671" w:rsidP="00A14671">
          <w:pPr>
            <w:rPr>
              <w:rFonts w:ascii="Avenir Next LT Pro" w:hAnsi="Avenir Next LT Pro"/>
            </w:rPr>
          </w:pPr>
          <w:r>
            <w:rPr>
              <w:rFonts w:ascii="Avenir Next LT Pro" w:hAnsi="Avenir Next LT Pro"/>
            </w:rPr>
            <w:br w:type="page"/>
          </w:r>
        </w:p>
        <w:p w14:paraId="7A858ABF" w14:textId="23967CC9" w:rsidR="00A14671" w:rsidRDefault="00A14671">
          <w:pPr>
            <w:pStyle w:val="TOCHeading"/>
            <w:rPr>
              <w:rFonts w:ascii="Avenir Next LT Pro" w:eastAsiaTheme="minorHAnsi" w:hAnsi="Avenir Next LT Pro" w:cstheme="minorBidi"/>
              <w:color w:val="auto"/>
              <w:sz w:val="22"/>
              <w:szCs w:val="22"/>
            </w:rPr>
          </w:pPr>
        </w:p>
        <w:p w14:paraId="7A42F868" w14:textId="4CF748A9" w:rsidR="001F2A1E" w:rsidRPr="00C6748B" w:rsidRDefault="00A517B7">
          <w:pPr>
            <w:pStyle w:val="TOCHeading"/>
            <w:rPr>
              <w:b/>
              <w:color w:val="4472C4" w:themeColor="accent1"/>
              <w:sz w:val="40"/>
              <w:szCs w:val="40"/>
            </w:rPr>
          </w:pPr>
          <w:r>
            <w:t xml:space="preserve">Table of </w:t>
          </w:r>
          <w:r w:rsidR="001F2A1E">
            <w:t>Contents</w:t>
          </w:r>
        </w:p>
        <w:p w14:paraId="576AF676" w14:textId="0DA790F1" w:rsidR="00233116" w:rsidRDefault="008654C3">
          <w:pPr>
            <w:pStyle w:val="TOC1"/>
            <w:rPr>
              <w:rFonts w:eastAsiaTheme="minorEastAsia"/>
              <w:noProof/>
              <w:kern w:val="2"/>
              <w:sz w:val="24"/>
              <w:szCs w:val="24"/>
              <w14:ligatures w14:val="standardContextual"/>
            </w:rPr>
          </w:pPr>
          <w:r>
            <w:fldChar w:fldCharType="begin"/>
          </w:r>
          <w:r>
            <w:instrText xml:space="preserve"> TOC \o "1-1" \h \z \u </w:instrText>
          </w:r>
          <w:r>
            <w:fldChar w:fldCharType="separate"/>
          </w:r>
          <w:hyperlink w:anchor="_Toc232602953" w:history="1">
            <w:r w:rsidR="00233116" w:rsidRPr="00184360">
              <w:rPr>
                <w:rStyle w:val="Hyperlink"/>
                <w:noProof/>
              </w:rPr>
              <w:t>Executive Summary</w:t>
            </w:r>
            <w:r w:rsidR="00233116">
              <w:rPr>
                <w:noProof/>
                <w:webHidden/>
              </w:rPr>
              <w:tab/>
            </w:r>
            <w:r w:rsidR="00233116">
              <w:rPr>
                <w:noProof/>
                <w:webHidden/>
              </w:rPr>
              <w:fldChar w:fldCharType="begin"/>
            </w:r>
            <w:r w:rsidR="00233116">
              <w:rPr>
                <w:noProof/>
                <w:webHidden/>
              </w:rPr>
              <w:instrText xml:space="preserve"> PAGEREF _Toc232602953 \h </w:instrText>
            </w:r>
            <w:r w:rsidR="00233116">
              <w:rPr>
                <w:noProof/>
                <w:webHidden/>
              </w:rPr>
            </w:r>
            <w:r w:rsidR="00233116">
              <w:rPr>
                <w:noProof/>
                <w:webHidden/>
              </w:rPr>
              <w:fldChar w:fldCharType="separate"/>
            </w:r>
            <w:r w:rsidR="0068489B">
              <w:rPr>
                <w:noProof/>
                <w:webHidden/>
              </w:rPr>
              <w:t>4</w:t>
            </w:r>
            <w:r w:rsidR="00233116">
              <w:rPr>
                <w:noProof/>
                <w:webHidden/>
              </w:rPr>
              <w:fldChar w:fldCharType="end"/>
            </w:r>
          </w:hyperlink>
        </w:p>
        <w:p w14:paraId="3D7E020E" w14:textId="4CCD4318" w:rsidR="00233116" w:rsidRDefault="00233116">
          <w:pPr>
            <w:pStyle w:val="TOC1"/>
            <w:rPr>
              <w:rFonts w:eastAsiaTheme="minorEastAsia"/>
              <w:noProof/>
              <w:kern w:val="2"/>
              <w:sz w:val="24"/>
              <w:szCs w:val="24"/>
              <w14:ligatures w14:val="standardContextual"/>
            </w:rPr>
          </w:pPr>
          <w:hyperlink w:anchor="_Toc232602954" w:history="1">
            <w:r w:rsidRPr="00184360">
              <w:rPr>
                <w:rStyle w:val="Hyperlink"/>
                <w:noProof/>
              </w:rPr>
              <w:t>Recommendations</w:t>
            </w:r>
            <w:r>
              <w:rPr>
                <w:noProof/>
                <w:webHidden/>
              </w:rPr>
              <w:tab/>
            </w:r>
            <w:r>
              <w:rPr>
                <w:noProof/>
                <w:webHidden/>
              </w:rPr>
              <w:fldChar w:fldCharType="begin"/>
            </w:r>
            <w:r>
              <w:rPr>
                <w:noProof/>
                <w:webHidden/>
              </w:rPr>
              <w:instrText xml:space="preserve"> PAGEREF _Toc232602954 \h </w:instrText>
            </w:r>
            <w:r>
              <w:rPr>
                <w:noProof/>
                <w:webHidden/>
              </w:rPr>
            </w:r>
            <w:r>
              <w:rPr>
                <w:noProof/>
                <w:webHidden/>
              </w:rPr>
              <w:fldChar w:fldCharType="separate"/>
            </w:r>
            <w:r w:rsidR="0068489B">
              <w:rPr>
                <w:noProof/>
                <w:webHidden/>
              </w:rPr>
              <w:t>6</w:t>
            </w:r>
            <w:r>
              <w:rPr>
                <w:noProof/>
                <w:webHidden/>
              </w:rPr>
              <w:fldChar w:fldCharType="end"/>
            </w:r>
          </w:hyperlink>
        </w:p>
        <w:p w14:paraId="2621B039" w14:textId="59EC17DA" w:rsidR="00233116" w:rsidRDefault="00233116">
          <w:pPr>
            <w:pStyle w:val="TOC1"/>
            <w:rPr>
              <w:rFonts w:eastAsiaTheme="minorEastAsia"/>
              <w:noProof/>
              <w:kern w:val="2"/>
              <w:sz w:val="24"/>
              <w:szCs w:val="24"/>
              <w14:ligatures w14:val="standardContextual"/>
            </w:rPr>
          </w:pPr>
          <w:hyperlink w:anchor="_Toc232602955" w:history="1">
            <w:r w:rsidRPr="00184360">
              <w:rPr>
                <w:rStyle w:val="Hyperlink"/>
                <w:noProof/>
              </w:rPr>
              <w:t>Macroprudential Assessment</w:t>
            </w:r>
            <w:r>
              <w:rPr>
                <w:noProof/>
                <w:webHidden/>
              </w:rPr>
              <w:tab/>
            </w:r>
            <w:r>
              <w:rPr>
                <w:noProof/>
                <w:webHidden/>
              </w:rPr>
              <w:fldChar w:fldCharType="begin"/>
            </w:r>
            <w:r>
              <w:rPr>
                <w:noProof/>
                <w:webHidden/>
              </w:rPr>
              <w:instrText xml:space="preserve"> PAGEREF _Toc232602955 \h </w:instrText>
            </w:r>
            <w:r>
              <w:rPr>
                <w:noProof/>
                <w:webHidden/>
              </w:rPr>
            </w:r>
            <w:r>
              <w:rPr>
                <w:noProof/>
                <w:webHidden/>
              </w:rPr>
              <w:fldChar w:fldCharType="separate"/>
            </w:r>
            <w:r w:rsidR="0068489B">
              <w:rPr>
                <w:noProof/>
                <w:webHidden/>
              </w:rPr>
              <w:t>7</w:t>
            </w:r>
            <w:r>
              <w:rPr>
                <w:noProof/>
                <w:webHidden/>
              </w:rPr>
              <w:fldChar w:fldCharType="end"/>
            </w:r>
          </w:hyperlink>
        </w:p>
        <w:p w14:paraId="75724C14" w14:textId="697AFCF4" w:rsidR="00233116" w:rsidRDefault="00233116">
          <w:pPr>
            <w:pStyle w:val="TOC1"/>
            <w:rPr>
              <w:rFonts w:eastAsiaTheme="minorEastAsia"/>
              <w:noProof/>
              <w:kern w:val="2"/>
              <w:sz w:val="24"/>
              <w:szCs w:val="24"/>
              <w14:ligatures w14:val="standardContextual"/>
            </w:rPr>
          </w:pPr>
          <w:hyperlink w:anchor="_Toc232602956" w:history="1">
            <w:r w:rsidRPr="00184360">
              <w:rPr>
                <w:rStyle w:val="Hyperlink"/>
                <w:noProof/>
              </w:rPr>
              <w:t>Macroeconomic Risk: Summary</w:t>
            </w:r>
            <w:r>
              <w:rPr>
                <w:noProof/>
                <w:webHidden/>
              </w:rPr>
              <w:tab/>
            </w:r>
            <w:r>
              <w:rPr>
                <w:noProof/>
                <w:webHidden/>
              </w:rPr>
              <w:fldChar w:fldCharType="begin"/>
            </w:r>
            <w:r>
              <w:rPr>
                <w:noProof/>
                <w:webHidden/>
              </w:rPr>
              <w:instrText xml:space="preserve"> PAGEREF _Toc232602956 \h </w:instrText>
            </w:r>
            <w:r>
              <w:rPr>
                <w:noProof/>
                <w:webHidden/>
              </w:rPr>
            </w:r>
            <w:r>
              <w:rPr>
                <w:noProof/>
                <w:webHidden/>
              </w:rPr>
              <w:fldChar w:fldCharType="separate"/>
            </w:r>
            <w:r w:rsidR="0068489B">
              <w:rPr>
                <w:noProof/>
                <w:webHidden/>
              </w:rPr>
              <w:t>8</w:t>
            </w:r>
            <w:r>
              <w:rPr>
                <w:noProof/>
                <w:webHidden/>
              </w:rPr>
              <w:fldChar w:fldCharType="end"/>
            </w:r>
          </w:hyperlink>
        </w:p>
        <w:p w14:paraId="3CDD7F25" w14:textId="0560D18A" w:rsidR="00233116" w:rsidRDefault="00233116">
          <w:pPr>
            <w:pStyle w:val="TOC1"/>
            <w:rPr>
              <w:rFonts w:eastAsiaTheme="minorEastAsia"/>
              <w:noProof/>
              <w:kern w:val="2"/>
              <w:sz w:val="24"/>
              <w:szCs w:val="24"/>
              <w14:ligatures w14:val="standardContextual"/>
            </w:rPr>
          </w:pPr>
          <w:hyperlink w:anchor="_Toc232602957" w:history="1">
            <w:r w:rsidRPr="00184360">
              <w:rPr>
                <w:rStyle w:val="Hyperlink"/>
                <w:noProof/>
              </w:rPr>
              <w:t>Interconnectedness Risk: Summary</w:t>
            </w:r>
            <w:r>
              <w:rPr>
                <w:noProof/>
                <w:webHidden/>
              </w:rPr>
              <w:tab/>
            </w:r>
            <w:r>
              <w:rPr>
                <w:noProof/>
                <w:webHidden/>
              </w:rPr>
              <w:fldChar w:fldCharType="begin"/>
            </w:r>
            <w:r>
              <w:rPr>
                <w:noProof/>
                <w:webHidden/>
              </w:rPr>
              <w:instrText xml:space="preserve"> PAGEREF _Toc232602957 \h </w:instrText>
            </w:r>
            <w:r>
              <w:rPr>
                <w:noProof/>
                <w:webHidden/>
              </w:rPr>
            </w:r>
            <w:r>
              <w:rPr>
                <w:noProof/>
                <w:webHidden/>
              </w:rPr>
              <w:fldChar w:fldCharType="separate"/>
            </w:r>
            <w:r w:rsidR="0068489B">
              <w:rPr>
                <w:noProof/>
                <w:webHidden/>
              </w:rPr>
              <w:t>13</w:t>
            </w:r>
            <w:r>
              <w:rPr>
                <w:noProof/>
                <w:webHidden/>
              </w:rPr>
              <w:fldChar w:fldCharType="end"/>
            </w:r>
          </w:hyperlink>
        </w:p>
        <w:p w14:paraId="18638D3A" w14:textId="045A1A5D" w:rsidR="00233116" w:rsidRDefault="00233116">
          <w:pPr>
            <w:pStyle w:val="TOC1"/>
            <w:rPr>
              <w:rFonts w:eastAsiaTheme="minorEastAsia"/>
              <w:noProof/>
              <w:kern w:val="2"/>
              <w:sz w:val="24"/>
              <w:szCs w:val="24"/>
              <w14:ligatures w14:val="standardContextual"/>
            </w:rPr>
          </w:pPr>
          <w:hyperlink w:anchor="_Toc232602958" w:history="1">
            <w:r w:rsidRPr="00184360">
              <w:rPr>
                <w:rStyle w:val="Hyperlink"/>
                <w:noProof/>
              </w:rPr>
              <w:t>Underwriting &amp; Profitability Risk: Summary</w:t>
            </w:r>
            <w:r>
              <w:rPr>
                <w:noProof/>
                <w:webHidden/>
              </w:rPr>
              <w:tab/>
            </w:r>
            <w:r>
              <w:rPr>
                <w:noProof/>
                <w:webHidden/>
              </w:rPr>
              <w:fldChar w:fldCharType="begin"/>
            </w:r>
            <w:r>
              <w:rPr>
                <w:noProof/>
                <w:webHidden/>
              </w:rPr>
              <w:instrText xml:space="preserve"> PAGEREF _Toc232602958 \h </w:instrText>
            </w:r>
            <w:r>
              <w:rPr>
                <w:noProof/>
                <w:webHidden/>
              </w:rPr>
            </w:r>
            <w:r>
              <w:rPr>
                <w:noProof/>
                <w:webHidden/>
              </w:rPr>
              <w:fldChar w:fldCharType="separate"/>
            </w:r>
            <w:r w:rsidR="0068489B">
              <w:rPr>
                <w:noProof/>
                <w:webHidden/>
              </w:rPr>
              <w:t>17</w:t>
            </w:r>
            <w:r>
              <w:rPr>
                <w:noProof/>
                <w:webHidden/>
              </w:rPr>
              <w:fldChar w:fldCharType="end"/>
            </w:r>
          </w:hyperlink>
        </w:p>
        <w:p w14:paraId="3E2DBB4B" w14:textId="5B87E407" w:rsidR="00233116" w:rsidRDefault="00233116">
          <w:pPr>
            <w:pStyle w:val="TOC1"/>
            <w:rPr>
              <w:rFonts w:eastAsiaTheme="minorEastAsia"/>
              <w:noProof/>
              <w:kern w:val="2"/>
              <w:sz w:val="24"/>
              <w:szCs w:val="24"/>
              <w14:ligatures w14:val="standardContextual"/>
            </w:rPr>
          </w:pPr>
          <w:hyperlink w:anchor="_Toc232602959" w:history="1">
            <w:r w:rsidRPr="00184360">
              <w:rPr>
                <w:rStyle w:val="Hyperlink"/>
                <w:noProof/>
              </w:rPr>
              <w:t>Market Risk: Summary</w:t>
            </w:r>
            <w:r>
              <w:rPr>
                <w:noProof/>
                <w:webHidden/>
              </w:rPr>
              <w:tab/>
            </w:r>
            <w:r>
              <w:rPr>
                <w:noProof/>
                <w:webHidden/>
              </w:rPr>
              <w:fldChar w:fldCharType="begin"/>
            </w:r>
            <w:r>
              <w:rPr>
                <w:noProof/>
                <w:webHidden/>
              </w:rPr>
              <w:instrText xml:space="preserve"> PAGEREF _Toc232602959 \h </w:instrText>
            </w:r>
            <w:r>
              <w:rPr>
                <w:noProof/>
                <w:webHidden/>
              </w:rPr>
            </w:r>
            <w:r>
              <w:rPr>
                <w:noProof/>
                <w:webHidden/>
              </w:rPr>
              <w:fldChar w:fldCharType="separate"/>
            </w:r>
            <w:r w:rsidR="0068489B">
              <w:rPr>
                <w:noProof/>
                <w:webHidden/>
              </w:rPr>
              <w:t>24</w:t>
            </w:r>
            <w:r>
              <w:rPr>
                <w:noProof/>
                <w:webHidden/>
              </w:rPr>
              <w:fldChar w:fldCharType="end"/>
            </w:r>
          </w:hyperlink>
        </w:p>
        <w:p w14:paraId="7B77022F" w14:textId="141E9673" w:rsidR="00233116" w:rsidRDefault="00233116">
          <w:pPr>
            <w:pStyle w:val="TOC1"/>
            <w:rPr>
              <w:rFonts w:eastAsiaTheme="minorEastAsia"/>
              <w:noProof/>
              <w:kern w:val="2"/>
              <w:sz w:val="24"/>
              <w:szCs w:val="24"/>
              <w14:ligatures w14:val="standardContextual"/>
            </w:rPr>
          </w:pPr>
          <w:hyperlink w:anchor="_Toc232602960" w:history="1">
            <w:r w:rsidRPr="00184360">
              <w:rPr>
                <w:rStyle w:val="Hyperlink"/>
                <w:noProof/>
              </w:rPr>
              <w:t>Credit Risk: Summary</w:t>
            </w:r>
            <w:r>
              <w:rPr>
                <w:noProof/>
                <w:webHidden/>
              </w:rPr>
              <w:tab/>
            </w:r>
            <w:r>
              <w:rPr>
                <w:noProof/>
                <w:webHidden/>
              </w:rPr>
              <w:fldChar w:fldCharType="begin"/>
            </w:r>
            <w:r>
              <w:rPr>
                <w:noProof/>
                <w:webHidden/>
              </w:rPr>
              <w:instrText xml:space="preserve"> PAGEREF _Toc232602960 \h </w:instrText>
            </w:r>
            <w:r>
              <w:rPr>
                <w:noProof/>
                <w:webHidden/>
              </w:rPr>
            </w:r>
            <w:r>
              <w:rPr>
                <w:noProof/>
                <w:webHidden/>
              </w:rPr>
              <w:fldChar w:fldCharType="separate"/>
            </w:r>
            <w:r w:rsidR="0068489B">
              <w:rPr>
                <w:noProof/>
                <w:webHidden/>
              </w:rPr>
              <w:t>28</w:t>
            </w:r>
            <w:r>
              <w:rPr>
                <w:noProof/>
                <w:webHidden/>
              </w:rPr>
              <w:fldChar w:fldCharType="end"/>
            </w:r>
          </w:hyperlink>
        </w:p>
        <w:p w14:paraId="1F9BD264" w14:textId="07CA266D" w:rsidR="00233116" w:rsidRDefault="00233116">
          <w:pPr>
            <w:pStyle w:val="TOC1"/>
            <w:rPr>
              <w:rFonts w:eastAsiaTheme="minorEastAsia"/>
              <w:noProof/>
              <w:kern w:val="2"/>
              <w:sz w:val="24"/>
              <w:szCs w:val="24"/>
              <w14:ligatures w14:val="standardContextual"/>
            </w:rPr>
          </w:pPr>
          <w:hyperlink w:anchor="_Toc232602961" w:history="1">
            <w:r w:rsidRPr="00184360">
              <w:rPr>
                <w:rStyle w:val="Hyperlink"/>
                <w:noProof/>
              </w:rPr>
              <w:t>Liquidity Risk: Summary</w:t>
            </w:r>
            <w:r>
              <w:rPr>
                <w:noProof/>
                <w:webHidden/>
              </w:rPr>
              <w:tab/>
            </w:r>
            <w:r>
              <w:rPr>
                <w:noProof/>
                <w:webHidden/>
              </w:rPr>
              <w:fldChar w:fldCharType="begin"/>
            </w:r>
            <w:r>
              <w:rPr>
                <w:noProof/>
                <w:webHidden/>
              </w:rPr>
              <w:instrText xml:space="preserve"> PAGEREF _Toc232602961 \h </w:instrText>
            </w:r>
            <w:r>
              <w:rPr>
                <w:noProof/>
                <w:webHidden/>
              </w:rPr>
            </w:r>
            <w:r>
              <w:rPr>
                <w:noProof/>
                <w:webHidden/>
              </w:rPr>
              <w:fldChar w:fldCharType="separate"/>
            </w:r>
            <w:r w:rsidR="0068489B">
              <w:rPr>
                <w:noProof/>
                <w:webHidden/>
              </w:rPr>
              <w:t>31</w:t>
            </w:r>
            <w:r>
              <w:rPr>
                <w:noProof/>
                <w:webHidden/>
              </w:rPr>
              <w:fldChar w:fldCharType="end"/>
            </w:r>
          </w:hyperlink>
        </w:p>
        <w:p w14:paraId="37E30FFC" w14:textId="32916C52" w:rsidR="00233116" w:rsidRDefault="004C50DF">
          <w:pPr>
            <w:pStyle w:val="TOC1"/>
            <w:rPr>
              <w:rFonts w:eastAsiaTheme="minorEastAsia"/>
              <w:noProof/>
              <w:kern w:val="2"/>
              <w:sz w:val="24"/>
              <w:szCs w:val="24"/>
              <w14:ligatures w14:val="standardContextual"/>
            </w:rPr>
          </w:pPr>
          <w:hyperlink w:anchor="_Toc232602962" w:history="1">
            <w:r>
              <w:rPr>
                <w:rStyle w:val="Hyperlink"/>
                <w:noProof/>
              </w:rPr>
              <w:t>Capital Adequacy</w:t>
            </w:r>
            <w:r w:rsidR="00233116" w:rsidRPr="00184360">
              <w:rPr>
                <w:rStyle w:val="Hyperlink"/>
                <w:noProof/>
              </w:rPr>
              <w:t xml:space="preserve"> Risk: Summary</w:t>
            </w:r>
            <w:r w:rsidR="00233116">
              <w:rPr>
                <w:noProof/>
                <w:webHidden/>
              </w:rPr>
              <w:tab/>
            </w:r>
            <w:r w:rsidR="00233116">
              <w:rPr>
                <w:noProof/>
                <w:webHidden/>
              </w:rPr>
              <w:fldChar w:fldCharType="begin"/>
            </w:r>
            <w:r w:rsidR="00233116">
              <w:rPr>
                <w:noProof/>
                <w:webHidden/>
              </w:rPr>
              <w:instrText xml:space="preserve"> PAGEREF _Toc232602962 \h </w:instrText>
            </w:r>
            <w:r w:rsidR="00233116">
              <w:rPr>
                <w:noProof/>
                <w:webHidden/>
              </w:rPr>
            </w:r>
            <w:r w:rsidR="00233116">
              <w:rPr>
                <w:noProof/>
                <w:webHidden/>
              </w:rPr>
              <w:fldChar w:fldCharType="separate"/>
            </w:r>
            <w:r w:rsidR="0068489B">
              <w:rPr>
                <w:noProof/>
                <w:webHidden/>
              </w:rPr>
              <w:t>35</w:t>
            </w:r>
            <w:r w:rsidR="00233116">
              <w:rPr>
                <w:noProof/>
                <w:webHidden/>
              </w:rPr>
              <w:fldChar w:fldCharType="end"/>
            </w:r>
          </w:hyperlink>
        </w:p>
        <w:p w14:paraId="1CE8FF3B" w14:textId="70091655" w:rsidR="00233116" w:rsidRDefault="00233116">
          <w:pPr>
            <w:pStyle w:val="TOC1"/>
            <w:rPr>
              <w:rFonts w:eastAsiaTheme="minorEastAsia"/>
              <w:noProof/>
              <w:kern w:val="2"/>
              <w:sz w:val="24"/>
              <w:szCs w:val="24"/>
              <w14:ligatures w14:val="standardContextual"/>
            </w:rPr>
          </w:pPr>
          <w:hyperlink w:anchor="_Toc232602963" w:history="1">
            <w:r w:rsidRPr="00184360">
              <w:rPr>
                <w:rStyle w:val="Hyperlink"/>
                <w:noProof/>
              </w:rPr>
              <w:t>Emerging/Other Risk</w:t>
            </w:r>
            <w:r>
              <w:rPr>
                <w:noProof/>
                <w:webHidden/>
              </w:rPr>
              <w:tab/>
            </w:r>
            <w:r>
              <w:rPr>
                <w:noProof/>
                <w:webHidden/>
              </w:rPr>
              <w:fldChar w:fldCharType="begin"/>
            </w:r>
            <w:r>
              <w:rPr>
                <w:noProof/>
                <w:webHidden/>
              </w:rPr>
              <w:instrText xml:space="preserve"> PAGEREF _Toc232602963 \h </w:instrText>
            </w:r>
            <w:r>
              <w:rPr>
                <w:noProof/>
                <w:webHidden/>
              </w:rPr>
            </w:r>
            <w:r>
              <w:rPr>
                <w:noProof/>
                <w:webHidden/>
              </w:rPr>
              <w:fldChar w:fldCharType="separate"/>
            </w:r>
            <w:r w:rsidR="0068489B">
              <w:rPr>
                <w:noProof/>
                <w:webHidden/>
              </w:rPr>
              <w:t>38</w:t>
            </w:r>
            <w:r>
              <w:rPr>
                <w:noProof/>
                <w:webHidden/>
              </w:rPr>
              <w:fldChar w:fldCharType="end"/>
            </w:r>
          </w:hyperlink>
        </w:p>
        <w:p w14:paraId="31943541" w14:textId="6EAF9DEC" w:rsidR="00233116" w:rsidRDefault="00233116">
          <w:pPr>
            <w:pStyle w:val="TOC1"/>
            <w:rPr>
              <w:rFonts w:eastAsiaTheme="minorEastAsia"/>
              <w:noProof/>
              <w:kern w:val="2"/>
              <w:sz w:val="24"/>
              <w:szCs w:val="24"/>
              <w14:ligatures w14:val="standardContextual"/>
            </w:rPr>
          </w:pPr>
          <w:hyperlink w:anchor="_Toc232602964" w:history="1">
            <w:r w:rsidRPr="00184360">
              <w:rPr>
                <w:rStyle w:val="Hyperlink"/>
                <w:noProof/>
              </w:rPr>
              <w:t>Appendix A: Risk Assessment Scale</w:t>
            </w:r>
            <w:r>
              <w:rPr>
                <w:noProof/>
                <w:webHidden/>
              </w:rPr>
              <w:tab/>
            </w:r>
            <w:r>
              <w:rPr>
                <w:noProof/>
                <w:webHidden/>
              </w:rPr>
              <w:fldChar w:fldCharType="begin"/>
            </w:r>
            <w:r>
              <w:rPr>
                <w:noProof/>
                <w:webHidden/>
              </w:rPr>
              <w:instrText xml:space="preserve"> PAGEREF _Toc232602964 \h </w:instrText>
            </w:r>
            <w:r>
              <w:rPr>
                <w:noProof/>
                <w:webHidden/>
              </w:rPr>
            </w:r>
            <w:r>
              <w:rPr>
                <w:noProof/>
                <w:webHidden/>
              </w:rPr>
              <w:fldChar w:fldCharType="separate"/>
            </w:r>
            <w:r w:rsidR="0068489B">
              <w:rPr>
                <w:noProof/>
                <w:webHidden/>
              </w:rPr>
              <w:t>39</w:t>
            </w:r>
            <w:r>
              <w:rPr>
                <w:noProof/>
                <w:webHidden/>
              </w:rPr>
              <w:fldChar w:fldCharType="end"/>
            </w:r>
          </w:hyperlink>
        </w:p>
        <w:p w14:paraId="1DCBC8A5" w14:textId="7E94B6F7" w:rsidR="00233116" w:rsidRDefault="00233116">
          <w:pPr>
            <w:pStyle w:val="TOC1"/>
            <w:rPr>
              <w:rFonts w:eastAsiaTheme="minorEastAsia"/>
              <w:noProof/>
              <w:kern w:val="2"/>
              <w:sz w:val="24"/>
              <w:szCs w:val="24"/>
              <w14:ligatures w14:val="standardContextual"/>
            </w:rPr>
          </w:pPr>
          <w:hyperlink w:anchor="_Toc232602965" w:history="1">
            <w:r w:rsidRPr="00184360">
              <w:rPr>
                <w:rStyle w:val="Hyperlink"/>
                <w:noProof/>
              </w:rPr>
              <w:t>Appendix B: Insurance Industry by the Numbers</w:t>
            </w:r>
            <w:r>
              <w:rPr>
                <w:noProof/>
                <w:webHidden/>
              </w:rPr>
              <w:tab/>
            </w:r>
            <w:r>
              <w:rPr>
                <w:noProof/>
                <w:webHidden/>
              </w:rPr>
              <w:fldChar w:fldCharType="begin"/>
            </w:r>
            <w:r>
              <w:rPr>
                <w:noProof/>
                <w:webHidden/>
              </w:rPr>
              <w:instrText xml:space="preserve"> PAGEREF _Toc232602965 \h </w:instrText>
            </w:r>
            <w:r>
              <w:rPr>
                <w:noProof/>
                <w:webHidden/>
              </w:rPr>
            </w:r>
            <w:r>
              <w:rPr>
                <w:noProof/>
                <w:webHidden/>
              </w:rPr>
              <w:fldChar w:fldCharType="separate"/>
            </w:r>
            <w:r w:rsidR="0068489B">
              <w:rPr>
                <w:noProof/>
                <w:webHidden/>
              </w:rPr>
              <w:t>40</w:t>
            </w:r>
            <w:r>
              <w:rPr>
                <w:noProof/>
                <w:webHidden/>
              </w:rPr>
              <w:fldChar w:fldCharType="end"/>
            </w:r>
          </w:hyperlink>
        </w:p>
        <w:p w14:paraId="7640AECE" w14:textId="2DDD271A" w:rsidR="001F2A1E" w:rsidRDefault="008654C3">
          <w:r>
            <w:fldChar w:fldCharType="end"/>
          </w:r>
        </w:p>
      </w:sdtContent>
    </w:sdt>
    <w:p w14:paraId="3587D33D" w14:textId="77777777" w:rsidR="003767F3" w:rsidRDefault="003767F3">
      <w:pPr>
        <w:jc w:val="left"/>
        <w:rPr>
          <w:b/>
          <w:bCs/>
          <w:color w:val="4472C4" w:themeColor="accent1"/>
          <w:sz w:val="40"/>
          <w:szCs w:val="40"/>
        </w:rPr>
      </w:pPr>
    </w:p>
    <w:p w14:paraId="03281514" w14:textId="211ECC14" w:rsidR="00D127A1" w:rsidRDefault="00D127A1">
      <w:pPr>
        <w:jc w:val="left"/>
        <w:rPr>
          <w:b/>
          <w:bCs/>
          <w:color w:val="4472C4" w:themeColor="accent1"/>
          <w:sz w:val="40"/>
          <w:szCs w:val="40"/>
        </w:rPr>
      </w:pPr>
      <w:r>
        <w:rPr>
          <w:b/>
          <w:bCs/>
          <w:color w:val="4472C4" w:themeColor="accent1"/>
          <w:sz w:val="40"/>
          <w:szCs w:val="40"/>
        </w:rPr>
        <w:br w:type="page"/>
      </w:r>
    </w:p>
    <w:p w14:paraId="695C32B0" w14:textId="2D122793" w:rsidR="00EA36D5" w:rsidRPr="00CD62C3" w:rsidRDefault="002F40E2" w:rsidP="00EA36D5">
      <w:pPr>
        <w:jc w:val="center"/>
        <w:rPr>
          <w:rFonts w:asciiTheme="majorHAnsi" w:hAnsiTheme="majorHAnsi" w:cstheme="majorHAnsi"/>
          <w:b/>
          <w:bCs/>
          <w:color w:val="4472C4" w:themeColor="accent1"/>
          <w:sz w:val="40"/>
          <w:szCs w:val="40"/>
        </w:rPr>
      </w:pPr>
      <w:r>
        <w:rPr>
          <w:rFonts w:asciiTheme="majorHAnsi" w:hAnsiTheme="majorHAnsi" w:cstheme="majorHAnsi"/>
          <w:b/>
          <w:bCs/>
          <w:color w:val="4472C4" w:themeColor="accent1"/>
          <w:sz w:val="40"/>
          <w:szCs w:val="40"/>
        </w:rPr>
        <w:t>Macrop</w:t>
      </w:r>
      <w:r w:rsidR="00C54571">
        <w:rPr>
          <w:rFonts w:asciiTheme="majorHAnsi" w:hAnsiTheme="majorHAnsi" w:cstheme="majorHAnsi"/>
          <w:b/>
          <w:bCs/>
          <w:color w:val="4472C4" w:themeColor="accent1"/>
          <w:sz w:val="40"/>
          <w:szCs w:val="40"/>
        </w:rPr>
        <w:t>rudential</w:t>
      </w:r>
      <w:r w:rsidR="00EA36D5" w:rsidRPr="00CD62C3">
        <w:rPr>
          <w:rFonts w:asciiTheme="majorHAnsi" w:hAnsiTheme="majorHAnsi" w:cstheme="majorHAnsi"/>
          <w:b/>
          <w:bCs/>
          <w:color w:val="4472C4" w:themeColor="accent1"/>
          <w:sz w:val="40"/>
          <w:szCs w:val="40"/>
        </w:rPr>
        <w:t xml:space="preserve"> Risk Dashboard Summary</w:t>
      </w:r>
    </w:p>
    <w:tbl>
      <w:tblPr>
        <w:tblStyle w:val="TableGrid"/>
        <w:tblW w:w="0" w:type="auto"/>
        <w:tblLook w:val="04A0" w:firstRow="1" w:lastRow="0" w:firstColumn="1" w:lastColumn="0" w:noHBand="0" w:noVBand="1"/>
      </w:tblPr>
      <w:tblGrid>
        <w:gridCol w:w="3116"/>
        <w:gridCol w:w="1379"/>
        <w:gridCol w:w="4770"/>
      </w:tblGrid>
      <w:tr w:rsidR="00EA36D5" w14:paraId="40936CFF" w14:textId="77777777" w:rsidTr="005032E3">
        <w:trPr>
          <w:trHeight w:val="692"/>
        </w:trPr>
        <w:tc>
          <w:tcPr>
            <w:tcW w:w="3116" w:type="dxa"/>
            <w:shd w:val="clear" w:color="auto" w:fill="8EAADB" w:themeFill="accent1" w:themeFillTint="99"/>
            <w:vAlign w:val="center"/>
          </w:tcPr>
          <w:p w14:paraId="11116C19" w14:textId="006C4834" w:rsidR="00EA36D5" w:rsidRPr="00810AC2" w:rsidRDefault="00EA36D5" w:rsidP="005032E3">
            <w:pPr>
              <w:jc w:val="center"/>
              <w:rPr>
                <w:b/>
                <w:bCs/>
                <w:sz w:val="28"/>
                <w:szCs w:val="28"/>
              </w:rPr>
            </w:pPr>
            <w:r w:rsidRPr="00810AC2">
              <w:rPr>
                <w:b/>
                <w:bCs/>
                <w:sz w:val="28"/>
                <w:szCs w:val="28"/>
              </w:rPr>
              <w:t>Risk Category</w:t>
            </w:r>
          </w:p>
        </w:tc>
        <w:tc>
          <w:tcPr>
            <w:tcW w:w="1379" w:type="dxa"/>
            <w:shd w:val="clear" w:color="auto" w:fill="8EAADB" w:themeFill="accent1" w:themeFillTint="99"/>
            <w:vAlign w:val="center"/>
          </w:tcPr>
          <w:p w14:paraId="646CAC9C" w14:textId="77777777" w:rsidR="00EA36D5" w:rsidRPr="00810AC2" w:rsidRDefault="00EA36D5" w:rsidP="0012751F">
            <w:pPr>
              <w:jc w:val="center"/>
              <w:rPr>
                <w:b/>
                <w:bCs/>
                <w:sz w:val="28"/>
                <w:szCs w:val="28"/>
              </w:rPr>
            </w:pPr>
            <w:r w:rsidRPr="00810AC2">
              <w:rPr>
                <w:b/>
                <w:bCs/>
                <w:sz w:val="28"/>
                <w:szCs w:val="28"/>
              </w:rPr>
              <w:t>Trend</w:t>
            </w:r>
          </w:p>
        </w:tc>
        <w:tc>
          <w:tcPr>
            <w:tcW w:w="4770" w:type="dxa"/>
            <w:shd w:val="clear" w:color="auto" w:fill="8EAADB" w:themeFill="accent1" w:themeFillTint="99"/>
            <w:vAlign w:val="center"/>
          </w:tcPr>
          <w:p w14:paraId="3826B8FC" w14:textId="551A9E20" w:rsidR="00EA36D5" w:rsidRPr="00810AC2" w:rsidRDefault="00EA36D5" w:rsidP="005032E3">
            <w:pPr>
              <w:jc w:val="center"/>
              <w:rPr>
                <w:b/>
                <w:bCs/>
                <w:sz w:val="28"/>
                <w:szCs w:val="28"/>
              </w:rPr>
            </w:pPr>
            <w:r w:rsidRPr="00810AC2">
              <w:rPr>
                <w:b/>
                <w:bCs/>
                <w:sz w:val="28"/>
                <w:szCs w:val="28"/>
              </w:rPr>
              <w:t>Summary of Assessment</w:t>
            </w:r>
          </w:p>
        </w:tc>
      </w:tr>
      <w:tr w:rsidR="00724D78" w14:paraId="77FC3846" w14:textId="77777777" w:rsidTr="001965EC">
        <w:tc>
          <w:tcPr>
            <w:tcW w:w="3116" w:type="dxa"/>
            <w:shd w:val="clear" w:color="auto" w:fill="FFFF00"/>
          </w:tcPr>
          <w:p w14:paraId="4EB4C049" w14:textId="77777777" w:rsidR="007F2420" w:rsidRPr="00F66F96" w:rsidRDefault="007F2420" w:rsidP="00273D97">
            <w:pPr>
              <w:ind w:left="162"/>
              <w:rPr>
                <w:b/>
                <w:bCs/>
                <w:color w:val="000000" w:themeColor="text1"/>
                <w:sz w:val="24"/>
                <w:szCs w:val="24"/>
              </w:rPr>
            </w:pPr>
            <w:r w:rsidRPr="00F66F96">
              <w:rPr>
                <w:b/>
                <w:bCs/>
                <w:color w:val="000000" w:themeColor="text1"/>
                <w:sz w:val="24"/>
                <w:szCs w:val="24"/>
              </w:rPr>
              <w:t>Macroeconomic</w:t>
            </w:r>
          </w:p>
          <w:p w14:paraId="06AA93E3" w14:textId="77777777" w:rsidR="00724D78" w:rsidRDefault="00724D78" w:rsidP="00273D97">
            <w:pPr>
              <w:ind w:left="162"/>
              <w:rPr>
                <w:b/>
                <w:bCs/>
                <w:sz w:val="24"/>
                <w:szCs w:val="24"/>
              </w:rPr>
            </w:pPr>
          </w:p>
          <w:p w14:paraId="4BDCC4A6" w14:textId="77777777" w:rsidR="00724D78" w:rsidRDefault="00724D78" w:rsidP="00273D97">
            <w:pPr>
              <w:ind w:left="162"/>
              <w:rPr>
                <w:b/>
                <w:bCs/>
                <w:sz w:val="24"/>
                <w:szCs w:val="24"/>
              </w:rPr>
            </w:pPr>
          </w:p>
        </w:tc>
        <w:tc>
          <w:tcPr>
            <w:tcW w:w="1379" w:type="dxa"/>
            <w:vAlign w:val="center"/>
          </w:tcPr>
          <w:p w14:paraId="6F7101C6" w14:textId="4CC8EE07" w:rsidR="00724D78" w:rsidRDefault="00724D78" w:rsidP="0012751F">
            <w:pPr>
              <w:jc w:val="center"/>
              <w:rPr>
                <w:noProof/>
              </w:rPr>
            </w:pPr>
            <w:r>
              <w:rPr>
                <w:noProof/>
              </w:rPr>
              <mc:AlternateContent>
                <mc:Choice Requires="wps">
                  <w:drawing>
                    <wp:anchor distT="0" distB="0" distL="114300" distR="114300" simplePos="0" relativeHeight="251658252" behindDoc="0" locked="0" layoutInCell="1" allowOverlap="1" wp14:anchorId="536053D7" wp14:editId="62C03769">
                      <wp:simplePos x="0" y="0"/>
                      <wp:positionH relativeFrom="margin">
                        <wp:align>center</wp:align>
                      </wp:positionH>
                      <wp:positionV relativeFrom="paragraph">
                        <wp:posOffset>78105</wp:posOffset>
                      </wp:positionV>
                      <wp:extent cx="451511" cy="223025"/>
                      <wp:effectExtent l="0" t="76200" r="0" b="100965"/>
                      <wp:wrapNone/>
                      <wp:docPr id="328997894" name="Arrow: Right 17"/>
                      <wp:cNvGraphicFramePr/>
                      <a:graphic xmlns:a="http://schemas.openxmlformats.org/drawingml/2006/main">
                        <a:graphicData uri="http://schemas.microsoft.com/office/word/2010/wordprocessingShape">
                          <wps:wsp>
                            <wps:cNvSpPr/>
                            <wps:spPr>
                              <a:xfrm rot="19011731">
                                <a:off x="0" y="0"/>
                                <a:ext cx="451511" cy="223025"/>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5428CE5">
                    <v:shapetype id="_x0000_t13" coordsize="21600,21600" o:spt="13" adj="16200,5400" path="m@0,l@0@1,0@1,0@2@0@2@0,21600,21600,10800xe" w14:anchorId="20F0AE84">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7" style="position:absolute;margin-left:0;margin-top:6.15pt;width:35.55pt;height:17.55pt;rotation:-2827080fd;z-index:251658255;visibility:visible;mso-wrap-style:none;mso-width-percent:0;mso-wrap-distance-left:9pt;mso-wrap-distance-top:0;mso-wrap-distance-right:9pt;mso-wrap-distance-bottom:0;mso-position-horizontal:center;mso-position-horizontal-relative:margin;mso-position-vertical:absolute;mso-position-vertical-relative:text;mso-width-percent:0;mso-width-relative:margin;v-text-anchor:middle-center" o:spid="_x0000_s1026" fillcolor="#4472c4 [3204]" strokecolor="black [3213]" type="#_x0000_t13" adj="16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">
                      <v:textbox inset="2.5mm,1.25mm,2.5mm,1.25mm"/>
                      <w10:wrap anchorx="margin"/>
                    </v:shape>
                  </w:pict>
                </mc:Fallback>
              </mc:AlternateContent>
            </w:r>
          </w:p>
        </w:tc>
        <w:tc>
          <w:tcPr>
            <w:tcW w:w="4770" w:type="dxa"/>
          </w:tcPr>
          <w:p w14:paraId="5D5DF13A" w14:textId="154F2BAF" w:rsidR="00724D78" w:rsidRDefault="00440993" w:rsidP="00724D78">
            <w:r>
              <w:t>The U.S. economy is strong based on t</w:t>
            </w:r>
            <w:r w:rsidR="00071EF1">
              <w:t>raditional</w:t>
            </w:r>
            <w:r w:rsidR="00290868">
              <w:t xml:space="preserve"> indicators</w:t>
            </w:r>
            <w:r w:rsidR="00B62A22">
              <w:t xml:space="preserve">. </w:t>
            </w:r>
            <w:r w:rsidR="00290868">
              <w:t xml:space="preserve">This is tempered by </w:t>
            </w:r>
            <w:r w:rsidR="006D6BF7">
              <w:t xml:space="preserve">U.S. Sovereign rating agency downgrades and </w:t>
            </w:r>
            <w:r w:rsidR="007513A1">
              <w:t>USD/FX volatility.</w:t>
            </w:r>
          </w:p>
        </w:tc>
      </w:tr>
      <w:tr w:rsidR="00535036" w14:paraId="5961A79C" w14:textId="77777777" w:rsidTr="00F66F96">
        <w:tc>
          <w:tcPr>
            <w:tcW w:w="3116" w:type="dxa"/>
            <w:shd w:val="clear" w:color="auto" w:fill="FFFF00"/>
          </w:tcPr>
          <w:p w14:paraId="2B4D8D60" w14:textId="77777777" w:rsidR="007F2420" w:rsidRPr="00B635B1" w:rsidRDefault="007F2420" w:rsidP="00362C7C">
            <w:pPr>
              <w:ind w:left="162"/>
              <w:rPr>
                <w:b/>
                <w:sz w:val="24"/>
                <w:szCs w:val="24"/>
                <w:highlight w:val="yellow"/>
              </w:rPr>
            </w:pPr>
            <w:bookmarkStart w:id="0" w:name="_Toc221549286"/>
            <w:r w:rsidRPr="00B635B1">
              <w:rPr>
                <w:b/>
                <w:sz w:val="24"/>
                <w:szCs w:val="24"/>
                <w:highlight w:val="yellow"/>
              </w:rPr>
              <w:t>Interconnectedness</w:t>
            </w:r>
            <w:bookmarkEnd w:id="0"/>
          </w:p>
          <w:p w14:paraId="14C7EEC7" w14:textId="77777777" w:rsidR="00535036" w:rsidRPr="00F66F96" w:rsidRDefault="00535036" w:rsidP="00273D97">
            <w:pPr>
              <w:ind w:left="162"/>
              <w:rPr>
                <w:b/>
                <w:bCs/>
                <w:color w:val="000000" w:themeColor="text1"/>
                <w:sz w:val="24"/>
                <w:szCs w:val="24"/>
              </w:rPr>
            </w:pPr>
          </w:p>
          <w:p w14:paraId="55200AFA" w14:textId="77777777" w:rsidR="00535036" w:rsidRPr="00F66F96" w:rsidRDefault="00535036" w:rsidP="00273D97">
            <w:pPr>
              <w:ind w:left="162"/>
              <w:rPr>
                <w:b/>
                <w:bCs/>
                <w:color w:val="000000" w:themeColor="text1"/>
                <w:sz w:val="24"/>
                <w:szCs w:val="24"/>
              </w:rPr>
            </w:pPr>
          </w:p>
        </w:tc>
        <w:tc>
          <w:tcPr>
            <w:tcW w:w="1379" w:type="dxa"/>
          </w:tcPr>
          <w:p w14:paraId="49520BFC" w14:textId="77777777" w:rsidR="00535036" w:rsidRDefault="00535036" w:rsidP="0012751F">
            <w:pPr>
              <w:jc w:val="center"/>
            </w:pPr>
            <w:r>
              <w:rPr>
                <w:noProof/>
              </w:rPr>
              <mc:AlternateContent>
                <mc:Choice Requires="wps">
                  <w:drawing>
                    <wp:anchor distT="0" distB="0" distL="114300" distR="114300" simplePos="0" relativeHeight="251658251" behindDoc="0" locked="0" layoutInCell="1" allowOverlap="1" wp14:anchorId="1267E584" wp14:editId="031AA54B">
                      <wp:simplePos x="0" y="0"/>
                      <wp:positionH relativeFrom="margin">
                        <wp:align>center</wp:align>
                      </wp:positionH>
                      <wp:positionV relativeFrom="paragraph">
                        <wp:posOffset>157820</wp:posOffset>
                      </wp:positionV>
                      <wp:extent cx="451511" cy="223025"/>
                      <wp:effectExtent l="114300" t="0" r="62865" b="5715"/>
                      <wp:wrapNone/>
                      <wp:docPr id="223426967" name="Arrow: Right 17"/>
                      <wp:cNvGraphicFramePr/>
                      <a:graphic xmlns:a="http://schemas.openxmlformats.org/drawingml/2006/main">
                        <a:graphicData uri="http://schemas.microsoft.com/office/word/2010/wordprocessingShape">
                          <wps:wsp>
                            <wps:cNvSpPr/>
                            <wps:spPr>
                              <a:xfrm rot="18891689">
                                <a:off x="0" y="0"/>
                                <a:ext cx="451511" cy="223025"/>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38CBA256">
                    <v:shape id="Arrow: Right 17" style="position:absolute;margin-left:0;margin-top:12.45pt;width:35.55pt;height:17.55pt;rotation:-2958198fd;z-index:251658254;visibility:visible;mso-wrap-style:none;mso-width-percent:0;mso-wrap-distance-left:9pt;mso-wrap-distance-top:0;mso-wrap-distance-right:9pt;mso-wrap-distance-bottom:0;mso-position-horizontal:center;mso-position-horizontal-relative:margin;mso-position-vertical:absolute;mso-position-vertical-relative:text;mso-width-percent:0;mso-width-relative:margin;v-text-anchor:middle-center" o:spid="_x0000_s1026" fillcolor="#4472c4 [3204]" strokecolor="black [3213]" type="#_x0000_t13" adj="16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" w14:anchorId="2726C09C">
                      <v:textbox inset="2.5mm,1.25mm,2.5mm,1.25mm"/>
                      <w10:wrap anchorx="margin"/>
                    </v:shape>
                  </w:pict>
                </mc:Fallback>
              </mc:AlternateContent>
            </w:r>
          </w:p>
        </w:tc>
        <w:tc>
          <w:tcPr>
            <w:tcW w:w="4770" w:type="dxa"/>
          </w:tcPr>
          <w:p w14:paraId="6BA2A35A" w14:textId="3B60B8BA" w:rsidR="00535036" w:rsidRDefault="005A3EFC" w:rsidP="005032E3">
            <w:r>
              <w:t xml:space="preserve">FABN issuance and Life Cross-border reinsurance </w:t>
            </w:r>
            <w:r w:rsidR="00554691">
              <w:t>activity continues an upward trend</w:t>
            </w:r>
            <w:r w:rsidR="00A80DCC">
              <w:t>, while m</w:t>
            </w:r>
            <w:r w:rsidR="002725A3">
              <w:t xml:space="preserve">ost </w:t>
            </w:r>
            <w:r w:rsidR="00A80DCC">
              <w:t xml:space="preserve">other </w:t>
            </w:r>
            <w:r w:rsidR="002725A3">
              <w:t xml:space="preserve">transmission channels of </w:t>
            </w:r>
            <w:r w:rsidR="00A80DCC">
              <w:t>interconnectedness</w:t>
            </w:r>
            <w:r w:rsidR="002725A3">
              <w:t xml:space="preserve"> remain stable</w:t>
            </w:r>
            <w:r w:rsidR="00A80DCC">
              <w:t>.</w:t>
            </w:r>
          </w:p>
        </w:tc>
      </w:tr>
      <w:tr w:rsidR="00EA36D5" w14:paraId="7473124A" w14:textId="77777777" w:rsidTr="006116E5">
        <w:tc>
          <w:tcPr>
            <w:tcW w:w="3116" w:type="dxa"/>
            <w:shd w:val="clear" w:color="auto" w:fill="00B050"/>
          </w:tcPr>
          <w:p w14:paraId="54C3C6FC" w14:textId="194B8755" w:rsidR="00437A7B" w:rsidRPr="007858F6" w:rsidRDefault="004C50DF" w:rsidP="00273D97">
            <w:pPr>
              <w:ind w:left="162"/>
              <w:rPr>
                <w:b/>
                <w:bCs/>
                <w:sz w:val="24"/>
                <w:szCs w:val="24"/>
              </w:rPr>
            </w:pPr>
            <w:r w:rsidRPr="007858F6">
              <w:rPr>
                <w:b/>
                <w:bCs/>
                <w:sz w:val="24"/>
                <w:szCs w:val="24"/>
              </w:rPr>
              <w:t>Capital Adequacy</w:t>
            </w:r>
          </w:p>
          <w:p w14:paraId="503771F3" w14:textId="77777777" w:rsidR="00C871A5" w:rsidRDefault="00C871A5" w:rsidP="00273D97">
            <w:pPr>
              <w:ind w:left="162"/>
              <w:outlineLvl w:val="0"/>
              <w:rPr>
                <w:rFonts w:ascii="Calibri" w:hAnsi="Calibri" w:cs="Calibri"/>
                <w:b/>
                <w:bCs/>
                <w:sz w:val="24"/>
                <w:szCs w:val="24"/>
                <w:highlight w:val="yellow"/>
              </w:rPr>
            </w:pPr>
          </w:p>
          <w:p w14:paraId="5FD488D4" w14:textId="77777777" w:rsidR="00EA36D5" w:rsidRPr="00FB685E" w:rsidRDefault="00EA36D5" w:rsidP="00273D97">
            <w:pPr>
              <w:ind w:left="162"/>
              <w:outlineLvl w:val="0"/>
              <w:rPr>
                <w:rFonts w:ascii="Calibri" w:hAnsi="Calibri" w:cs="Calibri"/>
                <w:b/>
                <w:bCs/>
                <w:sz w:val="24"/>
                <w:szCs w:val="24"/>
                <w:highlight w:val="yellow"/>
              </w:rPr>
            </w:pPr>
          </w:p>
        </w:tc>
        <w:tc>
          <w:tcPr>
            <w:tcW w:w="1379" w:type="dxa"/>
          </w:tcPr>
          <w:p w14:paraId="77921457" w14:textId="77777777" w:rsidR="00EA36D5" w:rsidRPr="00304011" w:rsidRDefault="00EA36D5" w:rsidP="00E21045">
            <w:pPr>
              <w:jc w:val="center"/>
              <w:rPr>
                <w:rFonts w:ascii="Calibri" w:hAnsi="Calibri" w:cs="Calibri"/>
              </w:rPr>
            </w:pPr>
            <w:r>
              <w:rPr>
                <w:noProof/>
              </w:rPr>
              <mc:AlternateContent>
                <mc:Choice Requires="wps">
                  <w:drawing>
                    <wp:anchor distT="0" distB="0" distL="114300" distR="114300" simplePos="0" relativeHeight="251658248" behindDoc="0" locked="0" layoutInCell="1" allowOverlap="1" wp14:anchorId="36097309" wp14:editId="3043E22C">
                      <wp:simplePos x="0" y="0"/>
                      <wp:positionH relativeFrom="margin">
                        <wp:align>center</wp:align>
                      </wp:positionH>
                      <wp:positionV relativeFrom="paragraph">
                        <wp:posOffset>215900</wp:posOffset>
                      </wp:positionV>
                      <wp:extent cx="451511" cy="223025"/>
                      <wp:effectExtent l="0" t="19050" r="43815" b="43815"/>
                      <wp:wrapNone/>
                      <wp:docPr id="1629838649" name="Arrow: Right 17"/>
                      <wp:cNvGraphicFramePr/>
                      <a:graphic xmlns:a="http://schemas.openxmlformats.org/drawingml/2006/main">
                        <a:graphicData uri="http://schemas.microsoft.com/office/word/2010/wordprocessingShape">
                          <wps:wsp>
                            <wps:cNvSpPr/>
                            <wps:spPr>
                              <a:xfrm>
                                <a:off x="0" y="0"/>
                                <a:ext cx="451511" cy="223025"/>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EAA9ECF">
                    <v:shape id="Arrow: Right 17" style="position:absolute;margin-left:0;margin-top:17pt;width:35.55pt;height:17.55pt;z-index:251658248;visibility:visible;mso-wrap-style:none;mso-width-percent:0;mso-wrap-distance-left:9pt;mso-wrap-distance-top:0;mso-wrap-distance-right:9pt;mso-wrap-distance-bottom:0;mso-position-horizontal:center;mso-position-horizontal-relative:margin;mso-position-vertical:absolute;mso-position-vertical-relative:text;mso-width-percent:0;mso-width-relative:margin;v-text-anchor:middle-center" o:spid="_x0000_s1026" fillcolor="#4472c4 [3204]" strokecolor="black [3213]" type="#_x0000_t13" adj="16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" w14:anchorId="7303B98B">
                      <v:textbox inset="2.5mm,1.25mm,2.5mm,1.25mm"/>
                      <w10:wrap anchorx="margin"/>
                    </v:shape>
                  </w:pict>
                </mc:Fallback>
              </mc:AlternateContent>
            </w:r>
          </w:p>
        </w:tc>
        <w:tc>
          <w:tcPr>
            <w:tcW w:w="4770" w:type="dxa"/>
          </w:tcPr>
          <w:p w14:paraId="3A2339F4" w14:textId="0193888C" w:rsidR="00EA36D5" w:rsidRDefault="00BD6F08" w:rsidP="005032E3">
            <w:r>
              <w:t xml:space="preserve">Life and PC sectors remain </w:t>
            </w:r>
            <w:r w:rsidR="00DB6D9A">
              <w:t>very well capitalized with stable outlooks</w:t>
            </w:r>
            <w:r w:rsidR="00B62A22">
              <w:t xml:space="preserve">. </w:t>
            </w:r>
            <w:r w:rsidR="001A308D">
              <w:t>However, the Health sector has experience</w:t>
            </w:r>
            <w:r w:rsidR="00266B03">
              <w:t>d</w:t>
            </w:r>
            <w:r w:rsidR="001A308D">
              <w:t xml:space="preserve"> some </w:t>
            </w:r>
            <w:r w:rsidR="00F77F38">
              <w:t xml:space="preserve">capital </w:t>
            </w:r>
            <w:r w:rsidR="00F247CD">
              <w:t>deterioration</w:t>
            </w:r>
            <w:r w:rsidR="005E3E19">
              <w:t xml:space="preserve"> and has a negative outlook</w:t>
            </w:r>
            <w:r w:rsidR="00554691">
              <w:t xml:space="preserve"> by credit rating agencies</w:t>
            </w:r>
            <w:r w:rsidR="005E3E19">
              <w:t>.</w:t>
            </w:r>
          </w:p>
        </w:tc>
      </w:tr>
      <w:tr w:rsidR="00EA36D5" w14:paraId="37CC05FE" w14:textId="77777777" w:rsidTr="00DB1A8A">
        <w:tc>
          <w:tcPr>
            <w:tcW w:w="3116" w:type="dxa"/>
            <w:shd w:val="clear" w:color="auto" w:fill="FFFF00"/>
          </w:tcPr>
          <w:p w14:paraId="665DA70E" w14:textId="77777777" w:rsidR="00EA36D5" w:rsidRDefault="008528A6" w:rsidP="00273D97">
            <w:pPr>
              <w:ind w:left="162"/>
              <w:jc w:val="left"/>
              <w:rPr>
                <w:b/>
                <w:bCs/>
                <w:sz w:val="24"/>
                <w:szCs w:val="24"/>
              </w:rPr>
            </w:pPr>
            <w:r>
              <w:rPr>
                <w:b/>
                <w:bCs/>
                <w:sz w:val="24"/>
                <w:szCs w:val="24"/>
              </w:rPr>
              <w:t>Underwriting &amp; Profitability</w:t>
            </w:r>
          </w:p>
          <w:p w14:paraId="7EF48D21" w14:textId="3B659CE1" w:rsidR="0092581A" w:rsidRPr="00245A6B" w:rsidRDefault="0092581A" w:rsidP="00273D97">
            <w:pPr>
              <w:ind w:left="162"/>
              <w:jc w:val="left"/>
              <w:rPr>
                <w:b/>
                <w:bCs/>
                <w:sz w:val="24"/>
                <w:szCs w:val="24"/>
              </w:rPr>
            </w:pPr>
          </w:p>
        </w:tc>
        <w:tc>
          <w:tcPr>
            <w:tcW w:w="1379" w:type="dxa"/>
          </w:tcPr>
          <w:p w14:paraId="06D721D4" w14:textId="77777777" w:rsidR="00EA36D5" w:rsidRDefault="00EA36D5" w:rsidP="0012751F">
            <w:pPr>
              <w:jc w:val="center"/>
            </w:pPr>
            <w:r>
              <w:rPr>
                <w:noProof/>
              </w:rPr>
              <mc:AlternateContent>
                <mc:Choice Requires="wps">
                  <w:drawing>
                    <wp:anchor distT="0" distB="0" distL="114300" distR="114300" simplePos="0" relativeHeight="251658249" behindDoc="0" locked="0" layoutInCell="1" allowOverlap="1" wp14:anchorId="3F855130" wp14:editId="3748871B">
                      <wp:simplePos x="0" y="0"/>
                      <wp:positionH relativeFrom="margin">
                        <wp:align>center</wp:align>
                      </wp:positionH>
                      <wp:positionV relativeFrom="paragraph">
                        <wp:posOffset>189230</wp:posOffset>
                      </wp:positionV>
                      <wp:extent cx="451511" cy="223025"/>
                      <wp:effectExtent l="0" t="19050" r="43815" b="43815"/>
                      <wp:wrapNone/>
                      <wp:docPr id="1194790573" name="Arrow: Right 17"/>
                      <wp:cNvGraphicFramePr/>
                      <a:graphic xmlns:a="http://schemas.openxmlformats.org/drawingml/2006/main">
                        <a:graphicData uri="http://schemas.microsoft.com/office/word/2010/wordprocessingShape">
                          <wps:wsp>
                            <wps:cNvSpPr/>
                            <wps:spPr>
                              <a:xfrm>
                                <a:off x="0" y="0"/>
                                <a:ext cx="451511" cy="223025"/>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08BC135D">
                    <v:shape id="Arrow: Right 17" style="position:absolute;margin-left:0;margin-top:14.9pt;width:35.55pt;height:17.55pt;z-index:251658249;visibility:visible;mso-wrap-style:none;mso-width-percent:0;mso-wrap-distance-left:9pt;mso-wrap-distance-top:0;mso-wrap-distance-right:9pt;mso-wrap-distance-bottom:0;mso-position-horizontal:center;mso-position-horizontal-relative:margin;mso-position-vertical:absolute;mso-position-vertical-relative:text;mso-width-percent:0;mso-width-relative:margin;v-text-anchor:middle-center" o:spid="_x0000_s1026" fillcolor="#4472c4 [3204]" strokecolor="black [3213]" type="#_x0000_t13" adj="16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" w14:anchorId="1343B68B">
                      <v:textbox inset="2.5mm,1.25mm,2.5mm,1.25mm"/>
                      <w10:wrap anchorx="margin"/>
                    </v:shape>
                  </w:pict>
                </mc:Fallback>
              </mc:AlternateContent>
            </w:r>
          </w:p>
        </w:tc>
        <w:tc>
          <w:tcPr>
            <w:tcW w:w="4770" w:type="dxa"/>
          </w:tcPr>
          <w:p w14:paraId="65DBAEC1" w14:textId="79DC7A09" w:rsidR="00EA36D5" w:rsidRDefault="005A2305" w:rsidP="005032E3">
            <w:r>
              <w:t xml:space="preserve">Life and PC sectors </w:t>
            </w:r>
            <w:r w:rsidR="00B15D58" w:rsidRPr="00B635B1">
              <w:t xml:space="preserve">are </w:t>
            </w:r>
            <w:r>
              <w:t>profitable</w:t>
            </w:r>
            <w:r w:rsidR="00B62A22">
              <w:t xml:space="preserve">. </w:t>
            </w:r>
            <w:r>
              <w:t>However</w:t>
            </w:r>
            <w:r w:rsidR="00293826">
              <w:t>,</w:t>
            </w:r>
            <w:r>
              <w:t xml:space="preserve"> Health</w:t>
            </w:r>
            <w:r w:rsidR="00180710">
              <w:t xml:space="preserve"> </w:t>
            </w:r>
            <w:r w:rsidR="00162FC0">
              <w:t xml:space="preserve">experienced </w:t>
            </w:r>
            <w:r w:rsidR="00293826">
              <w:t xml:space="preserve">a </w:t>
            </w:r>
            <w:r w:rsidR="00162FC0">
              <w:t xml:space="preserve">significant </w:t>
            </w:r>
            <w:r w:rsidR="00293826">
              <w:t>decrease</w:t>
            </w:r>
            <w:r w:rsidR="00162FC0">
              <w:t xml:space="preserve"> </w:t>
            </w:r>
            <w:r w:rsidR="00293826">
              <w:t xml:space="preserve">in </w:t>
            </w:r>
            <w:r w:rsidR="00477076">
              <w:t xml:space="preserve">net </w:t>
            </w:r>
            <w:r w:rsidR="00554691">
              <w:t>income</w:t>
            </w:r>
            <w:r w:rsidR="00162FC0">
              <w:t xml:space="preserve"> and </w:t>
            </w:r>
            <w:r w:rsidR="00180710" w:rsidRPr="00180710">
              <w:t>a profit margin</w:t>
            </w:r>
            <w:r w:rsidR="00B62A22">
              <w:t>.</w:t>
            </w:r>
            <w:r w:rsidR="00B62A22" w:rsidRPr="00180710">
              <w:t xml:space="preserve"> </w:t>
            </w:r>
            <w:r w:rsidR="00F03A5E">
              <w:t>Nat Cat</w:t>
            </w:r>
            <w:r w:rsidR="00477076">
              <w:t xml:space="preserve"> and </w:t>
            </w:r>
            <w:r w:rsidR="00F03A5E">
              <w:t>LTC risks were also key risk drivers.</w:t>
            </w:r>
          </w:p>
        </w:tc>
      </w:tr>
      <w:tr w:rsidR="00EA36D5" w14:paraId="38A0A831" w14:textId="77777777" w:rsidTr="0021241B">
        <w:tc>
          <w:tcPr>
            <w:tcW w:w="3116" w:type="dxa"/>
            <w:shd w:val="clear" w:color="auto" w:fill="FF9900"/>
          </w:tcPr>
          <w:p w14:paraId="2DFBFC3C" w14:textId="7931040B" w:rsidR="001626D5" w:rsidRDefault="001626D5" w:rsidP="00273D97">
            <w:pPr>
              <w:ind w:left="162"/>
              <w:rPr>
                <w:b/>
                <w:bCs/>
                <w:sz w:val="24"/>
                <w:szCs w:val="24"/>
              </w:rPr>
            </w:pPr>
            <w:r>
              <w:rPr>
                <w:b/>
                <w:bCs/>
                <w:sz w:val="24"/>
                <w:szCs w:val="24"/>
              </w:rPr>
              <w:t>Credit</w:t>
            </w:r>
          </w:p>
          <w:p w14:paraId="582D2D28" w14:textId="77777777" w:rsidR="00AD5DA5" w:rsidRDefault="00AD5DA5" w:rsidP="00273D97">
            <w:pPr>
              <w:ind w:left="162"/>
              <w:rPr>
                <w:b/>
                <w:bCs/>
                <w:sz w:val="24"/>
                <w:szCs w:val="24"/>
              </w:rPr>
            </w:pPr>
          </w:p>
          <w:p w14:paraId="10ECE859" w14:textId="0F1CFC42" w:rsidR="00AD5DA5" w:rsidRPr="00245A6B" w:rsidRDefault="00AD5DA5" w:rsidP="00273D97">
            <w:pPr>
              <w:ind w:left="162"/>
              <w:rPr>
                <w:b/>
                <w:bCs/>
                <w:sz w:val="24"/>
                <w:szCs w:val="24"/>
              </w:rPr>
            </w:pPr>
          </w:p>
        </w:tc>
        <w:tc>
          <w:tcPr>
            <w:tcW w:w="1379" w:type="dxa"/>
          </w:tcPr>
          <w:p w14:paraId="6B9A6B5B" w14:textId="6D7E20C4" w:rsidR="00EA36D5" w:rsidRDefault="002006F2" w:rsidP="0012751F">
            <w:pPr>
              <w:jc w:val="center"/>
            </w:pPr>
            <w:r>
              <w:rPr>
                <w:noProof/>
              </w:rPr>
              <mc:AlternateContent>
                <mc:Choice Requires="wps">
                  <w:drawing>
                    <wp:anchor distT="0" distB="0" distL="114300" distR="114300" simplePos="0" relativeHeight="251658263" behindDoc="0" locked="0" layoutInCell="1" allowOverlap="1" wp14:anchorId="04597A8A" wp14:editId="79007281">
                      <wp:simplePos x="0" y="0"/>
                      <wp:positionH relativeFrom="margin">
                        <wp:posOffset>146843</wp:posOffset>
                      </wp:positionH>
                      <wp:positionV relativeFrom="paragraph">
                        <wp:posOffset>161925</wp:posOffset>
                      </wp:positionV>
                      <wp:extent cx="451511" cy="223025"/>
                      <wp:effectExtent l="114300" t="0" r="62865" b="5715"/>
                      <wp:wrapNone/>
                      <wp:docPr id="1976438884" name="Arrow: Right 17"/>
                      <wp:cNvGraphicFramePr/>
                      <a:graphic xmlns:a="http://schemas.openxmlformats.org/drawingml/2006/main">
                        <a:graphicData uri="http://schemas.microsoft.com/office/word/2010/wordprocessingShape">
                          <wps:wsp>
                            <wps:cNvSpPr/>
                            <wps:spPr>
                              <a:xfrm rot="18891689">
                                <a:off x="0" y="0"/>
                                <a:ext cx="451511" cy="223025"/>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1B95F96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11.55pt;margin-top:12.75pt;width:35.55pt;height:17.55pt;rotation:-2958198fd;z-index:251658263;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" adj="16265" fillcolor="#4472c4 [3204]" strokecolor="black [3213]">
                      <v:textbox inset="2.5mm,1.25mm,2.5mm,1.25mm"/>
                      <w10:wrap anchorx="margin"/>
                    </v:shape>
                  </w:pict>
                </mc:Fallback>
              </mc:AlternateContent>
            </w:r>
          </w:p>
        </w:tc>
        <w:tc>
          <w:tcPr>
            <w:tcW w:w="4770" w:type="dxa"/>
          </w:tcPr>
          <w:p w14:paraId="1E1577C6" w14:textId="2E5B432F" w:rsidR="00EA36D5" w:rsidRDefault="0003704F" w:rsidP="005032E3">
            <w:r>
              <w:t>Private Cred</w:t>
            </w:r>
            <w:r w:rsidR="007B218D">
              <w:t>it</w:t>
            </w:r>
            <w:r w:rsidR="00C44AE0">
              <w:t>,</w:t>
            </w:r>
            <w:r w:rsidR="007B218D">
              <w:t xml:space="preserve"> structured </w:t>
            </w:r>
            <w:r w:rsidR="00C07FAC">
              <w:t>securities,</w:t>
            </w:r>
            <w:r w:rsidR="00C44AE0">
              <w:t xml:space="preserve"> and </w:t>
            </w:r>
            <w:r w:rsidR="00EC6990">
              <w:t xml:space="preserve">offshore </w:t>
            </w:r>
            <w:r w:rsidR="00E65646">
              <w:t xml:space="preserve">life </w:t>
            </w:r>
            <w:r w:rsidR="00EC6990">
              <w:t>reinsurance</w:t>
            </w:r>
            <w:r w:rsidR="00D05FE5">
              <w:t xml:space="preserve"> exposure</w:t>
            </w:r>
            <w:r w:rsidR="007B218D">
              <w:t xml:space="preserve"> are the driver</w:t>
            </w:r>
            <w:r w:rsidR="00D05FE5">
              <w:t>s of the Mod-</w:t>
            </w:r>
            <w:r w:rsidR="00550D89">
              <w:t>high</w:t>
            </w:r>
            <w:r w:rsidR="00D05FE5">
              <w:t xml:space="preserve"> assessment.</w:t>
            </w:r>
          </w:p>
        </w:tc>
      </w:tr>
      <w:tr w:rsidR="00EA36D5" w14:paraId="47D384B9" w14:textId="77777777" w:rsidTr="002C5E92">
        <w:tc>
          <w:tcPr>
            <w:tcW w:w="3116" w:type="dxa"/>
            <w:shd w:val="clear" w:color="auto" w:fill="FFFF00"/>
          </w:tcPr>
          <w:p w14:paraId="442BE607" w14:textId="77777777" w:rsidR="001626D5" w:rsidRPr="002C5E92" w:rsidRDefault="001626D5" w:rsidP="00273D97">
            <w:pPr>
              <w:ind w:left="162"/>
              <w:rPr>
                <w:b/>
                <w:bCs/>
                <w:sz w:val="24"/>
                <w:szCs w:val="24"/>
                <w:highlight w:val="yellow"/>
              </w:rPr>
            </w:pPr>
            <w:r w:rsidRPr="002C5E92">
              <w:rPr>
                <w:b/>
                <w:bCs/>
                <w:sz w:val="24"/>
                <w:szCs w:val="24"/>
                <w:highlight w:val="yellow"/>
              </w:rPr>
              <w:t>Market</w:t>
            </w:r>
          </w:p>
          <w:p w14:paraId="1C3A3F76" w14:textId="77777777" w:rsidR="00AD5DA5" w:rsidRPr="002C5E92" w:rsidRDefault="00AD5DA5" w:rsidP="00273D97">
            <w:pPr>
              <w:ind w:left="162"/>
              <w:rPr>
                <w:b/>
                <w:bCs/>
                <w:sz w:val="24"/>
                <w:szCs w:val="24"/>
                <w:highlight w:val="yellow"/>
              </w:rPr>
            </w:pPr>
          </w:p>
          <w:p w14:paraId="1F9F5E26" w14:textId="247EA38B" w:rsidR="00AD5DA5" w:rsidRPr="002C5E92" w:rsidRDefault="00AD5DA5" w:rsidP="00273D97">
            <w:pPr>
              <w:ind w:left="162"/>
              <w:rPr>
                <w:b/>
                <w:bCs/>
                <w:sz w:val="24"/>
                <w:szCs w:val="24"/>
                <w:highlight w:val="yellow"/>
              </w:rPr>
            </w:pPr>
          </w:p>
        </w:tc>
        <w:tc>
          <w:tcPr>
            <w:tcW w:w="1379" w:type="dxa"/>
            <w:vAlign w:val="center"/>
          </w:tcPr>
          <w:p w14:paraId="3FEB98C5" w14:textId="1B11E107" w:rsidR="00EA36D5" w:rsidRDefault="000A3596" w:rsidP="0012751F">
            <w:pPr>
              <w:jc w:val="center"/>
            </w:pPr>
            <w:r>
              <w:rPr>
                <w:noProof/>
              </w:rPr>
              <mc:AlternateContent>
                <mc:Choice Requires="wps">
                  <w:drawing>
                    <wp:anchor distT="0" distB="0" distL="114300" distR="114300" simplePos="0" relativeHeight="251658261" behindDoc="0" locked="0" layoutInCell="1" allowOverlap="1" wp14:anchorId="17F29BAB" wp14:editId="06F1A0F7">
                      <wp:simplePos x="0" y="0"/>
                      <wp:positionH relativeFrom="margin">
                        <wp:posOffset>142875</wp:posOffset>
                      </wp:positionH>
                      <wp:positionV relativeFrom="paragraph">
                        <wp:posOffset>105410</wp:posOffset>
                      </wp:positionV>
                      <wp:extent cx="451485" cy="222885"/>
                      <wp:effectExtent l="0" t="76200" r="0" b="100965"/>
                      <wp:wrapNone/>
                      <wp:docPr id="1586149261" name="Arrow: Right 17"/>
                      <wp:cNvGraphicFramePr/>
                      <a:graphic xmlns:a="http://schemas.openxmlformats.org/drawingml/2006/main">
                        <a:graphicData uri="http://schemas.microsoft.com/office/word/2010/wordprocessingShape">
                          <wps:wsp>
                            <wps:cNvSpPr/>
                            <wps:spPr>
                              <a:xfrm rot="19011731">
                                <a:off x="0" y="0"/>
                                <a:ext cx="451485" cy="222885"/>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52928AF" id="Arrow: Right 17" o:spid="_x0000_s1026" type="#_x0000_t13" style="position:absolute;margin-left:11.25pt;margin-top:8.3pt;width:35.55pt;height:17.55pt;rotation:-2827080fd;z-index:25165826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" adj="16268" fillcolor="#4472c4 [3204]" strokecolor="black [3213]">
                      <v:textbox inset="2.5mm,1.25mm,2.5mm,1.25mm"/>
                      <w10:wrap anchorx="margin"/>
                    </v:shape>
                  </w:pict>
                </mc:Fallback>
              </mc:AlternateContent>
            </w:r>
          </w:p>
        </w:tc>
        <w:tc>
          <w:tcPr>
            <w:tcW w:w="4770" w:type="dxa"/>
          </w:tcPr>
          <w:p w14:paraId="4C50838D" w14:textId="33FF08F2" w:rsidR="00EA36D5" w:rsidRDefault="001F0998" w:rsidP="005032E3">
            <w:r>
              <w:t xml:space="preserve">Common equity </w:t>
            </w:r>
            <w:r w:rsidR="00422AFE">
              <w:t xml:space="preserve">holdings </w:t>
            </w:r>
            <w:r w:rsidR="005322DC">
              <w:t>in</w:t>
            </w:r>
            <w:r>
              <w:t>creased</w:t>
            </w:r>
            <w:r w:rsidR="00084F3E">
              <w:t xml:space="preserve">, while </w:t>
            </w:r>
            <w:r w:rsidR="001F1E89">
              <w:t xml:space="preserve">private equity </w:t>
            </w:r>
            <w:r w:rsidR="00D65868">
              <w:t xml:space="preserve">and </w:t>
            </w:r>
            <w:r w:rsidR="00084F3E">
              <w:t>other indicators remain stable</w:t>
            </w:r>
            <w:r w:rsidR="00C07FAC">
              <w:t xml:space="preserve">. </w:t>
            </w:r>
            <w:r w:rsidR="00E14153">
              <w:t>Level 3 assets are significant but remain st</w:t>
            </w:r>
            <w:r w:rsidR="005C7327">
              <w:t>able</w:t>
            </w:r>
            <w:r w:rsidR="00E14153">
              <w:t>.</w:t>
            </w:r>
          </w:p>
        </w:tc>
      </w:tr>
      <w:tr w:rsidR="00EA36D5" w14:paraId="240BB051" w14:textId="77777777" w:rsidTr="007B2F20">
        <w:tc>
          <w:tcPr>
            <w:tcW w:w="3116" w:type="dxa"/>
            <w:shd w:val="clear" w:color="auto" w:fill="00B050"/>
          </w:tcPr>
          <w:p w14:paraId="2079E55A" w14:textId="77777777" w:rsidR="001626D5" w:rsidRDefault="001626D5" w:rsidP="00273D97">
            <w:pPr>
              <w:ind w:left="162"/>
              <w:rPr>
                <w:b/>
                <w:bCs/>
                <w:sz w:val="24"/>
                <w:szCs w:val="24"/>
              </w:rPr>
            </w:pPr>
            <w:r>
              <w:rPr>
                <w:b/>
                <w:bCs/>
                <w:sz w:val="24"/>
                <w:szCs w:val="24"/>
              </w:rPr>
              <w:t>Liquidity</w:t>
            </w:r>
          </w:p>
          <w:p w14:paraId="65B6E3B6" w14:textId="77777777" w:rsidR="00CF07C2" w:rsidRDefault="00CF07C2" w:rsidP="00273D97">
            <w:pPr>
              <w:ind w:left="162"/>
              <w:rPr>
                <w:b/>
                <w:bCs/>
                <w:sz w:val="24"/>
                <w:szCs w:val="24"/>
              </w:rPr>
            </w:pPr>
          </w:p>
          <w:p w14:paraId="5F8BD1D2" w14:textId="608930E2" w:rsidR="00CF07C2" w:rsidRPr="00245A6B" w:rsidRDefault="00CF07C2" w:rsidP="00273D97">
            <w:pPr>
              <w:ind w:left="162"/>
              <w:rPr>
                <w:b/>
                <w:bCs/>
                <w:sz w:val="24"/>
                <w:szCs w:val="24"/>
              </w:rPr>
            </w:pPr>
          </w:p>
        </w:tc>
        <w:tc>
          <w:tcPr>
            <w:tcW w:w="1379" w:type="dxa"/>
            <w:vAlign w:val="center"/>
          </w:tcPr>
          <w:p w14:paraId="11FD3E15" w14:textId="77777777" w:rsidR="00EA36D5" w:rsidRDefault="00EA36D5" w:rsidP="0012751F">
            <w:pPr>
              <w:jc w:val="center"/>
            </w:pPr>
            <w:r>
              <w:rPr>
                <w:noProof/>
              </w:rPr>
              <mc:AlternateContent>
                <mc:Choice Requires="wps">
                  <w:drawing>
                    <wp:anchor distT="0" distB="0" distL="114300" distR="114300" simplePos="0" relativeHeight="251658250" behindDoc="0" locked="0" layoutInCell="1" allowOverlap="1" wp14:anchorId="7C0DA6EE" wp14:editId="29670E75">
                      <wp:simplePos x="0" y="0"/>
                      <wp:positionH relativeFrom="margin">
                        <wp:align>center</wp:align>
                      </wp:positionH>
                      <wp:positionV relativeFrom="paragraph">
                        <wp:posOffset>139700</wp:posOffset>
                      </wp:positionV>
                      <wp:extent cx="451511" cy="223025"/>
                      <wp:effectExtent l="0" t="19050" r="43815" b="43815"/>
                      <wp:wrapNone/>
                      <wp:docPr id="1450063853" name="Arrow: Right 17"/>
                      <wp:cNvGraphicFramePr/>
                      <a:graphic xmlns:a="http://schemas.openxmlformats.org/drawingml/2006/main">
                        <a:graphicData uri="http://schemas.microsoft.com/office/word/2010/wordprocessingShape">
                          <wps:wsp>
                            <wps:cNvSpPr/>
                            <wps:spPr>
                              <a:xfrm>
                                <a:off x="0" y="0"/>
                                <a:ext cx="451511" cy="223025"/>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463F28D">
                    <v:shape id="Arrow: Right 17" style="position:absolute;margin-left:0;margin-top:11pt;width:35.55pt;height:17.55pt;z-index:251658252;visibility:visible;mso-wrap-style:none;mso-width-percent:0;mso-wrap-distance-left:9pt;mso-wrap-distance-top:0;mso-wrap-distance-right:9pt;mso-wrap-distance-bottom:0;mso-position-horizontal:center;mso-position-horizontal-relative:margin;mso-position-vertical:absolute;mso-position-vertical-relative:text;mso-width-percent:0;mso-width-relative:margin;v-text-anchor:middle-center" o:spid="_x0000_s1026" fillcolor="#4472c4 [3204]" strokecolor="black [3213]" type="#_x0000_t13" adj="16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" w14:anchorId="30D7F7F0">
                      <v:textbox inset="2.5mm,1.25mm,2.5mm,1.25mm"/>
                      <w10:wrap anchorx="margin"/>
                    </v:shape>
                  </w:pict>
                </mc:Fallback>
              </mc:AlternateContent>
            </w:r>
          </w:p>
        </w:tc>
        <w:tc>
          <w:tcPr>
            <w:tcW w:w="4770" w:type="dxa"/>
          </w:tcPr>
          <w:p w14:paraId="3B436879" w14:textId="29341F73" w:rsidR="00EA36D5" w:rsidRDefault="00E645F3" w:rsidP="005032E3">
            <w:r>
              <w:t xml:space="preserve">PC and Life liquidity ratios and cash flows </w:t>
            </w:r>
            <w:r w:rsidR="0083649E">
              <w:t>improved</w:t>
            </w:r>
            <w:r w:rsidR="00C07FAC">
              <w:t xml:space="preserve">. </w:t>
            </w:r>
            <w:r w:rsidR="00E746D8">
              <w:t>Cash, S</w:t>
            </w:r>
            <w:r w:rsidR="003B277D">
              <w:t>T</w:t>
            </w:r>
            <w:r w:rsidR="00E746D8">
              <w:t xml:space="preserve"> </w:t>
            </w:r>
            <w:r w:rsidR="005E088F">
              <w:t xml:space="preserve">investments and U.S. Gov allocations </w:t>
            </w:r>
            <w:r w:rsidR="003B277D">
              <w:t xml:space="preserve">remain </w:t>
            </w:r>
            <w:r w:rsidR="005C7327">
              <w:t>increased</w:t>
            </w:r>
            <w:r w:rsidR="003B277D">
              <w:t>.</w:t>
            </w:r>
            <w:r w:rsidR="0098407E">
              <w:t xml:space="preserve"> </w:t>
            </w:r>
            <w:r w:rsidR="0098407E" w:rsidRPr="0098407E">
              <w:t xml:space="preserve">Health cash flow and liquid assets have </w:t>
            </w:r>
            <w:r w:rsidR="00B079C7">
              <w:t xml:space="preserve">modestly </w:t>
            </w:r>
            <w:r w:rsidR="0098407E" w:rsidRPr="0098407E">
              <w:t>dec</w:t>
            </w:r>
            <w:r w:rsidR="00B079C7">
              <w:t xml:space="preserve">lined. </w:t>
            </w:r>
          </w:p>
        </w:tc>
      </w:tr>
      <w:tr w:rsidR="00EA36D5" w14:paraId="0B440F37" w14:textId="77777777" w:rsidTr="004C39E1">
        <w:tc>
          <w:tcPr>
            <w:tcW w:w="3116" w:type="dxa"/>
            <w:shd w:val="clear" w:color="auto" w:fill="FFFF00"/>
          </w:tcPr>
          <w:p w14:paraId="0CF48163" w14:textId="11208CF0" w:rsidR="007F2420" w:rsidRDefault="007F2420" w:rsidP="00273D97">
            <w:pPr>
              <w:ind w:left="162"/>
              <w:rPr>
                <w:b/>
                <w:bCs/>
                <w:sz w:val="24"/>
                <w:szCs w:val="24"/>
              </w:rPr>
            </w:pPr>
            <w:r>
              <w:rPr>
                <w:b/>
                <w:bCs/>
                <w:sz w:val="24"/>
                <w:szCs w:val="24"/>
              </w:rPr>
              <w:t>Emerging</w:t>
            </w:r>
            <w:r w:rsidR="00A5705D">
              <w:rPr>
                <w:b/>
                <w:bCs/>
                <w:sz w:val="24"/>
                <w:szCs w:val="24"/>
              </w:rPr>
              <w:t>/Other</w:t>
            </w:r>
          </w:p>
          <w:p w14:paraId="35C883D3" w14:textId="77777777" w:rsidR="00AD5DA5" w:rsidRDefault="00AD5DA5" w:rsidP="00273D97">
            <w:pPr>
              <w:ind w:left="162"/>
              <w:rPr>
                <w:b/>
                <w:bCs/>
                <w:sz w:val="24"/>
                <w:szCs w:val="24"/>
              </w:rPr>
            </w:pPr>
          </w:p>
          <w:p w14:paraId="5301F9F0" w14:textId="2E1323E6" w:rsidR="00AD5DA5" w:rsidRPr="00245A6B" w:rsidRDefault="00AD5DA5" w:rsidP="00273D97">
            <w:pPr>
              <w:ind w:left="162"/>
              <w:rPr>
                <w:b/>
                <w:bCs/>
                <w:sz w:val="24"/>
                <w:szCs w:val="24"/>
              </w:rPr>
            </w:pPr>
          </w:p>
        </w:tc>
        <w:tc>
          <w:tcPr>
            <w:tcW w:w="1379" w:type="dxa"/>
            <w:vAlign w:val="center"/>
          </w:tcPr>
          <w:p w14:paraId="0DDE602E" w14:textId="114AF0C4" w:rsidR="00EA36D5" w:rsidRDefault="00ED62AF" w:rsidP="0012751F">
            <w:pPr>
              <w:jc w:val="center"/>
            </w:pPr>
            <w:r>
              <w:rPr>
                <w:noProof/>
              </w:rPr>
              <mc:AlternateContent>
                <mc:Choice Requires="wps">
                  <w:drawing>
                    <wp:anchor distT="0" distB="0" distL="114300" distR="114300" simplePos="0" relativeHeight="251658262" behindDoc="0" locked="0" layoutInCell="1" allowOverlap="1" wp14:anchorId="030341DC" wp14:editId="21D4C154">
                      <wp:simplePos x="0" y="0"/>
                      <wp:positionH relativeFrom="margin">
                        <wp:posOffset>108585</wp:posOffset>
                      </wp:positionH>
                      <wp:positionV relativeFrom="paragraph">
                        <wp:posOffset>89535</wp:posOffset>
                      </wp:positionV>
                      <wp:extent cx="451485" cy="222885"/>
                      <wp:effectExtent l="0" t="76200" r="0" b="100965"/>
                      <wp:wrapNone/>
                      <wp:docPr id="38706644" name="Arrow: Right 17"/>
                      <wp:cNvGraphicFramePr/>
                      <a:graphic xmlns:a="http://schemas.openxmlformats.org/drawingml/2006/main">
                        <a:graphicData uri="http://schemas.microsoft.com/office/word/2010/wordprocessingShape">
                          <wps:wsp>
                            <wps:cNvSpPr/>
                            <wps:spPr>
                              <a:xfrm rot="19011731">
                                <a:off x="0" y="0"/>
                                <a:ext cx="451485" cy="222885"/>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B777955" id="Arrow: Right 17" o:spid="_x0000_s1026" type="#_x0000_t13" style="position:absolute;margin-left:8.55pt;margin-top:7.05pt;width:35.55pt;height:17.55pt;rotation:-2827080fd;z-index:25165826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" adj="16268" fillcolor="#4472c4 [3204]" strokecolor="black [3213]">
                      <v:textbox inset="2.5mm,1.25mm,2.5mm,1.25mm"/>
                      <w10:wrap anchorx="margin"/>
                    </v:shape>
                  </w:pict>
                </mc:Fallback>
              </mc:AlternateContent>
            </w:r>
          </w:p>
        </w:tc>
        <w:tc>
          <w:tcPr>
            <w:tcW w:w="4770" w:type="dxa"/>
          </w:tcPr>
          <w:p w14:paraId="271C7F15" w14:textId="25D0BB52" w:rsidR="00EA36D5" w:rsidRDefault="00E529C1" w:rsidP="005032E3">
            <w:r>
              <w:t>Heightened monitoring of p</w:t>
            </w:r>
            <w:r w:rsidR="002D0654">
              <w:t xml:space="preserve">rivate </w:t>
            </w:r>
            <w:r>
              <w:t>c</w:t>
            </w:r>
            <w:r w:rsidR="002D0654">
              <w:t xml:space="preserve">redit, </w:t>
            </w:r>
            <w:r w:rsidR="005379A0">
              <w:t>c</w:t>
            </w:r>
            <w:r w:rsidR="002D0654">
              <w:t xml:space="preserve">ross </w:t>
            </w:r>
            <w:r w:rsidR="005379A0">
              <w:t>b</w:t>
            </w:r>
            <w:r w:rsidR="002D0654">
              <w:t>order</w:t>
            </w:r>
            <w:r w:rsidR="001F1E89">
              <w:t xml:space="preserve"> reinsurance</w:t>
            </w:r>
            <w:r w:rsidR="002D0654">
              <w:t xml:space="preserve">, AI </w:t>
            </w:r>
            <w:r w:rsidR="003F0A06">
              <w:t xml:space="preserve">and </w:t>
            </w:r>
            <w:r w:rsidR="001F1E89">
              <w:t>c</w:t>
            </w:r>
            <w:r w:rsidR="003F0A06">
              <w:t>yber</w:t>
            </w:r>
            <w:r>
              <w:t xml:space="preserve"> con</w:t>
            </w:r>
            <w:r w:rsidR="005379A0">
              <w:t>tinues and ma</w:t>
            </w:r>
            <w:r w:rsidR="001F1E89">
              <w:t>y</w:t>
            </w:r>
            <w:r w:rsidR="005379A0">
              <w:t xml:space="preserve"> overlap with other risk categories.</w:t>
            </w:r>
          </w:p>
        </w:tc>
      </w:tr>
    </w:tbl>
    <w:p w14:paraId="69DFE84F" w14:textId="77777777" w:rsidR="00EA36D5" w:rsidRDefault="00EA36D5" w:rsidP="00EA36D5">
      <w:pPr>
        <w:tabs>
          <w:tab w:val="left" w:pos="3229"/>
          <w:tab w:val="left" w:pos="4608"/>
        </w:tabs>
        <w:spacing w:after="0" w:line="240" w:lineRule="auto"/>
        <w:ind w:left="115"/>
      </w:pPr>
    </w:p>
    <w:p w14:paraId="702EF0E6" w14:textId="07C4317F" w:rsidR="00C22BF0" w:rsidRPr="00457EC8" w:rsidRDefault="00C22BF0" w:rsidP="00C22BF0">
      <w:pPr>
        <w:tabs>
          <w:tab w:val="left" w:pos="3229"/>
          <w:tab w:val="left" w:pos="4608"/>
        </w:tabs>
        <w:spacing w:after="0" w:line="240" w:lineRule="auto"/>
        <w:ind w:left="115"/>
        <w:rPr>
          <w:b/>
          <w:bCs/>
        </w:rPr>
      </w:pPr>
      <w:r w:rsidRPr="00457EC8">
        <w:rPr>
          <w:b/>
          <w:bCs/>
        </w:rPr>
        <w:t>Risk Assessment Scale/Legend</w:t>
      </w:r>
      <w:r>
        <w:rPr>
          <w:b/>
          <w:bCs/>
        </w:rPr>
        <w:tab/>
      </w:r>
      <w:r>
        <w:rPr>
          <w:b/>
          <w:bCs/>
        </w:rPr>
        <w:tab/>
        <w:t>Trend Scale (</w:t>
      </w:r>
      <w:r w:rsidRPr="00364474">
        <w:t>Trend of the risk</w:t>
      </w:r>
      <w:r>
        <w:rPr>
          <w:b/>
          <w:bCs/>
        </w:rPr>
        <w:t>)</w:t>
      </w:r>
    </w:p>
    <w:tbl>
      <w:tblPr>
        <w:tblStyle w:val="TableGrid"/>
        <w:tblW w:w="0" w:type="auto"/>
        <w:tblInd w:w="175" w:type="dxa"/>
        <w:tblLook w:val="04A0" w:firstRow="1" w:lastRow="0" w:firstColumn="1" w:lastColumn="0" w:noHBand="0" w:noVBand="1"/>
      </w:tblPr>
      <w:tblGrid>
        <w:gridCol w:w="895"/>
        <w:gridCol w:w="1620"/>
        <w:gridCol w:w="1805"/>
        <w:gridCol w:w="1260"/>
        <w:gridCol w:w="1710"/>
      </w:tblGrid>
      <w:tr w:rsidR="00C22BF0" w14:paraId="5D843779" w14:textId="77777777" w:rsidTr="00CD1949">
        <w:tc>
          <w:tcPr>
            <w:tcW w:w="895" w:type="dxa"/>
            <w:shd w:val="clear" w:color="auto" w:fill="FF0000"/>
            <w:vAlign w:val="center"/>
          </w:tcPr>
          <w:p w14:paraId="53DC9D44" w14:textId="77777777" w:rsidR="00C22BF0" w:rsidRDefault="00C22BF0" w:rsidP="005032E3">
            <w:pPr>
              <w:rPr>
                <w:b/>
                <w:bCs/>
                <w:sz w:val="24"/>
                <w:szCs w:val="24"/>
              </w:rPr>
            </w:pPr>
          </w:p>
        </w:tc>
        <w:tc>
          <w:tcPr>
            <w:tcW w:w="1620" w:type="dxa"/>
            <w:tcBorders>
              <w:right w:val="single" w:sz="4" w:space="0" w:color="auto"/>
            </w:tcBorders>
            <w:vAlign w:val="center"/>
          </w:tcPr>
          <w:p w14:paraId="518A2154" w14:textId="77777777" w:rsidR="00C22BF0" w:rsidRDefault="00C22BF0" w:rsidP="005032E3">
            <w:pPr>
              <w:rPr>
                <w:noProof/>
              </w:rPr>
            </w:pPr>
            <w:r>
              <w:rPr>
                <w:noProof/>
              </w:rPr>
              <w:t>High</w:t>
            </w:r>
          </w:p>
        </w:tc>
        <w:tc>
          <w:tcPr>
            <w:tcW w:w="1805" w:type="dxa"/>
            <w:tcBorders>
              <w:top w:val="nil"/>
              <w:left w:val="single" w:sz="4" w:space="0" w:color="auto"/>
              <w:bottom w:val="nil"/>
              <w:right w:val="single" w:sz="4" w:space="0" w:color="auto"/>
            </w:tcBorders>
          </w:tcPr>
          <w:p w14:paraId="3B2D755F" w14:textId="77777777" w:rsidR="00C22BF0" w:rsidRDefault="00C22BF0" w:rsidP="005032E3">
            <w:pPr>
              <w:rPr>
                <w:noProof/>
              </w:rPr>
            </w:pPr>
          </w:p>
        </w:tc>
        <w:tc>
          <w:tcPr>
            <w:tcW w:w="1260" w:type="dxa"/>
            <w:tcBorders>
              <w:left w:val="single" w:sz="4" w:space="0" w:color="auto"/>
            </w:tcBorders>
          </w:tcPr>
          <w:p w14:paraId="59FC9FE4" w14:textId="77777777" w:rsidR="00C22BF0" w:rsidRDefault="00C22BF0" w:rsidP="005032E3">
            <w:pPr>
              <w:rPr>
                <w:noProof/>
              </w:rPr>
            </w:pPr>
            <w:r>
              <w:rPr>
                <w:noProof/>
              </w:rPr>
              <w:t>Significant Increase</w:t>
            </w:r>
          </w:p>
        </w:tc>
        <w:tc>
          <w:tcPr>
            <w:tcW w:w="1710" w:type="dxa"/>
          </w:tcPr>
          <w:p w14:paraId="4B8EDAA0" w14:textId="77777777" w:rsidR="00C22BF0" w:rsidRDefault="00C22BF0" w:rsidP="005032E3">
            <w:pPr>
              <w:rPr>
                <w:noProof/>
              </w:rPr>
            </w:pPr>
            <w:r>
              <w:rPr>
                <w:noProof/>
              </w:rPr>
              <mc:AlternateContent>
                <mc:Choice Requires="wps">
                  <w:drawing>
                    <wp:anchor distT="0" distB="0" distL="114300" distR="114300" simplePos="0" relativeHeight="251658253" behindDoc="0" locked="0" layoutInCell="1" allowOverlap="1" wp14:anchorId="53B6F117" wp14:editId="2C4BDC91">
                      <wp:simplePos x="0" y="0"/>
                      <wp:positionH relativeFrom="column">
                        <wp:posOffset>260240</wp:posOffset>
                      </wp:positionH>
                      <wp:positionV relativeFrom="paragraph">
                        <wp:posOffset>79380</wp:posOffset>
                      </wp:positionV>
                      <wp:extent cx="333296" cy="153974"/>
                      <wp:effectExtent l="0" t="24765" r="42545" b="23495"/>
                      <wp:wrapNone/>
                      <wp:docPr id="1939731965" name="Arrow: Right 17"/>
                      <wp:cNvGraphicFramePr/>
                      <a:graphic xmlns:a="http://schemas.openxmlformats.org/drawingml/2006/main">
                        <a:graphicData uri="http://schemas.microsoft.com/office/word/2010/wordprocessingShape">
                          <wps:wsp>
                            <wps:cNvSpPr/>
                            <wps:spPr>
                              <a:xfrm rot="16200000">
                                <a:off x="0" y="0"/>
                                <a:ext cx="333296" cy="153974"/>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xmlns:c="http://schemas.openxmlformats.org/drawingml/2006/chart">
                  <w:pict w14:anchorId="6597CC9A">
                    <v:shape id="Arrow: Right 17" style="position:absolute;margin-left:20.5pt;margin-top:6.25pt;width:26.25pt;height:12.1pt;rotation:-90;z-index:2516582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spid="_x0000_s1026" fillcolor="#4472c4 [3204]" strokecolor="black [3213]" type="#_x0000_t13" adj="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" w14:anchorId="2719EA05">
                      <v:textbox inset="2.5mm,1.25mm,2.5mm,1.25mm"/>
                    </v:shape>
                  </w:pict>
                </mc:Fallback>
              </mc:AlternateContent>
            </w:r>
          </w:p>
          <w:p w14:paraId="4265FC13" w14:textId="77777777" w:rsidR="00C22BF0" w:rsidRDefault="00C22BF0" w:rsidP="005032E3">
            <w:pPr>
              <w:rPr>
                <w:noProof/>
              </w:rPr>
            </w:pPr>
          </w:p>
        </w:tc>
      </w:tr>
      <w:tr w:rsidR="00C22BF0" w14:paraId="31356F74" w14:textId="77777777" w:rsidTr="00CD1949">
        <w:tc>
          <w:tcPr>
            <w:tcW w:w="895" w:type="dxa"/>
            <w:shd w:val="clear" w:color="auto" w:fill="FF9900"/>
            <w:vAlign w:val="center"/>
          </w:tcPr>
          <w:p w14:paraId="3450FD3E" w14:textId="77777777" w:rsidR="00C22BF0" w:rsidRDefault="00C22BF0" w:rsidP="005032E3">
            <w:pPr>
              <w:rPr>
                <w:b/>
                <w:bCs/>
                <w:sz w:val="24"/>
                <w:szCs w:val="24"/>
              </w:rPr>
            </w:pPr>
          </w:p>
        </w:tc>
        <w:tc>
          <w:tcPr>
            <w:tcW w:w="1620" w:type="dxa"/>
            <w:tcBorders>
              <w:right w:val="single" w:sz="4" w:space="0" w:color="auto"/>
            </w:tcBorders>
            <w:vAlign w:val="center"/>
          </w:tcPr>
          <w:p w14:paraId="220FF6A9" w14:textId="77777777" w:rsidR="00C22BF0" w:rsidRDefault="00C22BF0" w:rsidP="005032E3">
            <w:pPr>
              <w:rPr>
                <w:noProof/>
              </w:rPr>
            </w:pPr>
            <w:r>
              <w:rPr>
                <w:noProof/>
              </w:rPr>
              <w:t>Moderate-High</w:t>
            </w:r>
          </w:p>
        </w:tc>
        <w:tc>
          <w:tcPr>
            <w:tcW w:w="1805" w:type="dxa"/>
            <w:tcBorders>
              <w:top w:val="nil"/>
              <w:left w:val="single" w:sz="4" w:space="0" w:color="auto"/>
              <w:bottom w:val="nil"/>
              <w:right w:val="single" w:sz="4" w:space="0" w:color="auto"/>
            </w:tcBorders>
          </w:tcPr>
          <w:p w14:paraId="597681A4" w14:textId="77777777" w:rsidR="00C22BF0" w:rsidRDefault="00C22BF0" w:rsidP="005032E3">
            <w:pPr>
              <w:rPr>
                <w:noProof/>
              </w:rPr>
            </w:pPr>
          </w:p>
        </w:tc>
        <w:tc>
          <w:tcPr>
            <w:tcW w:w="1260" w:type="dxa"/>
            <w:tcBorders>
              <w:left w:val="single" w:sz="4" w:space="0" w:color="auto"/>
            </w:tcBorders>
          </w:tcPr>
          <w:p w14:paraId="32585F06" w14:textId="77777777" w:rsidR="00C22BF0" w:rsidRDefault="00C22BF0" w:rsidP="005032E3">
            <w:pPr>
              <w:rPr>
                <w:noProof/>
              </w:rPr>
            </w:pPr>
            <w:r>
              <w:rPr>
                <w:noProof/>
              </w:rPr>
              <w:t>Increase</w:t>
            </w:r>
          </w:p>
        </w:tc>
        <w:tc>
          <w:tcPr>
            <w:tcW w:w="1710" w:type="dxa"/>
          </w:tcPr>
          <w:p w14:paraId="034238FB" w14:textId="77777777" w:rsidR="00C22BF0" w:rsidRDefault="00C22BF0" w:rsidP="005032E3">
            <w:pPr>
              <w:rPr>
                <w:noProof/>
              </w:rPr>
            </w:pPr>
            <w:r>
              <w:rPr>
                <w:noProof/>
              </w:rPr>
              <mc:AlternateContent>
                <mc:Choice Requires="wps">
                  <w:drawing>
                    <wp:anchor distT="0" distB="0" distL="114300" distR="114300" simplePos="0" relativeHeight="251658254" behindDoc="0" locked="0" layoutInCell="1" allowOverlap="1" wp14:anchorId="75597F03" wp14:editId="056A9C37">
                      <wp:simplePos x="0" y="0"/>
                      <wp:positionH relativeFrom="column">
                        <wp:posOffset>269193</wp:posOffset>
                      </wp:positionH>
                      <wp:positionV relativeFrom="paragraph">
                        <wp:posOffset>105736</wp:posOffset>
                      </wp:positionV>
                      <wp:extent cx="373107" cy="144518"/>
                      <wp:effectExtent l="114300" t="0" r="84455" b="0"/>
                      <wp:wrapNone/>
                      <wp:docPr id="1306960831" name="Arrow: Right 17"/>
                      <wp:cNvGraphicFramePr/>
                      <a:graphic xmlns:a="http://schemas.openxmlformats.org/drawingml/2006/main">
                        <a:graphicData uri="http://schemas.microsoft.com/office/word/2010/wordprocessingShape">
                          <wps:wsp>
                            <wps:cNvSpPr/>
                            <wps:spPr>
                              <a:xfrm rot="18891689">
                                <a:off x="0" y="0"/>
                                <a:ext cx="373107" cy="144518"/>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xmlns:c="http://schemas.openxmlformats.org/drawingml/2006/chart">
                  <w:pict w14:anchorId="6C11C024">
                    <v:shape id="Arrow: Right 17" style="position:absolute;margin-left:21.2pt;margin-top:8.35pt;width:29.4pt;height:11.4pt;rotation:-2958198fd;z-index:2516582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spid="_x0000_s1026" fillcolor="#4472c4 [3204]" strokecolor="black [3213]" type="#_x0000_t13" adj="17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" w14:anchorId="78123856">
                      <v:textbox inset="2.5mm,1.25mm,2.5mm,1.25mm"/>
                    </v:shape>
                  </w:pict>
                </mc:Fallback>
              </mc:AlternateContent>
            </w:r>
          </w:p>
          <w:p w14:paraId="1E90B9D2" w14:textId="77777777" w:rsidR="00C22BF0" w:rsidRDefault="00C22BF0" w:rsidP="005032E3">
            <w:pPr>
              <w:rPr>
                <w:noProof/>
              </w:rPr>
            </w:pPr>
          </w:p>
        </w:tc>
      </w:tr>
      <w:tr w:rsidR="00C22BF0" w14:paraId="34106DD5" w14:textId="77777777" w:rsidTr="00CD1949">
        <w:tc>
          <w:tcPr>
            <w:tcW w:w="895" w:type="dxa"/>
            <w:shd w:val="clear" w:color="auto" w:fill="FFFF00"/>
            <w:vAlign w:val="center"/>
          </w:tcPr>
          <w:p w14:paraId="6A018E87" w14:textId="77777777" w:rsidR="00C22BF0" w:rsidRDefault="00C22BF0" w:rsidP="005032E3">
            <w:pPr>
              <w:rPr>
                <w:b/>
                <w:bCs/>
                <w:sz w:val="24"/>
                <w:szCs w:val="24"/>
              </w:rPr>
            </w:pPr>
          </w:p>
        </w:tc>
        <w:tc>
          <w:tcPr>
            <w:tcW w:w="1620" w:type="dxa"/>
            <w:tcBorders>
              <w:right w:val="single" w:sz="4" w:space="0" w:color="auto"/>
            </w:tcBorders>
            <w:vAlign w:val="center"/>
          </w:tcPr>
          <w:p w14:paraId="58C5C5A1" w14:textId="77777777" w:rsidR="00C22BF0" w:rsidRDefault="00C22BF0" w:rsidP="005032E3">
            <w:pPr>
              <w:rPr>
                <w:noProof/>
              </w:rPr>
            </w:pPr>
            <w:r>
              <w:rPr>
                <w:noProof/>
              </w:rPr>
              <w:t>Moderate-Low</w:t>
            </w:r>
          </w:p>
        </w:tc>
        <w:tc>
          <w:tcPr>
            <w:tcW w:w="1805" w:type="dxa"/>
            <w:tcBorders>
              <w:top w:val="nil"/>
              <w:left w:val="single" w:sz="4" w:space="0" w:color="auto"/>
              <w:bottom w:val="nil"/>
              <w:right w:val="single" w:sz="4" w:space="0" w:color="auto"/>
            </w:tcBorders>
          </w:tcPr>
          <w:p w14:paraId="363BA39B" w14:textId="77777777" w:rsidR="00C22BF0" w:rsidRDefault="00C22BF0" w:rsidP="005032E3">
            <w:pPr>
              <w:rPr>
                <w:noProof/>
              </w:rPr>
            </w:pPr>
          </w:p>
        </w:tc>
        <w:tc>
          <w:tcPr>
            <w:tcW w:w="1260" w:type="dxa"/>
            <w:tcBorders>
              <w:left w:val="single" w:sz="4" w:space="0" w:color="auto"/>
            </w:tcBorders>
          </w:tcPr>
          <w:p w14:paraId="29003D4A" w14:textId="77777777" w:rsidR="00C22BF0" w:rsidRDefault="00C22BF0" w:rsidP="005032E3">
            <w:pPr>
              <w:rPr>
                <w:noProof/>
              </w:rPr>
            </w:pPr>
            <w:r>
              <w:rPr>
                <w:noProof/>
              </w:rPr>
              <w:t>Stable</w:t>
            </w:r>
          </w:p>
        </w:tc>
        <w:tc>
          <w:tcPr>
            <w:tcW w:w="1710" w:type="dxa"/>
          </w:tcPr>
          <w:p w14:paraId="093BFA68" w14:textId="77777777" w:rsidR="00C22BF0" w:rsidRDefault="00C22BF0" w:rsidP="005032E3">
            <w:pPr>
              <w:rPr>
                <w:noProof/>
              </w:rPr>
            </w:pPr>
            <w:r>
              <w:rPr>
                <w:noProof/>
              </w:rPr>
              <mc:AlternateContent>
                <mc:Choice Requires="wps">
                  <w:drawing>
                    <wp:anchor distT="0" distB="0" distL="114300" distR="114300" simplePos="0" relativeHeight="251658255" behindDoc="0" locked="0" layoutInCell="1" allowOverlap="1" wp14:anchorId="65F7A2D9" wp14:editId="682F59DD">
                      <wp:simplePos x="0" y="0"/>
                      <wp:positionH relativeFrom="column">
                        <wp:posOffset>255264</wp:posOffset>
                      </wp:positionH>
                      <wp:positionV relativeFrom="paragraph">
                        <wp:posOffset>62781</wp:posOffset>
                      </wp:positionV>
                      <wp:extent cx="437395" cy="192547"/>
                      <wp:effectExtent l="0" t="19050" r="39370" b="36195"/>
                      <wp:wrapNone/>
                      <wp:docPr id="952419390" name="Arrow: Right 17"/>
                      <wp:cNvGraphicFramePr/>
                      <a:graphic xmlns:a="http://schemas.openxmlformats.org/drawingml/2006/main">
                        <a:graphicData uri="http://schemas.microsoft.com/office/word/2010/wordprocessingShape">
                          <wps:wsp>
                            <wps:cNvSpPr/>
                            <wps:spPr>
                              <a:xfrm>
                                <a:off x="0" y="0"/>
                                <a:ext cx="437395" cy="192547"/>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xmlns:c="http://schemas.openxmlformats.org/drawingml/2006/chart">
                  <w:pict w14:anchorId="74E1897A">
                    <v:shape id="Arrow: Right 17" style="position:absolute;margin-left:20.1pt;margin-top:4.95pt;width:34.45pt;height:15.15pt;z-index:2516582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spid="_x0000_s1026" fillcolor="#4472c4 [3204]" strokecolor="black [3213]" type="#_x0000_t13" adj="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" w14:anchorId="21C6BF01">
                      <v:textbox inset="2.5mm,1.25mm,2.5mm,1.25mm"/>
                    </v:shape>
                  </w:pict>
                </mc:Fallback>
              </mc:AlternateContent>
            </w:r>
          </w:p>
          <w:p w14:paraId="5D0215F0" w14:textId="77777777" w:rsidR="00C22BF0" w:rsidRDefault="00C22BF0" w:rsidP="005032E3">
            <w:pPr>
              <w:rPr>
                <w:noProof/>
              </w:rPr>
            </w:pPr>
          </w:p>
        </w:tc>
      </w:tr>
      <w:tr w:rsidR="00C22BF0" w14:paraId="737904DB" w14:textId="77777777" w:rsidTr="00CD1949">
        <w:tc>
          <w:tcPr>
            <w:tcW w:w="895" w:type="dxa"/>
            <w:tcBorders>
              <w:bottom w:val="single" w:sz="4" w:space="0" w:color="auto"/>
            </w:tcBorders>
            <w:shd w:val="clear" w:color="auto" w:fill="00B050"/>
            <w:vAlign w:val="center"/>
          </w:tcPr>
          <w:p w14:paraId="75524F74" w14:textId="77777777" w:rsidR="00C22BF0" w:rsidRDefault="00C22BF0" w:rsidP="005032E3">
            <w:pPr>
              <w:rPr>
                <w:b/>
                <w:bCs/>
                <w:sz w:val="24"/>
                <w:szCs w:val="24"/>
              </w:rPr>
            </w:pPr>
          </w:p>
        </w:tc>
        <w:tc>
          <w:tcPr>
            <w:tcW w:w="1620" w:type="dxa"/>
            <w:tcBorders>
              <w:bottom w:val="single" w:sz="4" w:space="0" w:color="auto"/>
              <w:right w:val="single" w:sz="4" w:space="0" w:color="auto"/>
            </w:tcBorders>
            <w:vAlign w:val="center"/>
          </w:tcPr>
          <w:p w14:paraId="71BF157D" w14:textId="77777777" w:rsidR="00C22BF0" w:rsidRDefault="00C22BF0" w:rsidP="005032E3">
            <w:pPr>
              <w:rPr>
                <w:noProof/>
              </w:rPr>
            </w:pPr>
            <w:r>
              <w:rPr>
                <w:noProof/>
              </w:rPr>
              <w:t>Low</w:t>
            </w:r>
          </w:p>
        </w:tc>
        <w:tc>
          <w:tcPr>
            <w:tcW w:w="1805" w:type="dxa"/>
            <w:tcBorders>
              <w:top w:val="nil"/>
              <w:left w:val="single" w:sz="4" w:space="0" w:color="auto"/>
              <w:bottom w:val="nil"/>
              <w:right w:val="single" w:sz="4" w:space="0" w:color="auto"/>
            </w:tcBorders>
          </w:tcPr>
          <w:p w14:paraId="4AA86275" w14:textId="77777777" w:rsidR="00C22BF0" w:rsidRDefault="00C22BF0" w:rsidP="005032E3">
            <w:pPr>
              <w:rPr>
                <w:noProof/>
              </w:rPr>
            </w:pPr>
          </w:p>
        </w:tc>
        <w:tc>
          <w:tcPr>
            <w:tcW w:w="1260" w:type="dxa"/>
            <w:tcBorders>
              <w:left w:val="single" w:sz="4" w:space="0" w:color="auto"/>
            </w:tcBorders>
          </w:tcPr>
          <w:p w14:paraId="38D5FAB2" w14:textId="77777777" w:rsidR="00C22BF0" w:rsidRDefault="00C22BF0" w:rsidP="005032E3">
            <w:pPr>
              <w:rPr>
                <w:noProof/>
              </w:rPr>
            </w:pPr>
            <w:r>
              <w:rPr>
                <w:noProof/>
              </w:rPr>
              <w:t>Decrease</w:t>
            </w:r>
          </w:p>
        </w:tc>
        <w:tc>
          <w:tcPr>
            <w:tcW w:w="1710" w:type="dxa"/>
          </w:tcPr>
          <w:p w14:paraId="03FF507D" w14:textId="77777777" w:rsidR="00C22BF0" w:rsidRDefault="00C22BF0" w:rsidP="005032E3">
            <w:pPr>
              <w:rPr>
                <w:noProof/>
              </w:rPr>
            </w:pPr>
            <w:r>
              <w:rPr>
                <w:noProof/>
              </w:rPr>
              <mc:AlternateContent>
                <mc:Choice Requires="wps">
                  <w:drawing>
                    <wp:anchor distT="0" distB="0" distL="114300" distR="114300" simplePos="0" relativeHeight="251658256" behindDoc="0" locked="0" layoutInCell="1" allowOverlap="1" wp14:anchorId="7B9756DD" wp14:editId="77EC457B">
                      <wp:simplePos x="0" y="0"/>
                      <wp:positionH relativeFrom="column">
                        <wp:posOffset>265258</wp:posOffset>
                      </wp:positionH>
                      <wp:positionV relativeFrom="paragraph">
                        <wp:posOffset>105924</wp:posOffset>
                      </wp:positionV>
                      <wp:extent cx="396904" cy="163887"/>
                      <wp:effectExtent l="19050" t="95250" r="0" b="83820"/>
                      <wp:wrapNone/>
                      <wp:docPr id="1533217509" name="Arrow: Right 17"/>
                      <wp:cNvGraphicFramePr/>
                      <a:graphic xmlns:a="http://schemas.openxmlformats.org/drawingml/2006/main">
                        <a:graphicData uri="http://schemas.microsoft.com/office/word/2010/wordprocessingShape">
                          <wps:wsp>
                            <wps:cNvSpPr/>
                            <wps:spPr>
                              <a:xfrm rot="2093639">
                                <a:off x="0" y="0"/>
                                <a:ext cx="396904" cy="163887"/>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xmlns:c="http://schemas.openxmlformats.org/drawingml/2006/chart">
                  <w:pict w14:anchorId="29272E4F">
                    <v:shape id="Arrow: Right 17" style="position:absolute;margin-left:20.9pt;margin-top:8.35pt;width:31.25pt;height:12.9pt;rotation:2286812fd;z-index:25165826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spid="_x0000_s1026" fillcolor="#4472c4 [3204]" strokecolor="black [3213]" type="#_x0000_t13" adj="17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" w14:anchorId="51C03D61">
                      <v:textbox inset="2.5mm,1.25mm,2.5mm,1.25mm"/>
                    </v:shape>
                  </w:pict>
                </mc:Fallback>
              </mc:AlternateContent>
            </w:r>
          </w:p>
          <w:p w14:paraId="74BF8C5F" w14:textId="77777777" w:rsidR="00C22BF0" w:rsidRDefault="00C22BF0" w:rsidP="005032E3">
            <w:pPr>
              <w:rPr>
                <w:noProof/>
              </w:rPr>
            </w:pPr>
          </w:p>
        </w:tc>
      </w:tr>
      <w:tr w:rsidR="00C22BF0" w14:paraId="67557002" w14:textId="77777777" w:rsidTr="00CD1949">
        <w:tc>
          <w:tcPr>
            <w:tcW w:w="895" w:type="dxa"/>
            <w:tcBorders>
              <w:top w:val="single" w:sz="4" w:space="0" w:color="auto"/>
              <w:left w:val="nil"/>
              <w:bottom w:val="nil"/>
              <w:right w:val="nil"/>
            </w:tcBorders>
            <w:vAlign w:val="center"/>
          </w:tcPr>
          <w:p w14:paraId="04BC3894" w14:textId="77777777" w:rsidR="00C22BF0" w:rsidRDefault="00C22BF0" w:rsidP="005032E3">
            <w:pPr>
              <w:rPr>
                <w:b/>
                <w:bCs/>
                <w:sz w:val="24"/>
                <w:szCs w:val="24"/>
              </w:rPr>
            </w:pPr>
          </w:p>
        </w:tc>
        <w:tc>
          <w:tcPr>
            <w:tcW w:w="1620" w:type="dxa"/>
            <w:tcBorders>
              <w:top w:val="single" w:sz="4" w:space="0" w:color="auto"/>
              <w:left w:val="nil"/>
              <w:bottom w:val="nil"/>
              <w:right w:val="nil"/>
            </w:tcBorders>
            <w:vAlign w:val="center"/>
          </w:tcPr>
          <w:p w14:paraId="43D33259" w14:textId="77777777" w:rsidR="00C22BF0" w:rsidRDefault="00C22BF0" w:rsidP="005032E3">
            <w:pPr>
              <w:rPr>
                <w:noProof/>
              </w:rPr>
            </w:pPr>
          </w:p>
        </w:tc>
        <w:tc>
          <w:tcPr>
            <w:tcW w:w="1805" w:type="dxa"/>
            <w:tcBorders>
              <w:top w:val="nil"/>
              <w:left w:val="nil"/>
              <w:bottom w:val="nil"/>
              <w:right w:val="single" w:sz="4" w:space="0" w:color="auto"/>
            </w:tcBorders>
          </w:tcPr>
          <w:p w14:paraId="183F5D19" w14:textId="77777777" w:rsidR="00C22BF0" w:rsidRDefault="00C22BF0" w:rsidP="005032E3">
            <w:pPr>
              <w:rPr>
                <w:noProof/>
              </w:rPr>
            </w:pPr>
          </w:p>
        </w:tc>
        <w:tc>
          <w:tcPr>
            <w:tcW w:w="1260" w:type="dxa"/>
            <w:tcBorders>
              <w:left w:val="single" w:sz="4" w:space="0" w:color="auto"/>
            </w:tcBorders>
          </w:tcPr>
          <w:p w14:paraId="51E3369D" w14:textId="77777777" w:rsidR="00C22BF0" w:rsidRDefault="00C22BF0" w:rsidP="005032E3">
            <w:pPr>
              <w:rPr>
                <w:noProof/>
              </w:rPr>
            </w:pPr>
            <w:r>
              <w:rPr>
                <w:noProof/>
              </w:rPr>
              <w:t>Significant Decrease</w:t>
            </w:r>
          </w:p>
        </w:tc>
        <w:tc>
          <w:tcPr>
            <w:tcW w:w="1710" w:type="dxa"/>
          </w:tcPr>
          <w:p w14:paraId="14B2F729" w14:textId="77777777" w:rsidR="00C22BF0" w:rsidRDefault="00C22BF0" w:rsidP="005032E3">
            <w:pPr>
              <w:rPr>
                <w:noProof/>
              </w:rPr>
            </w:pPr>
            <w:r>
              <w:rPr>
                <w:noProof/>
              </w:rPr>
              <mc:AlternateContent>
                <mc:Choice Requires="wps">
                  <w:drawing>
                    <wp:anchor distT="0" distB="0" distL="114300" distR="114300" simplePos="0" relativeHeight="251658257" behindDoc="0" locked="0" layoutInCell="1" allowOverlap="1" wp14:anchorId="3E3280C9" wp14:editId="328377A9">
                      <wp:simplePos x="0" y="0"/>
                      <wp:positionH relativeFrom="column">
                        <wp:posOffset>289310</wp:posOffset>
                      </wp:positionH>
                      <wp:positionV relativeFrom="paragraph">
                        <wp:posOffset>78643</wp:posOffset>
                      </wp:positionV>
                      <wp:extent cx="309421" cy="181088"/>
                      <wp:effectExtent l="6985" t="0" r="40640" b="40640"/>
                      <wp:wrapNone/>
                      <wp:docPr id="96911179" name="Arrow: Right 17"/>
                      <wp:cNvGraphicFramePr/>
                      <a:graphic xmlns:a="http://schemas.openxmlformats.org/drawingml/2006/main">
                        <a:graphicData uri="http://schemas.microsoft.com/office/word/2010/wordprocessingShape">
                          <wps:wsp>
                            <wps:cNvSpPr/>
                            <wps:spPr>
                              <a:xfrm rot="5400000">
                                <a:off x="0" y="0"/>
                                <a:ext cx="309421" cy="181088"/>
                              </a:xfrm>
                              <a:prstGeom prst="rightArrow">
                                <a:avLst/>
                              </a:prstGeom>
                              <a:solidFill>
                                <a:schemeClr val="accent1"/>
                              </a:solidFill>
                              <a:ln cap="flat">
                                <a:solidFill>
                                  <a:schemeClr val="tx1"/>
                                </a:solidFill>
                                <a:prstDash val="solid"/>
                              </a:ln>
                            </wps:spPr>
                            <wps:bodyPr rot="0" spcFirstLastPara="0" vertOverflow="overflow" horzOverflow="overflow" vert="horz" wrap="none" lIns="90000" tIns="45000" rIns="90000" bIns="45000" numCol="1" spcCol="0" rtlCol="0" fromWordArt="0" anchor="ctr" anchorCtr="1" forceAA="0" compatLnSpc="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xmlns:c="http://schemas.openxmlformats.org/drawingml/2006/chart">
                  <w:pict w14:anchorId="6F420257">
                    <v:shape id="Arrow: Right 17" style="position:absolute;margin-left:22.8pt;margin-top:6.2pt;width:24.35pt;height:14.25pt;rotation:90;z-index:25165826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spid="_x0000_s1026" fillcolor="#4472c4 [3204]" strokecolor="black [3213]" type="#_x0000_t13" adj="15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" w14:anchorId="033BAB34">
                      <v:textbox inset="2.5mm,1.25mm,2.5mm,1.25mm"/>
                    </v:shape>
                  </w:pict>
                </mc:Fallback>
              </mc:AlternateContent>
            </w:r>
          </w:p>
          <w:p w14:paraId="30C0965E" w14:textId="77777777" w:rsidR="00C22BF0" w:rsidRDefault="00C22BF0" w:rsidP="005032E3">
            <w:pPr>
              <w:rPr>
                <w:noProof/>
              </w:rPr>
            </w:pPr>
          </w:p>
        </w:tc>
      </w:tr>
    </w:tbl>
    <w:p w14:paraId="4445B505" w14:textId="26C42DB8" w:rsidR="00281614" w:rsidRDefault="000F33CF" w:rsidP="009C0A75">
      <w:pPr>
        <w:pStyle w:val="Heading1"/>
      </w:pPr>
      <w:r>
        <w:br w:type="page"/>
      </w:r>
      <w:bookmarkStart w:id="1" w:name="_Toc232602953"/>
      <w:r w:rsidR="00281614">
        <w:t>Executive Summary</w:t>
      </w:r>
      <w:bookmarkEnd w:id="1"/>
    </w:p>
    <w:p w14:paraId="7C807D83" w14:textId="335FCF02" w:rsidR="0078325B" w:rsidRDefault="00281614" w:rsidP="00281614">
      <w:r>
        <w:t xml:space="preserve">Overall, the U.S. insurance industry continues its well-established pattern of adapting to </w:t>
      </w:r>
      <w:r w:rsidR="00220649">
        <w:t>a dynamic risk landscape and</w:t>
      </w:r>
      <w:r>
        <w:t xml:space="preserve"> play</w:t>
      </w:r>
      <w:r w:rsidR="00BC4DEE">
        <w:t>ing</w:t>
      </w:r>
      <w:r>
        <w:t xml:space="preserve"> </w:t>
      </w:r>
      <w:r w:rsidR="008E3DE1">
        <w:t>a key</w:t>
      </w:r>
      <w:r w:rsidR="00045A28">
        <w:t xml:space="preserve"> </w:t>
      </w:r>
      <w:r>
        <w:t xml:space="preserve">role in </w:t>
      </w:r>
      <w:r w:rsidR="00B8145F">
        <w:t>the financial sector</w:t>
      </w:r>
      <w:r w:rsidR="00B3403C">
        <w:t xml:space="preserve"> </w:t>
      </w:r>
      <w:r w:rsidR="00C145DC">
        <w:t xml:space="preserve">by </w:t>
      </w:r>
      <w:r>
        <w:t>help</w:t>
      </w:r>
      <w:r w:rsidR="00C145DC">
        <w:t>ing</w:t>
      </w:r>
      <w:r>
        <w:t xml:space="preserve"> policyholders manage risk</w:t>
      </w:r>
      <w:r w:rsidR="00C07FAC">
        <w:t xml:space="preserve">. </w:t>
      </w:r>
      <w:r w:rsidR="002E6FA7">
        <w:t xml:space="preserve"> </w:t>
      </w:r>
      <w:r w:rsidR="008E2EB0">
        <w:t>Aggregate</w:t>
      </w:r>
      <w:r w:rsidR="00A40CCA">
        <w:t xml:space="preserve"> c</w:t>
      </w:r>
      <w:r w:rsidR="000D4709">
        <w:t xml:space="preserve">apital levels </w:t>
      </w:r>
      <w:r w:rsidR="006F1A11">
        <w:t xml:space="preserve">continue to </w:t>
      </w:r>
      <w:r w:rsidR="00950F03">
        <w:t xml:space="preserve">increase overall and </w:t>
      </w:r>
      <w:r w:rsidR="00255E5D">
        <w:t xml:space="preserve">provide a </w:t>
      </w:r>
      <w:r w:rsidR="009F44E0">
        <w:t>significant buffer a</w:t>
      </w:r>
      <w:r w:rsidR="00B340D1">
        <w:t>bove</w:t>
      </w:r>
      <w:r w:rsidR="00AD0B50">
        <w:t xml:space="preserve"> </w:t>
      </w:r>
      <w:r w:rsidR="00872C5A">
        <w:t xml:space="preserve">regulatory </w:t>
      </w:r>
      <w:r w:rsidR="00F71948">
        <w:t xml:space="preserve">capital </w:t>
      </w:r>
      <w:r w:rsidR="00872C5A">
        <w:t>requirements</w:t>
      </w:r>
      <w:r w:rsidR="00E73DF5">
        <w:t xml:space="preserve"> </w:t>
      </w:r>
      <w:r w:rsidR="00D62C45">
        <w:t>to absorb risk</w:t>
      </w:r>
      <w:r w:rsidR="00C07FAC">
        <w:t xml:space="preserve">. </w:t>
      </w:r>
      <w:r w:rsidR="0078325B">
        <w:t xml:space="preserve">Liquidity risk is deemed low as overall industry allocation to cash and short-term investments and U.S. Government securities is </w:t>
      </w:r>
      <w:r w:rsidR="005037D4">
        <w:t xml:space="preserve">at </w:t>
      </w:r>
      <w:r w:rsidR="0078325B">
        <w:t xml:space="preserve">the highest </w:t>
      </w:r>
      <w:r w:rsidR="005037D4">
        <w:t>levels</w:t>
      </w:r>
      <w:r w:rsidR="0078325B">
        <w:t xml:space="preserve"> in the last five years</w:t>
      </w:r>
      <w:r w:rsidR="00C07FAC">
        <w:t xml:space="preserve">. </w:t>
      </w:r>
    </w:p>
    <w:p w14:paraId="1C71F1E8" w14:textId="77777777" w:rsidR="00DC0EFA" w:rsidRPr="002D4EF4" w:rsidRDefault="00DC0EFA" w:rsidP="00DC0EFA">
      <w:pPr>
        <w:spacing w:after="0" w:line="240" w:lineRule="auto"/>
        <w:rPr>
          <w:rFonts w:cstheme="minorHAnsi"/>
          <w:b/>
          <w:bCs/>
        </w:rPr>
      </w:pPr>
      <w:r w:rsidRPr="002D4EF4">
        <w:rPr>
          <w:rFonts w:cstheme="minorHAnsi"/>
          <w:b/>
          <w:bCs/>
        </w:rPr>
        <w:t>Regulator Use</w:t>
      </w:r>
    </w:p>
    <w:p w14:paraId="5A5A0F2C" w14:textId="4BD41ECB" w:rsidR="00DC0EFA" w:rsidRDefault="00DC0EFA" w:rsidP="00DC0EFA">
      <w:pPr>
        <w:spacing w:after="0" w:line="240" w:lineRule="auto"/>
        <w:rPr>
          <w:rFonts w:cstheme="minorHAnsi"/>
        </w:rPr>
      </w:pPr>
      <w:r>
        <w:rPr>
          <w:rFonts w:cstheme="minorHAnsi"/>
        </w:rPr>
        <w:t>This report was derived from a detailed regulator only comprehensive risk dashboard</w:t>
      </w:r>
      <w:r w:rsidR="00C07FAC">
        <w:rPr>
          <w:rFonts w:cstheme="minorHAnsi"/>
        </w:rPr>
        <w:t>.</w:t>
      </w:r>
      <w:r w:rsidR="009F7856">
        <w:rPr>
          <w:rFonts w:cstheme="minorHAnsi"/>
        </w:rPr>
        <w:t xml:space="preserve"> </w:t>
      </w:r>
      <w:r w:rsidR="00C07FAC">
        <w:rPr>
          <w:rFonts w:cstheme="minorHAnsi"/>
        </w:rPr>
        <w:t xml:space="preserve"> </w:t>
      </w:r>
      <w:r>
        <w:rPr>
          <w:rFonts w:cstheme="minorHAnsi"/>
        </w:rPr>
        <w:t xml:space="preserve">Each of the eight risk categories summarized in this report contains a set of key risk indicators that provide the basis for </w:t>
      </w:r>
      <w:r w:rsidR="00195A07">
        <w:rPr>
          <w:rFonts w:cstheme="minorHAnsi"/>
        </w:rPr>
        <w:t xml:space="preserve">the </w:t>
      </w:r>
      <w:r>
        <w:rPr>
          <w:rFonts w:cstheme="minorHAnsi"/>
        </w:rPr>
        <w:t>assessment</w:t>
      </w:r>
      <w:r w:rsidR="00C07FAC">
        <w:rPr>
          <w:rFonts w:cstheme="minorHAnsi"/>
        </w:rPr>
        <w:t xml:space="preserve">. </w:t>
      </w:r>
      <w:r>
        <w:rPr>
          <w:rFonts w:cstheme="minorHAnsi"/>
        </w:rPr>
        <w:t xml:space="preserve">Key risk indicators that have </w:t>
      </w:r>
      <w:r w:rsidR="000059A5">
        <w:rPr>
          <w:rFonts w:cstheme="minorHAnsi"/>
        </w:rPr>
        <w:t>significantly changed</w:t>
      </w:r>
      <w:r>
        <w:rPr>
          <w:rFonts w:cstheme="minorHAnsi"/>
        </w:rPr>
        <w:t xml:space="preserve"> or are key drivers of the risk assessment are highlighted in this report</w:t>
      </w:r>
      <w:r w:rsidR="00C07FAC">
        <w:rPr>
          <w:rFonts w:cstheme="minorHAnsi"/>
        </w:rPr>
        <w:t xml:space="preserve">. </w:t>
      </w:r>
      <w:r>
        <w:rPr>
          <w:rFonts w:cstheme="minorHAnsi"/>
        </w:rPr>
        <w:t>State regulators may wish to review these industry-wide risk drivers to determine if the same or similar risks are impacting their individual regulated entities</w:t>
      </w:r>
      <w:r w:rsidR="00C07FAC">
        <w:rPr>
          <w:rFonts w:cstheme="minorHAnsi"/>
        </w:rPr>
        <w:t xml:space="preserve">. </w:t>
      </w:r>
      <w:r>
        <w:rPr>
          <w:rFonts w:cstheme="minorHAnsi"/>
        </w:rPr>
        <w:t>The risks identified in this report may assist with the risk assessment components of financial analysis and completion of risk matrices during examinations.</w:t>
      </w:r>
    </w:p>
    <w:p w14:paraId="76717A4A" w14:textId="77777777" w:rsidR="00DC0EFA" w:rsidRDefault="00DC0EFA" w:rsidP="006E6A90">
      <w:pPr>
        <w:spacing w:after="0" w:line="240" w:lineRule="auto"/>
      </w:pPr>
    </w:p>
    <w:p w14:paraId="5248566E" w14:textId="7DD639D7" w:rsidR="0035793B" w:rsidRPr="0055453F" w:rsidRDefault="00BF0D8B" w:rsidP="006E6A90">
      <w:pPr>
        <w:spacing w:after="0" w:line="240" w:lineRule="auto"/>
        <w:rPr>
          <w:b/>
          <w:color w:val="002060"/>
        </w:rPr>
      </w:pPr>
      <w:r w:rsidRPr="0055453F">
        <w:rPr>
          <w:b/>
          <w:color w:val="002060"/>
        </w:rPr>
        <w:t>Key</w:t>
      </w:r>
      <w:r w:rsidR="00632865" w:rsidRPr="0055453F">
        <w:rPr>
          <w:b/>
          <w:color w:val="002060"/>
        </w:rPr>
        <w:t xml:space="preserve"> </w:t>
      </w:r>
      <w:r w:rsidR="00ED0BB1">
        <w:rPr>
          <w:b/>
          <w:color w:val="002060"/>
        </w:rPr>
        <w:t>Highlights</w:t>
      </w:r>
      <w:r w:rsidR="00632865" w:rsidRPr="0055453F">
        <w:rPr>
          <w:b/>
          <w:color w:val="002060"/>
        </w:rPr>
        <w:t>:</w:t>
      </w:r>
    </w:p>
    <w:p w14:paraId="681229B9" w14:textId="77777777" w:rsidR="006E6A90" w:rsidRDefault="006E6A90" w:rsidP="006E6A90">
      <w:pPr>
        <w:spacing w:after="0" w:line="240" w:lineRule="auto"/>
      </w:pPr>
    </w:p>
    <w:p w14:paraId="6C05F59A" w14:textId="0DF1B604" w:rsidR="00466900" w:rsidRPr="00A62944" w:rsidRDefault="00466900" w:rsidP="006E6A90">
      <w:pPr>
        <w:spacing w:after="0" w:line="240" w:lineRule="auto"/>
        <w:rPr>
          <w:b/>
          <w:bCs/>
        </w:rPr>
      </w:pPr>
      <w:r w:rsidRPr="00A62944">
        <w:rPr>
          <w:b/>
          <w:bCs/>
        </w:rPr>
        <w:t>Health Sector</w:t>
      </w:r>
    </w:p>
    <w:p w14:paraId="184ABFF2" w14:textId="59528E78" w:rsidR="00466900" w:rsidRDefault="00B24B16" w:rsidP="006E6A90">
      <w:pPr>
        <w:spacing w:after="0" w:line="240" w:lineRule="auto"/>
      </w:pPr>
      <w:r>
        <w:t xml:space="preserve">Several risk indicators </w:t>
      </w:r>
      <w:r w:rsidR="00101C5A">
        <w:t>within the underwriting</w:t>
      </w:r>
      <w:r w:rsidR="00C70291">
        <w:t>,</w:t>
      </w:r>
      <w:r w:rsidR="00101C5A">
        <w:t xml:space="preserve"> </w:t>
      </w:r>
      <w:r w:rsidR="004C50DF">
        <w:t>Capital Adequacy</w:t>
      </w:r>
      <w:r w:rsidR="00101C5A">
        <w:t xml:space="preserve"> </w:t>
      </w:r>
      <w:r w:rsidR="00C70291">
        <w:t xml:space="preserve">and liquidity </w:t>
      </w:r>
      <w:r>
        <w:t>risk categories indicate increased level of risk in the Health sector</w:t>
      </w:r>
      <w:r w:rsidR="00C07FAC">
        <w:t>.</w:t>
      </w:r>
      <w:r w:rsidR="00AD47B3">
        <w:t xml:space="preserve"> </w:t>
      </w:r>
      <w:r w:rsidR="00C07FAC">
        <w:t xml:space="preserve"> </w:t>
      </w:r>
      <w:r>
        <w:t xml:space="preserve">Specifically, capital has deteriorated, loss and combined ratios are elevated, </w:t>
      </w:r>
      <w:r w:rsidR="00C70291">
        <w:t>cash flow decrease</w:t>
      </w:r>
      <w:r w:rsidR="005D0CCE">
        <w:t>d</w:t>
      </w:r>
      <w:r w:rsidR="00C70291">
        <w:t xml:space="preserve"> </w:t>
      </w:r>
      <w:r>
        <w:t xml:space="preserve">and </w:t>
      </w:r>
      <w:r w:rsidR="00101C5A">
        <w:t xml:space="preserve">some </w:t>
      </w:r>
      <w:r>
        <w:t>rating agencies have a negative outlook on the sector.</w:t>
      </w:r>
    </w:p>
    <w:p w14:paraId="7CA42FBF" w14:textId="77777777" w:rsidR="00B24B16" w:rsidRDefault="00B24B16" w:rsidP="006E6A90">
      <w:pPr>
        <w:spacing w:after="0" w:line="240" w:lineRule="auto"/>
      </w:pPr>
    </w:p>
    <w:p w14:paraId="6624AAF2" w14:textId="77777777" w:rsidR="002E2578" w:rsidRPr="006E6A90" w:rsidRDefault="004B62FA" w:rsidP="0078325B">
      <w:pPr>
        <w:spacing w:after="0" w:line="240" w:lineRule="auto"/>
      </w:pPr>
      <w:r w:rsidRPr="00632865">
        <w:rPr>
          <w:b/>
          <w:bCs/>
        </w:rPr>
        <w:t>Private Credit</w:t>
      </w:r>
    </w:p>
    <w:p w14:paraId="08E765DD" w14:textId="01802F5B" w:rsidR="006E6A90" w:rsidRPr="006E6A90" w:rsidRDefault="006E6A90" w:rsidP="0078325B">
      <w:pPr>
        <w:pStyle w:val="Default"/>
        <w:jc w:val="both"/>
        <w:rPr>
          <w:sz w:val="22"/>
          <w:szCs w:val="22"/>
        </w:rPr>
      </w:pPr>
      <w:r w:rsidRPr="006E6A90">
        <w:rPr>
          <w:color w:val="auto"/>
          <w:sz w:val="22"/>
          <w:szCs w:val="22"/>
        </w:rPr>
        <w:t xml:space="preserve">Private credit funds have experienced substantial growth in recent years, with </w:t>
      </w:r>
      <w:r w:rsidR="00101C5A">
        <w:rPr>
          <w:color w:val="auto"/>
          <w:sz w:val="22"/>
          <w:szCs w:val="22"/>
        </w:rPr>
        <w:t>assets under management (</w:t>
      </w:r>
      <w:r w:rsidRPr="006E6A90">
        <w:rPr>
          <w:color w:val="auto"/>
          <w:sz w:val="22"/>
          <w:szCs w:val="22"/>
        </w:rPr>
        <w:t>AUM</w:t>
      </w:r>
      <w:r w:rsidR="00101C5A">
        <w:rPr>
          <w:color w:val="auto"/>
          <w:sz w:val="22"/>
          <w:szCs w:val="22"/>
        </w:rPr>
        <w:t>)</w:t>
      </w:r>
      <w:r w:rsidRPr="006E6A90">
        <w:rPr>
          <w:color w:val="auto"/>
          <w:sz w:val="22"/>
          <w:szCs w:val="22"/>
        </w:rPr>
        <w:t xml:space="preserve"> now comparable </w:t>
      </w:r>
      <w:r w:rsidR="00101C5A">
        <w:rPr>
          <w:color w:val="auto"/>
          <w:sz w:val="22"/>
          <w:szCs w:val="22"/>
        </w:rPr>
        <w:t xml:space="preserve">in </w:t>
      </w:r>
      <w:r w:rsidRPr="006E6A90">
        <w:rPr>
          <w:color w:val="auto"/>
          <w:sz w:val="22"/>
          <w:szCs w:val="22"/>
        </w:rPr>
        <w:t xml:space="preserve">size to </w:t>
      </w:r>
      <w:r w:rsidR="00101C5A">
        <w:rPr>
          <w:color w:val="auto"/>
          <w:sz w:val="22"/>
          <w:szCs w:val="22"/>
        </w:rPr>
        <w:t xml:space="preserve">the </w:t>
      </w:r>
      <w:r w:rsidRPr="006E6A90">
        <w:rPr>
          <w:color w:val="auto"/>
          <w:sz w:val="22"/>
          <w:szCs w:val="22"/>
        </w:rPr>
        <w:t>U.S. high yield corporate bond and leveraged loan markets</w:t>
      </w:r>
      <w:r w:rsidR="00CF74D4">
        <w:rPr>
          <w:color w:val="auto"/>
          <w:sz w:val="22"/>
          <w:szCs w:val="22"/>
        </w:rPr>
        <w:t xml:space="preserve">, which has led to some </w:t>
      </w:r>
      <w:r w:rsidR="002A6620">
        <w:rPr>
          <w:color w:val="auto"/>
          <w:sz w:val="22"/>
          <w:szCs w:val="22"/>
        </w:rPr>
        <w:t>increase in insurance company holdings in this area</w:t>
      </w:r>
      <w:r w:rsidR="00C07FAC" w:rsidRPr="006E6A90">
        <w:rPr>
          <w:color w:val="auto"/>
          <w:sz w:val="22"/>
          <w:szCs w:val="22"/>
        </w:rPr>
        <w:t>.</w:t>
      </w:r>
      <w:r w:rsidR="00C07FAC">
        <w:rPr>
          <w:sz w:val="22"/>
          <w:szCs w:val="22"/>
        </w:rPr>
        <w:t xml:space="preserve"> </w:t>
      </w:r>
      <w:r w:rsidRPr="006E6A90">
        <w:rPr>
          <w:sz w:val="22"/>
          <w:szCs w:val="22"/>
        </w:rPr>
        <w:t>Limited available information on borrower fundamentals and a lack of secondary market trading can make timely valuations challenging and result in limited transparency into the sector</w:t>
      </w:r>
      <w:r w:rsidR="00C07FAC" w:rsidRPr="006E6A90">
        <w:rPr>
          <w:sz w:val="22"/>
          <w:szCs w:val="22"/>
        </w:rPr>
        <w:t xml:space="preserve">. </w:t>
      </w:r>
      <w:r w:rsidR="005A5944">
        <w:rPr>
          <w:sz w:val="22"/>
          <w:szCs w:val="22"/>
        </w:rPr>
        <w:t>These factors also make quantification of the exposure for the insurance industry a challenge.</w:t>
      </w:r>
    </w:p>
    <w:p w14:paraId="3BFA04B6" w14:textId="303B76B3" w:rsidR="006E6A90" w:rsidRPr="006E6A90" w:rsidRDefault="006E6A90" w:rsidP="0078325B">
      <w:pPr>
        <w:pStyle w:val="Default"/>
        <w:jc w:val="both"/>
        <w:rPr>
          <w:color w:val="auto"/>
          <w:sz w:val="22"/>
          <w:szCs w:val="22"/>
        </w:rPr>
      </w:pPr>
    </w:p>
    <w:p w14:paraId="454C1322" w14:textId="77777777" w:rsidR="00106327" w:rsidRPr="00466900" w:rsidRDefault="00106327" w:rsidP="00106327">
      <w:pPr>
        <w:spacing w:after="0" w:line="240" w:lineRule="auto"/>
        <w:rPr>
          <w:b/>
          <w:bCs/>
        </w:rPr>
      </w:pPr>
      <w:r w:rsidRPr="00466900">
        <w:rPr>
          <w:b/>
          <w:bCs/>
        </w:rPr>
        <w:t>Level 3 Assets</w:t>
      </w:r>
    </w:p>
    <w:p w14:paraId="1286CEA1" w14:textId="314FC8A0" w:rsidR="00106327" w:rsidRDefault="00106327" w:rsidP="00106327">
      <w:pPr>
        <w:spacing w:after="0" w:line="240" w:lineRule="auto"/>
      </w:pPr>
      <w:r w:rsidRPr="008F436E">
        <w:t xml:space="preserve">Level </w:t>
      </w:r>
      <w:r>
        <w:t>3</w:t>
      </w:r>
      <w:r w:rsidRPr="008F436E">
        <w:t xml:space="preserve"> asset exposure continues modest growth, currently at 1</w:t>
      </w:r>
      <w:r>
        <w:t>7</w:t>
      </w:r>
      <w:r w:rsidRPr="008F436E">
        <w:t xml:space="preserve">% of </w:t>
      </w:r>
      <w:r>
        <w:t>cash and invested assets</w:t>
      </w:r>
      <w:r w:rsidRPr="008F436E">
        <w:t xml:space="preserve">, which is significant. Level </w:t>
      </w:r>
      <w:r>
        <w:t>3</w:t>
      </w:r>
      <w:r w:rsidRPr="008F436E">
        <w:t xml:space="preserve"> concentration may contribute to valuation and liquidity risk.</w:t>
      </w:r>
      <w:r>
        <w:t xml:space="preserve"> </w:t>
      </w:r>
      <w:r w:rsidRPr="008F436E">
        <w:t xml:space="preserve"> </w:t>
      </w:r>
      <w:r w:rsidR="00ED5F21">
        <w:t xml:space="preserve">Note many private credit </w:t>
      </w:r>
      <w:r w:rsidR="00071541">
        <w:t>investment</w:t>
      </w:r>
      <w:r w:rsidR="002F1E4E">
        <w:t>s</w:t>
      </w:r>
      <w:r w:rsidR="00071541">
        <w:t xml:space="preserve"> are also </w:t>
      </w:r>
      <w:r w:rsidR="002F1E4E">
        <w:t xml:space="preserve">considered </w:t>
      </w:r>
      <w:r w:rsidR="009F2DE8">
        <w:t xml:space="preserve">level 3 </w:t>
      </w:r>
      <w:r w:rsidR="002F1E4E">
        <w:t xml:space="preserve">assets.  </w:t>
      </w:r>
      <w:r>
        <w:t xml:space="preserve">This is a new risk indicator in the market risk category, and the exposure will continue to be monitored. </w:t>
      </w:r>
      <w:r w:rsidR="0036065C">
        <w:t xml:space="preserve"> </w:t>
      </w:r>
      <w:r w:rsidRPr="0036065C">
        <w:t>The Invested Assets (E) Task Force will be analyzing, researching, and discussing the exposure in more detail throughout 2026.</w:t>
      </w:r>
    </w:p>
    <w:p w14:paraId="58B1B0B5" w14:textId="77777777" w:rsidR="00106327" w:rsidRDefault="00106327" w:rsidP="00106327">
      <w:pPr>
        <w:spacing w:after="0" w:line="240" w:lineRule="auto"/>
      </w:pPr>
    </w:p>
    <w:p w14:paraId="787366B5" w14:textId="1BA5AAF4" w:rsidR="00611317" w:rsidRDefault="00404D34" w:rsidP="0078325B">
      <w:pPr>
        <w:spacing w:after="0" w:line="240" w:lineRule="auto"/>
        <w:rPr>
          <w:b/>
          <w:bCs/>
        </w:rPr>
      </w:pPr>
      <w:r w:rsidRPr="00916F91">
        <w:rPr>
          <w:b/>
          <w:bCs/>
        </w:rPr>
        <w:t>Natural Catastrop</w:t>
      </w:r>
      <w:r w:rsidR="00BF0D8B">
        <w:rPr>
          <w:b/>
          <w:bCs/>
        </w:rPr>
        <w:t>he</w:t>
      </w:r>
      <w:r w:rsidRPr="00916F91">
        <w:rPr>
          <w:b/>
          <w:bCs/>
        </w:rPr>
        <w:t xml:space="preserve"> </w:t>
      </w:r>
      <w:r w:rsidR="00AA3B28">
        <w:rPr>
          <w:b/>
          <w:bCs/>
        </w:rPr>
        <w:t>Risk</w:t>
      </w:r>
    </w:p>
    <w:p w14:paraId="0894F624" w14:textId="45EB5BFF" w:rsidR="007B6A39" w:rsidRPr="004740E9" w:rsidRDefault="00611317" w:rsidP="0078325B">
      <w:pPr>
        <w:spacing w:after="0" w:line="240" w:lineRule="auto"/>
        <w:rPr>
          <w:b/>
          <w:bCs/>
          <w:sz w:val="24"/>
          <w:szCs w:val="24"/>
        </w:rPr>
      </w:pPr>
      <w:r>
        <w:t xml:space="preserve">The overall </w:t>
      </w:r>
      <w:r w:rsidR="002136BE">
        <w:t>exposure of the U.S. insurance industry</w:t>
      </w:r>
      <w:r w:rsidR="00EC792C">
        <w:t xml:space="preserve"> to</w:t>
      </w:r>
      <w:r>
        <w:t xml:space="preserve"> Natural Catastrophe Risk, primarily impacting property insurers, </w:t>
      </w:r>
      <w:r w:rsidR="00782FBC">
        <w:t>continues to be a concern</w:t>
      </w:r>
      <w:r w:rsidR="00C07FAC">
        <w:t xml:space="preserve">. </w:t>
      </w:r>
      <w:r w:rsidR="004740E9" w:rsidRPr="004740E9">
        <w:t>Meteorological Factors</w:t>
      </w:r>
      <w:r w:rsidR="004740E9">
        <w:t xml:space="preserve">, insured losses, rate increases and residual market activity </w:t>
      </w:r>
      <w:r w:rsidR="00E87032">
        <w:t xml:space="preserve">drive </w:t>
      </w:r>
      <w:r w:rsidR="004740E9">
        <w:t xml:space="preserve">the elevated </w:t>
      </w:r>
      <w:r w:rsidR="00E87032">
        <w:t>level of concern</w:t>
      </w:r>
      <w:r w:rsidR="00C07FAC">
        <w:t>.</w:t>
      </w:r>
    </w:p>
    <w:p w14:paraId="52D55DC5" w14:textId="4E0340B2" w:rsidR="0011077F" w:rsidRDefault="0096022F">
      <w:pPr>
        <w:jc w:val="left"/>
        <w:rPr>
          <w:b/>
          <w:bCs/>
        </w:rPr>
      </w:pPr>
      <w:r>
        <w:rPr>
          <w:b/>
          <w:bCs/>
        </w:rPr>
        <w:br w:type="page"/>
      </w:r>
    </w:p>
    <w:p w14:paraId="6DD5D7CF" w14:textId="77777777" w:rsidR="0011077F" w:rsidRDefault="0011077F" w:rsidP="004740E9">
      <w:pPr>
        <w:spacing w:after="0" w:line="240" w:lineRule="auto"/>
        <w:ind w:left="360"/>
        <w:rPr>
          <w:b/>
          <w:bCs/>
        </w:rPr>
      </w:pPr>
    </w:p>
    <w:p w14:paraId="6C37DEDE" w14:textId="1138ED7F" w:rsidR="0011077F" w:rsidRDefault="00922F19" w:rsidP="0034360A">
      <w:pPr>
        <w:spacing w:after="0" w:line="240" w:lineRule="auto"/>
        <w:rPr>
          <w:b/>
          <w:bCs/>
        </w:rPr>
      </w:pPr>
      <w:r w:rsidRPr="00916F91">
        <w:rPr>
          <w:b/>
          <w:bCs/>
        </w:rPr>
        <w:t>Macroeconomic Trends</w:t>
      </w:r>
    </w:p>
    <w:p w14:paraId="32BEF435" w14:textId="0FE2A713" w:rsidR="00922F19" w:rsidRDefault="006F5E0C" w:rsidP="0034360A">
      <w:pPr>
        <w:spacing w:after="0" w:line="240" w:lineRule="auto"/>
      </w:pPr>
      <w:r>
        <w:t>T</w:t>
      </w:r>
      <w:r w:rsidR="00922F19">
        <w:t>he more significant macroeconomic trends state insurance regulators closely monitor are inflation and interest rate trends</w:t>
      </w:r>
      <w:r w:rsidR="00C07FAC">
        <w:t xml:space="preserve">. </w:t>
      </w:r>
      <w:r w:rsidR="00605365">
        <w:t>Recent h</w:t>
      </w:r>
      <w:r w:rsidR="00922F19">
        <w:t>igh</w:t>
      </w:r>
      <w:r w:rsidR="00605365">
        <w:t>er</w:t>
      </w:r>
      <w:r w:rsidR="00922F19">
        <w:t xml:space="preserve"> levels of inflation pose risk to various property insurance coverages, where the rising costs of materials and labor has the potential to impact</w:t>
      </w:r>
      <w:r w:rsidR="00922F19" w:rsidDel="00094993">
        <w:t xml:space="preserve"> </w:t>
      </w:r>
      <w:r w:rsidR="00922F19">
        <w:t>underwriting results</w:t>
      </w:r>
      <w:r w:rsidR="00C07FAC">
        <w:t xml:space="preserve">. </w:t>
      </w:r>
    </w:p>
    <w:p w14:paraId="025B9A8B" w14:textId="77777777" w:rsidR="0011077F" w:rsidRDefault="0011077F" w:rsidP="0034360A">
      <w:pPr>
        <w:spacing w:after="0" w:line="240" w:lineRule="auto"/>
      </w:pPr>
    </w:p>
    <w:p w14:paraId="60E53792" w14:textId="05304BB0" w:rsidR="00541DE4" w:rsidRDefault="00DA669A" w:rsidP="0034360A">
      <w:pPr>
        <w:spacing w:after="0" w:line="240" w:lineRule="auto"/>
        <w:rPr>
          <w:b/>
          <w:bCs/>
        </w:rPr>
      </w:pPr>
      <w:r>
        <w:rPr>
          <w:b/>
          <w:bCs/>
        </w:rPr>
        <w:t xml:space="preserve">Significant </w:t>
      </w:r>
      <w:r w:rsidR="00B55EC4">
        <w:rPr>
          <w:b/>
          <w:bCs/>
        </w:rPr>
        <w:t>S</w:t>
      </w:r>
      <w:r>
        <w:rPr>
          <w:b/>
          <w:bCs/>
        </w:rPr>
        <w:t>hifts</w:t>
      </w:r>
      <w:r w:rsidR="00922F19" w:rsidRPr="00916F91">
        <w:rPr>
          <w:b/>
          <w:bCs/>
        </w:rPr>
        <w:t xml:space="preserve"> in </w:t>
      </w:r>
      <w:r w:rsidR="006050F5" w:rsidRPr="00916F91">
        <w:rPr>
          <w:b/>
          <w:bCs/>
        </w:rPr>
        <w:t xml:space="preserve">Life </w:t>
      </w:r>
      <w:r w:rsidR="002672EF">
        <w:rPr>
          <w:b/>
          <w:bCs/>
        </w:rPr>
        <w:t>S</w:t>
      </w:r>
      <w:r w:rsidR="006050F5" w:rsidRPr="00916F91">
        <w:rPr>
          <w:b/>
          <w:bCs/>
        </w:rPr>
        <w:t>ector</w:t>
      </w:r>
    </w:p>
    <w:p w14:paraId="76F92201" w14:textId="6D44BE3C" w:rsidR="00922F19" w:rsidRDefault="00922F19" w:rsidP="0034360A">
      <w:pPr>
        <w:spacing w:after="0" w:line="240" w:lineRule="auto"/>
      </w:pPr>
      <w:r>
        <w:t xml:space="preserve">There has been a noted trend of changing </w:t>
      </w:r>
      <w:r w:rsidR="00A807EE">
        <w:t xml:space="preserve">strategies and </w:t>
      </w:r>
      <w:r>
        <w:t xml:space="preserve">ownership structures to improve the performance and profitability of </w:t>
      </w:r>
      <w:r w:rsidR="0049673A">
        <w:t xml:space="preserve">life </w:t>
      </w:r>
      <w:r>
        <w:t>insurance operations</w:t>
      </w:r>
      <w:r w:rsidR="00C07FAC">
        <w:t xml:space="preserve">. </w:t>
      </w:r>
      <w:r w:rsidR="00755025">
        <w:t xml:space="preserve"> </w:t>
      </w:r>
      <w:r>
        <w:t>Some of these trends have been in response to the previous prolonged low</w:t>
      </w:r>
      <w:r w:rsidR="006E7374">
        <w:t>-</w:t>
      </w:r>
      <w:r>
        <w:t>interest rate environment and other market conditions</w:t>
      </w:r>
      <w:r w:rsidR="00C07FAC">
        <w:t>.</w:t>
      </w:r>
      <w:r w:rsidR="00755025">
        <w:t xml:space="preserve"> </w:t>
      </w:r>
      <w:r w:rsidR="00C07FAC">
        <w:t xml:space="preserve"> </w:t>
      </w:r>
      <w:r>
        <w:t xml:space="preserve">In many cases, these trends have been associated with </w:t>
      </w:r>
      <w:r w:rsidR="00717C87">
        <w:t>new entrants</w:t>
      </w:r>
      <w:r>
        <w:t xml:space="preserve"> </w:t>
      </w:r>
      <w:r w:rsidR="000F58D2">
        <w:t xml:space="preserve">attempting to </w:t>
      </w:r>
      <w:r w:rsidR="00C239F4">
        <w:t>utiliz</w:t>
      </w:r>
      <w:r w:rsidR="000F58D2">
        <w:t>e</w:t>
      </w:r>
      <w:r w:rsidR="004F2A73">
        <w:t xml:space="preserve"> their experience in </w:t>
      </w:r>
      <w:r w:rsidR="001E7907">
        <w:t xml:space="preserve">other areas of </w:t>
      </w:r>
      <w:r w:rsidR="00AA3107">
        <w:t xml:space="preserve">asset management to </w:t>
      </w:r>
      <w:r w:rsidR="00581316">
        <w:t>enhance returns</w:t>
      </w:r>
      <w:r w:rsidR="00C07FAC">
        <w:t xml:space="preserve">. </w:t>
      </w:r>
      <w:r>
        <w:t xml:space="preserve">Other monitored trends include an increase in complex investment structures, </w:t>
      </w:r>
      <w:r w:rsidR="002672EF">
        <w:t>pension risk transfer</w:t>
      </w:r>
      <w:r w:rsidR="000F58D2">
        <w:t xml:space="preserve"> activity</w:t>
      </w:r>
      <w:r w:rsidR="002672EF">
        <w:t xml:space="preserve">, </w:t>
      </w:r>
      <w:r w:rsidR="00BF0D8B">
        <w:t>a</w:t>
      </w:r>
      <w:r w:rsidR="002672EF">
        <w:t>sset intensive reinsurance</w:t>
      </w:r>
      <w:r>
        <w:t xml:space="preserve">, </w:t>
      </w:r>
      <w:r w:rsidR="00466900">
        <w:t xml:space="preserve">affiliated asset </w:t>
      </w:r>
      <w:r w:rsidR="00C07FAC">
        <w:t>managers,</w:t>
      </w:r>
      <w:r w:rsidR="00466900">
        <w:t xml:space="preserve"> </w:t>
      </w:r>
      <w:r>
        <w:t xml:space="preserve">and </w:t>
      </w:r>
      <w:r w:rsidR="002672EF">
        <w:t>cross-border</w:t>
      </w:r>
      <w:r>
        <w:t xml:space="preserve"> reinsurance structures, which are some of the key </w:t>
      </w:r>
      <w:r w:rsidR="00305965">
        <w:t>factors</w:t>
      </w:r>
      <w:r>
        <w:t xml:space="preserve"> driving </w:t>
      </w:r>
      <w:r w:rsidR="00305965">
        <w:t>the</w:t>
      </w:r>
      <w:r>
        <w:t xml:space="preserve"> assessment. </w:t>
      </w:r>
    </w:p>
    <w:p w14:paraId="5E0094DD" w14:textId="77777777" w:rsidR="00762FBE" w:rsidRDefault="00762FBE" w:rsidP="0034360A">
      <w:pPr>
        <w:spacing w:after="0" w:line="240" w:lineRule="auto"/>
      </w:pPr>
    </w:p>
    <w:p w14:paraId="3FF81AC7" w14:textId="77777777" w:rsidR="002A5B60" w:rsidRDefault="002A5B60" w:rsidP="002A5B60">
      <w:pPr>
        <w:spacing w:after="0" w:line="240" w:lineRule="auto"/>
      </w:pPr>
      <w:r>
        <w:t>Significant increases in the level of Funding Agreement issuance backing Funding Agreement Backed Notes (FABN) and Federal Home Loan Bank (FHLB) advances, along with Securities Lending and Repurchase Agreement activity, have significantly increased the Life industry operating leverage to enhance returns.  This risk is tempered by asset liability management practices and the predictability of these types of liabilities.</w:t>
      </w:r>
    </w:p>
    <w:p w14:paraId="538FCADF" w14:textId="77777777" w:rsidR="002A5B60" w:rsidRDefault="002A5B60" w:rsidP="0034360A">
      <w:pPr>
        <w:spacing w:after="0" w:line="240" w:lineRule="auto"/>
      </w:pPr>
    </w:p>
    <w:p w14:paraId="2A68A335" w14:textId="77777777" w:rsidR="00BF0D8B" w:rsidRDefault="00BF0D8B" w:rsidP="0034360A">
      <w:pPr>
        <w:spacing w:after="0" w:line="240" w:lineRule="auto"/>
      </w:pPr>
    </w:p>
    <w:p w14:paraId="09E4AC3C" w14:textId="77777777" w:rsidR="00466900" w:rsidRDefault="00466900" w:rsidP="0034360A">
      <w:pPr>
        <w:spacing w:after="0" w:line="240" w:lineRule="auto"/>
      </w:pPr>
    </w:p>
    <w:p w14:paraId="48388635" w14:textId="4999E359" w:rsidR="00FE3CB7" w:rsidRDefault="000B22BF" w:rsidP="00916F91">
      <w:pPr>
        <w:spacing w:after="0" w:line="240" w:lineRule="auto"/>
        <w:ind w:left="360"/>
      </w:pPr>
      <w:r w:rsidRPr="008F436E">
        <w:t xml:space="preserve"> </w:t>
      </w:r>
      <w:r w:rsidR="00DC77E0" w:rsidRPr="008F436E">
        <w:t xml:space="preserve"> </w:t>
      </w:r>
    </w:p>
    <w:p w14:paraId="73FD9DA2" w14:textId="77777777" w:rsidR="00FE3CB7" w:rsidRDefault="00FE3CB7" w:rsidP="00916F91">
      <w:pPr>
        <w:spacing w:after="0" w:line="240" w:lineRule="auto"/>
        <w:ind w:left="360"/>
      </w:pPr>
    </w:p>
    <w:p w14:paraId="4E90BE04" w14:textId="1D71B2AD" w:rsidR="00174B5A" w:rsidRDefault="00174B5A" w:rsidP="00916F91">
      <w:pPr>
        <w:spacing w:after="0" w:line="240" w:lineRule="auto"/>
        <w:ind w:left="360"/>
      </w:pPr>
      <w:r>
        <w:br w:type="page"/>
      </w:r>
    </w:p>
    <w:p w14:paraId="10A23522" w14:textId="68294B11" w:rsidR="002F7D56" w:rsidRDefault="002F7D56" w:rsidP="002F7D56">
      <w:pPr>
        <w:pStyle w:val="Heading1"/>
      </w:pPr>
      <w:bookmarkStart w:id="2" w:name="_Toc121130763"/>
      <w:bookmarkStart w:id="3" w:name="_Toc232602954"/>
      <w:r>
        <w:t>Recommendations</w:t>
      </w:r>
      <w:bookmarkEnd w:id="2"/>
      <w:bookmarkEnd w:id="3"/>
    </w:p>
    <w:p w14:paraId="39DD1A9D" w14:textId="45C803B0" w:rsidR="002F7D56" w:rsidRPr="004C6B2D" w:rsidRDefault="007B2638" w:rsidP="002F7D56">
      <w:pPr>
        <w:spacing w:after="120" w:line="240" w:lineRule="auto"/>
        <w:rPr>
          <w:rFonts w:eastAsia="Times New Roman"/>
          <w:color w:val="000000"/>
        </w:rPr>
      </w:pPr>
      <w:r>
        <w:rPr>
          <w:rFonts w:eastAsia="Times New Roman"/>
          <w:color w:val="000000"/>
        </w:rPr>
        <w:t>State r</w:t>
      </w:r>
      <w:r w:rsidR="002F7D56">
        <w:rPr>
          <w:rFonts w:eastAsia="Times New Roman"/>
          <w:color w:val="000000"/>
        </w:rPr>
        <w:t>egulators and NAIC staff have raised the following recommendations for further consideration either by the Financial Stability (E) Task Force</w:t>
      </w:r>
      <w:r w:rsidR="000F496E">
        <w:rPr>
          <w:rFonts w:eastAsia="Times New Roman"/>
          <w:color w:val="000000"/>
        </w:rPr>
        <w:t xml:space="preserve"> (FSTF</w:t>
      </w:r>
      <w:r w:rsidR="0024417A">
        <w:rPr>
          <w:rFonts w:eastAsia="Times New Roman"/>
          <w:color w:val="000000"/>
        </w:rPr>
        <w:t>, or the “Task Force”</w:t>
      </w:r>
      <w:r w:rsidR="000F496E">
        <w:rPr>
          <w:rFonts w:eastAsia="Times New Roman"/>
          <w:color w:val="000000"/>
        </w:rPr>
        <w:t>)</w:t>
      </w:r>
      <w:r w:rsidR="002F7D56">
        <w:rPr>
          <w:rFonts w:eastAsia="Times New Roman"/>
          <w:color w:val="000000"/>
        </w:rPr>
        <w:t xml:space="preserve"> or the Macroprudential (E) Working Group.</w:t>
      </w:r>
    </w:p>
    <w:p w14:paraId="2C87460A" w14:textId="77777777" w:rsidR="00575CA8" w:rsidRDefault="00575CA8" w:rsidP="0034360A">
      <w:pPr>
        <w:spacing w:after="0" w:line="240" w:lineRule="auto"/>
        <w:rPr>
          <w:rFonts w:eastAsia="Times New Roman"/>
          <w:b/>
          <w:bCs/>
          <w:color w:val="000000" w:themeColor="text1"/>
        </w:rPr>
      </w:pPr>
    </w:p>
    <w:p w14:paraId="48A97681" w14:textId="57532A36" w:rsidR="00C70291" w:rsidRPr="00C70291" w:rsidRDefault="002F7D56" w:rsidP="0034360A">
      <w:pPr>
        <w:spacing w:after="0" w:line="240" w:lineRule="auto"/>
        <w:rPr>
          <w:rFonts w:eastAsia="Times New Roman"/>
          <w:color w:val="000000"/>
        </w:rPr>
      </w:pPr>
      <w:r w:rsidRPr="00C70291">
        <w:rPr>
          <w:rFonts w:eastAsia="Times New Roman"/>
          <w:b/>
          <w:bCs/>
          <w:color w:val="000000" w:themeColor="text1"/>
        </w:rPr>
        <w:t>Interconnectedness</w:t>
      </w:r>
    </w:p>
    <w:p w14:paraId="4475E899" w14:textId="4DD60500" w:rsidR="001D2BF1" w:rsidRPr="001D2BF1" w:rsidRDefault="001B632D" w:rsidP="0034360A">
      <w:pPr>
        <w:spacing w:after="0" w:line="240" w:lineRule="auto"/>
        <w:rPr>
          <w:rFonts w:eastAsia="Times New Roman"/>
          <w:color w:val="000000" w:themeColor="text1"/>
        </w:rPr>
      </w:pPr>
      <w:r>
        <w:rPr>
          <w:rFonts w:eastAsia="Times New Roman"/>
          <w:color w:val="000000" w:themeColor="text1"/>
        </w:rPr>
        <w:t xml:space="preserve">Several of the </w:t>
      </w:r>
      <w:r w:rsidR="002364F9">
        <w:rPr>
          <w:rFonts w:eastAsia="Times New Roman"/>
          <w:color w:val="000000" w:themeColor="text1"/>
        </w:rPr>
        <w:t xml:space="preserve">key issues </w:t>
      </w:r>
      <w:r w:rsidR="000F621D">
        <w:rPr>
          <w:rFonts w:eastAsia="Times New Roman"/>
          <w:color w:val="000000" w:themeColor="text1"/>
        </w:rPr>
        <w:t xml:space="preserve">and topics </w:t>
      </w:r>
      <w:r w:rsidR="00E8367A">
        <w:rPr>
          <w:rFonts w:eastAsia="Times New Roman"/>
          <w:color w:val="000000" w:themeColor="text1"/>
        </w:rPr>
        <w:t xml:space="preserve">highlighted </w:t>
      </w:r>
      <w:r w:rsidR="002364F9">
        <w:rPr>
          <w:rFonts w:eastAsia="Times New Roman"/>
          <w:color w:val="000000" w:themeColor="text1"/>
        </w:rPr>
        <w:t xml:space="preserve">in this </w:t>
      </w:r>
      <w:r w:rsidR="000F621D">
        <w:rPr>
          <w:rFonts w:eastAsia="Times New Roman"/>
          <w:color w:val="000000" w:themeColor="text1"/>
        </w:rPr>
        <w:t>document</w:t>
      </w:r>
      <w:r w:rsidR="002364F9">
        <w:rPr>
          <w:rFonts w:eastAsia="Times New Roman"/>
          <w:color w:val="000000" w:themeColor="text1"/>
        </w:rPr>
        <w:t xml:space="preserve"> have the potential to </w:t>
      </w:r>
      <w:r w:rsidR="0068537E">
        <w:rPr>
          <w:rFonts w:eastAsia="Times New Roman"/>
          <w:color w:val="000000" w:themeColor="text1"/>
        </w:rPr>
        <w:t>increase</w:t>
      </w:r>
      <w:r w:rsidR="00910B71">
        <w:rPr>
          <w:rFonts w:eastAsia="Times New Roman"/>
          <w:color w:val="000000" w:themeColor="text1"/>
        </w:rPr>
        <w:t xml:space="preserve"> or obscure</w:t>
      </w:r>
      <w:r w:rsidR="0068537E">
        <w:rPr>
          <w:rFonts w:eastAsia="Times New Roman"/>
          <w:color w:val="000000" w:themeColor="text1"/>
        </w:rPr>
        <w:t xml:space="preserve"> the </w:t>
      </w:r>
      <w:r w:rsidR="00834DF8">
        <w:rPr>
          <w:rFonts w:eastAsia="Times New Roman"/>
          <w:color w:val="000000" w:themeColor="text1"/>
        </w:rPr>
        <w:t>level of</w:t>
      </w:r>
      <w:r w:rsidR="001E04AB">
        <w:rPr>
          <w:rFonts w:eastAsia="Times New Roman"/>
          <w:color w:val="000000" w:themeColor="text1"/>
        </w:rPr>
        <w:t xml:space="preserve"> financial</w:t>
      </w:r>
      <w:r w:rsidR="00834DF8">
        <w:rPr>
          <w:rFonts w:eastAsia="Times New Roman"/>
          <w:color w:val="000000" w:themeColor="text1"/>
        </w:rPr>
        <w:t xml:space="preserve"> </w:t>
      </w:r>
      <w:r w:rsidR="0068537E">
        <w:rPr>
          <w:rFonts w:eastAsia="Times New Roman"/>
          <w:color w:val="000000" w:themeColor="text1"/>
        </w:rPr>
        <w:t>interconne</w:t>
      </w:r>
      <w:r w:rsidR="00910B71">
        <w:rPr>
          <w:rFonts w:eastAsia="Times New Roman"/>
          <w:color w:val="000000" w:themeColor="text1"/>
        </w:rPr>
        <w:t xml:space="preserve">ctedness between U.S. insurers and other </w:t>
      </w:r>
      <w:r w:rsidR="008E5C5C">
        <w:rPr>
          <w:rFonts w:eastAsia="Times New Roman"/>
          <w:color w:val="000000" w:themeColor="text1"/>
        </w:rPr>
        <w:t xml:space="preserve">financial institutions and </w:t>
      </w:r>
      <w:r w:rsidR="00E8367A">
        <w:rPr>
          <w:rFonts w:eastAsia="Times New Roman"/>
          <w:color w:val="000000" w:themeColor="text1"/>
        </w:rPr>
        <w:t xml:space="preserve">other jurisdictions. </w:t>
      </w:r>
    </w:p>
    <w:p w14:paraId="1D073E1C" w14:textId="77777777" w:rsidR="00EF7A2A" w:rsidRDefault="00EF7A2A" w:rsidP="0034360A">
      <w:pPr>
        <w:spacing w:after="0" w:line="240" w:lineRule="auto"/>
        <w:rPr>
          <w:rFonts w:eastAsia="Times New Roman"/>
          <w:color w:val="000000" w:themeColor="text1"/>
        </w:rPr>
      </w:pPr>
    </w:p>
    <w:p w14:paraId="7A690561" w14:textId="4D6C4443" w:rsidR="001D2BF1" w:rsidRPr="001D2BF1" w:rsidRDefault="00E8367A" w:rsidP="0034360A">
      <w:pPr>
        <w:spacing w:after="0" w:line="240" w:lineRule="auto"/>
        <w:rPr>
          <w:rFonts w:eastAsia="Times New Roman"/>
          <w:color w:val="000000" w:themeColor="text1"/>
        </w:rPr>
      </w:pPr>
      <w:r>
        <w:rPr>
          <w:rFonts w:eastAsia="Times New Roman"/>
          <w:color w:val="000000" w:themeColor="text1"/>
        </w:rPr>
        <w:t>This includes i</w:t>
      </w:r>
      <w:r w:rsidR="001D2BF1" w:rsidRPr="001D2BF1">
        <w:rPr>
          <w:rFonts w:eastAsia="Times New Roman"/>
          <w:color w:val="000000" w:themeColor="text1"/>
        </w:rPr>
        <w:t xml:space="preserve">ncreasing complexity in investment practices, </w:t>
      </w:r>
      <w:r w:rsidR="00DB6290">
        <w:rPr>
          <w:rFonts w:eastAsia="Times New Roman"/>
          <w:color w:val="000000" w:themeColor="text1"/>
        </w:rPr>
        <w:t xml:space="preserve">increased </w:t>
      </w:r>
      <w:r w:rsidR="001D2BF1" w:rsidRPr="001D2BF1">
        <w:rPr>
          <w:rFonts w:eastAsia="Times New Roman"/>
          <w:color w:val="000000" w:themeColor="text1"/>
        </w:rPr>
        <w:t xml:space="preserve">use of asset-intensive offshore reinsurance, and </w:t>
      </w:r>
      <w:r w:rsidR="00DB6290">
        <w:rPr>
          <w:rFonts w:eastAsia="Times New Roman"/>
          <w:color w:val="000000" w:themeColor="text1"/>
        </w:rPr>
        <w:t xml:space="preserve">increased use of </w:t>
      </w:r>
      <w:r w:rsidR="001D2BF1" w:rsidRPr="001D2BF1">
        <w:rPr>
          <w:rFonts w:eastAsia="Times New Roman"/>
          <w:color w:val="000000" w:themeColor="text1"/>
        </w:rPr>
        <w:t>off-balance sheet special purpose vehicles</w:t>
      </w:r>
      <w:r w:rsidR="00D1392D">
        <w:rPr>
          <w:rFonts w:eastAsia="Times New Roman"/>
          <w:color w:val="000000" w:themeColor="text1"/>
        </w:rPr>
        <w:t>, all of which can lead to</w:t>
      </w:r>
      <w:r w:rsidR="001D2BF1" w:rsidRPr="001D2BF1">
        <w:rPr>
          <w:rFonts w:eastAsia="Times New Roman"/>
          <w:color w:val="000000" w:themeColor="text1"/>
        </w:rPr>
        <w:t xml:space="preserve"> less transparent types of interconnectivities among insurers and other financial institutions. </w:t>
      </w:r>
    </w:p>
    <w:p w14:paraId="5A58ED8A" w14:textId="4D83A969" w:rsidR="001D2BF1" w:rsidRDefault="00E041E5" w:rsidP="0034360A">
      <w:pPr>
        <w:spacing w:after="0" w:line="240" w:lineRule="auto"/>
        <w:rPr>
          <w:rFonts w:eastAsia="Times New Roman"/>
          <w:color w:val="000000" w:themeColor="text1"/>
        </w:rPr>
      </w:pPr>
      <w:r>
        <w:rPr>
          <w:rFonts w:eastAsia="Times New Roman"/>
          <w:color w:val="000000" w:themeColor="text1"/>
        </w:rPr>
        <w:t>Therefore, w</w:t>
      </w:r>
      <w:r w:rsidR="0034360A">
        <w:rPr>
          <w:rFonts w:eastAsia="Times New Roman"/>
          <w:color w:val="000000" w:themeColor="text1"/>
        </w:rPr>
        <w:t xml:space="preserve">e </w:t>
      </w:r>
      <w:r w:rsidR="001D2BF1">
        <w:rPr>
          <w:rFonts w:eastAsia="Times New Roman"/>
          <w:color w:val="000000" w:themeColor="text1"/>
        </w:rPr>
        <w:t>recomm</w:t>
      </w:r>
      <w:r w:rsidR="0034360A">
        <w:rPr>
          <w:rFonts w:eastAsia="Times New Roman"/>
          <w:color w:val="000000" w:themeColor="text1"/>
        </w:rPr>
        <w:t>end</w:t>
      </w:r>
      <w:r w:rsidR="001D2BF1">
        <w:rPr>
          <w:rFonts w:eastAsia="Times New Roman"/>
          <w:color w:val="000000" w:themeColor="text1"/>
        </w:rPr>
        <w:t xml:space="preserve"> </w:t>
      </w:r>
      <w:r w:rsidR="009D4B31">
        <w:rPr>
          <w:rFonts w:eastAsia="Times New Roman"/>
          <w:color w:val="000000" w:themeColor="text1"/>
        </w:rPr>
        <w:t>t</w:t>
      </w:r>
      <w:r w:rsidR="001D2BF1" w:rsidRPr="001D2BF1">
        <w:rPr>
          <w:rFonts w:eastAsia="Times New Roman"/>
          <w:color w:val="000000" w:themeColor="text1"/>
        </w:rPr>
        <w:t>he Task Force</w:t>
      </w:r>
      <w:r w:rsidR="00041124">
        <w:rPr>
          <w:rFonts w:eastAsia="Times New Roman"/>
          <w:color w:val="000000" w:themeColor="text1"/>
        </w:rPr>
        <w:t>,</w:t>
      </w:r>
      <w:r w:rsidR="001D2BF1" w:rsidRPr="001D2BF1">
        <w:rPr>
          <w:rFonts w:eastAsia="Times New Roman"/>
          <w:color w:val="000000" w:themeColor="text1"/>
        </w:rPr>
        <w:t xml:space="preserve"> in collaboration with other </w:t>
      </w:r>
      <w:r w:rsidR="0024417A">
        <w:rPr>
          <w:rFonts w:eastAsia="Times New Roman"/>
          <w:color w:val="000000" w:themeColor="text1"/>
        </w:rPr>
        <w:t xml:space="preserve">Financial Condition </w:t>
      </w:r>
      <w:r w:rsidR="0071272C">
        <w:rPr>
          <w:rFonts w:eastAsia="Times New Roman"/>
          <w:color w:val="000000" w:themeColor="text1"/>
        </w:rPr>
        <w:t>(E)</w:t>
      </w:r>
      <w:r w:rsidR="001D2BF1" w:rsidRPr="001D2BF1">
        <w:rPr>
          <w:rFonts w:eastAsia="Times New Roman"/>
          <w:color w:val="000000" w:themeColor="text1"/>
        </w:rPr>
        <w:t xml:space="preserve"> Committee groups</w:t>
      </w:r>
      <w:r w:rsidR="00041124">
        <w:rPr>
          <w:rFonts w:eastAsia="Times New Roman"/>
          <w:color w:val="000000" w:themeColor="text1"/>
        </w:rPr>
        <w:t>,</w:t>
      </w:r>
      <w:r w:rsidR="001D2BF1" w:rsidRPr="001D2BF1">
        <w:rPr>
          <w:rFonts w:eastAsia="Times New Roman"/>
          <w:color w:val="000000" w:themeColor="text1"/>
        </w:rPr>
        <w:t xml:space="preserve"> </w:t>
      </w:r>
      <w:r w:rsidR="00DC0EFA">
        <w:rPr>
          <w:rFonts w:eastAsia="Times New Roman"/>
          <w:color w:val="000000" w:themeColor="text1"/>
        </w:rPr>
        <w:t xml:space="preserve">continue </w:t>
      </w:r>
      <w:r w:rsidR="001D2BF1" w:rsidRPr="001D2BF1">
        <w:rPr>
          <w:rFonts w:eastAsia="Times New Roman"/>
          <w:color w:val="000000" w:themeColor="text1"/>
        </w:rPr>
        <w:t xml:space="preserve">to </w:t>
      </w:r>
      <w:r w:rsidR="00041124">
        <w:rPr>
          <w:rFonts w:eastAsia="Times New Roman"/>
          <w:color w:val="000000" w:themeColor="text1"/>
        </w:rPr>
        <w:t>discuss ways to improve the</w:t>
      </w:r>
      <w:r w:rsidR="001D2BF1" w:rsidRPr="001D2BF1">
        <w:rPr>
          <w:rFonts w:eastAsia="Times New Roman"/>
          <w:color w:val="000000" w:themeColor="text1"/>
        </w:rPr>
        <w:t xml:space="preserve"> </w:t>
      </w:r>
      <w:r w:rsidR="004A0699">
        <w:rPr>
          <w:rFonts w:eastAsia="Times New Roman"/>
          <w:color w:val="000000" w:themeColor="text1"/>
        </w:rPr>
        <w:t xml:space="preserve">identification and </w:t>
      </w:r>
      <w:r w:rsidR="001D2BF1" w:rsidRPr="001D2BF1">
        <w:rPr>
          <w:rFonts w:eastAsia="Times New Roman"/>
          <w:color w:val="000000" w:themeColor="text1"/>
        </w:rPr>
        <w:t>assess</w:t>
      </w:r>
      <w:r w:rsidR="00041124">
        <w:rPr>
          <w:rFonts w:eastAsia="Times New Roman"/>
          <w:color w:val="000000" w:themeColor="text1"/>
        </w:rPr>
        <w:t>ment of</w:t>
      </w:r>
      <w:r w:rsidR="001D2BF1" w:rsidRPr="001D2BF1">
        <w:rPr>
          <w:rFonts w:eastAsia="Times New Roman"/>
          <w:color w:val="000000" w:themeColor="text1"/>
        </w:rPr>
        <w:t xml:space="preserve"> industry and group interconnectedness. </w:t>
      </w:r>
    </w:p>
    <w:p w14:paraId="268B3603" w14:textId="77777777" w:rsidR="0053748D" w:rsidRDefault="0053748D" w:rsidP="0034360A">
      <w:pPr>
        <w:spacing w:after="0" w:line="240" w:lineRule="auto"/>
        <w:rPr>
          <w:rFonts w:eastAsia="Times New Roman"/>
          <w:color w:val="000000" w:themeColor="text1"/>
        </w:rPr>
      </w:pPr>
    </w:p>
    <w:p w14:paraId="44D68B26" w14:textId="1419B0AC" w:rsidR="006A6C76" w:rsidRDefault="00E65C4A" w:rsidP="0034360A">
      <w:pPr>
        <w:spacing w:after="0" w:line="240" w:lineRule="auto"/>
        <w:rPr>
          <w:rFonts w:eastAsia="Times New Roman"/>
          <w:b/>
          <w:bCs/>
          <w:color w:val="000000" w:themeColor="text1"/>
        </w:rPr>
      </w:pPr>
      <w:r w:rsidRPr="00362C7C">
        <w:rPr>
          <w:rFonts w:eastAsia="Times New Roman"/>
          <w:b/>
          <w:color w:val="000000" w:themeColor="text1"/>
        </w:rPr>
        <w:t xml:space="preserve">Life </w:t>
      </w:r>
      <w:r w:rsidR="006A6C76" w:rsidRPr="00362C7C">
        <w:rPr>
          <w:rFonts w:eastAsia="Times New Roman"/>
          <w:b/>
          <w:color w:val="000000" w:themeColor="text1"/>
        </w:rPr>
        <w:t xml:space="preserve">Reinsurance </w:t>
      </w:r>
      <w:r w:rsidRPr="00362C7C">
        <w:rPr>
          <w:rFonts w:eastAsia="Times New Roman"/>
          <w:b/>
          <w:color w:val="000000" w:themeColor="text1"/>
        </w:rPr>
        <w:t>Counterpart</w:t>
      </w:r>
      <w:r w:rsidR="006B762A" w:rsidRPr="00362C7C">
        <w:rPr>
          <w:rFonts w:eastAsia="Times New Roman"/>
          <w:b/>
          <w:color w:val="000000" w:themeColor="text1"/>
        </w:rPr>
        <w:t>y</w:t>
      </w:r>
      <w:r w:rsidR="006B762A">
        <w:rPr>
          <w:rFonts w:eastAsia="Times New Roman"/>
          <w:b/>
          <w:color w:val="000000" w:themeColor="text1"/>
        </w:rPr>
        <w:t xml:space="preserve"> Risk</w:t>
      </w:r>
    </w:p>
    <w:p w14:paraId="5B0C1491" w14:textId="43F97151" w:rsidR="001D2BF1" w:rsidRPr="001D2BF1" w:rsidRDefault="002A45F4" w:rsidP="0034360A">
      <w:pPr>
        <w:spacing w:after="0" w:line="240" w:lineRule="auto"/>
        <w:rPr>
          <w:rFonts w:eastAsia="Times New Roman"/>
          <w:color w:val="000000" w:themeColor="text1"/>
        </w:rPr>
      </w:pPr>
      <w:r>
        <w:rPr>
          <w:rFonts w:eastAsia="Times New Roman"/>
          <w:color w:val="000000" w:themeColor="text1"/>
        </w:rPr>
        <w:t xml:space="preserve">This report highlights </w:t>
      </w:r>
      <w:r w:rsidR="00465C0C">
        <w:rPr>
          <w:rFonts w:eastAsia="Times New Roman"/>
          <w:color w:val="000000" w:themeColor="text1"/>
        </w:rPr>
        <w:t xml:space="preserve">an </w:t>
      </w:r>
      <w:r w:rsidR="001C7147">
        <w:rPr>
          <w:rFonts w:eastAsia="Times New Roman"/>
          <w:color w:val="000000" w:themeColor="text1"/>
        </w:rPr>
        <w:t>increased level</w:t>
      </w:r>
      <w:r w:rsidR="00465C0C">
        <w:rPr>
          <w:rFonts w:eastAsia="Times New Roman"/>
          <w:color w:val="000000" w:themeColor="text1"/>
        </w:rPr>
        <w:t xml:space="preserve"> of</w:t>
      </w:r>
      <w:r w:rsidR="001C7147">
        <w:rPr>
          <w:rFonts w:eastAsia="Times New Roman"/>
          <w:color w:val="000000" w:themeColor="text1"/>
        </w:rPr>
        <w:t xml:space="preserve"> </w:t>
      </w:r>
      <w:r>
        <w:rPr>
          <w:rFonts w:eastAsia="Times New Roman"/>
          <w:color w:val="000000" w:themeColor="text1"/>
        </w:rPr>
        <w:t xml:space="preserve">cross-border </w:t>
      </w:r>
      <w:r w:rsidR="00D46D36">
        <w:rPr>
          <w:rFonts w:eastAsia="Times New Roman"/>
          <w:color w:val="000000" w:themeColor="text1"/>
        </w:rPr>
        <w:t xml:space="preserve">life </w:t>
      </w:r>
      <w:r>
        <w:rPr>
          <w:rFonts w:eastAsia="Times New Roman"/>
          <w:color w:val="000000" w:themeColor="text1"/>
        </w:rPr>
        <w:t>reinsurance</w:t>
      </w:r>
      <w:r w:rsidR="00D24851">
        <w:rPr>
          <w:rFonts w:eastAsia="Times New Roman"/>
          <w:color w:val="000000" w:themeColor="text1"/>
        </w:rPr>
        <w:t>, which exposes U.S. insurers</w:t>
      </w:r>
      <w:r w:rsidR="00B410E1">
        <w:rPr>
          <w:rFonts w:eastAsia="Times New Roman"/>
          <w:color w:val="000000" w:themeColor="text1"/>
        </w:rPr>
        <w:t xml:space="preserve"> to additional</w:t>
      </w:r>
      <w:r>
        <w:rPr>
          <w:rFonts w:eastAsia="Times New Roman"/>
          <w:color w:val="000000" w:themeColor="text1"/>
        </w:rPr>
        <w:t xml:space="preserve"> credit </w:t>
      </w:r>
      <w:r w:rsidR="00B410E1">
        <w:rPr>
          <w:rFonts w:eastAsia="Times New Roman"/>
          <w:color w:val="000000" w:themeColor="text1"/>
        </w:rPr>
        <w:t xml:space="preserve">and </w:t>
      </w:r>
      <w:r w:rsidR="00CE1539">
        <w:rPr>
          <w:rFonts w:eastAsia="Times New Roman"/>
          <w:color w:val="000000" w:themeColor="text1"/>
        </w:rPr>
        <w:t xml:space="preserve">potentially recapture </w:t>
      </w:r>
      <w:r>
        <w:rPr>
          <w:rFonts w:eastAsia="Times New Roman"/>
          <w:color w:val="000000" w:themeColor="text1"/>
        </w:rPr>
        <w:t>risk</w:t>
      </w:r>
      <w:r w:rsidR="00A73710">
        <w:rPr>
          <w:rFonts w:eastAsia="Times New Roman"/>
          <w:color w:val="000000" w:themeColor="text1"/>
        </w:rPr>
        <w:t>,</w:t>
      </w:r>
      <w:r w:rsidR="00664316">
        <w:rPr>
          <w:rFonts w:eastAsia="Times New Roman"/>
          <w:color w:val="000000" w:themeColor="text1"/>
        </w:rPr>
        <w:t xml:space="preserve"> </w:t>
      </w:r>
      <w:r w:rsidR="00A73710">
        <w:rPr>
          <w:rFonts w:eastAsia="Times New Roman"/>
          <w:color w:val="000000" w:themeColor="text1"/>
        </w:rPr>
        <w:t>if</w:t>
      </w:r>
      <w:r w:rsidR="00664316">
        <w:rPr>
          <w:rFonts w:eastAsia="Times New Roman"/>
          <w:color w:val="000000" w:themeColor="text1"/>
        </w:rPr>
        <w:t xml:space="preserve"> the </w:t>
      </w:r>
      <w:r w:rsidR="00A07480">
        <w:rPr>
          <w:rFonts w:eastAsia="Times New Roman"/>
          <w:color w:val="000000" w:themeColor="text1"/>
        </w:rPr>
        <w:t>ceded</w:t>
      </w:r>
      <w:r w:rsidR="00664316">
        <w:rPr>
          <w:rFonts w:eastAsia="Times New Roman"/>
          <w:color w:val="000000" w:themeColor="text1"/>
        </w:rPr>
        <w:t xml:space="preserve"> business </w:t>
      </w:r>
      <w:r w:rsidR="00C50194">
        <w:rPr>
          <w:rFonts w:eastAsia="Times New Roman"/>
          <w:color w:val="000000" w:themeColor="text1"/>
        </w:rPr>
        <w:t>does not perform up to expectations</w:t>
      </w:r>
      <w:r w:rsidR="00C07FAC">
        <w:rPr>
          <w:rFonts w:eastAsia="Times New Roman"/>
          <w:color w:val="000000" w:themeColor="text1"/>
        </w:rPr>
        <w:t xml:space="preserve">. </w:t>
      </w:r>
      <w:r w:rsidR="0076445E">
        <w:rPr>
          <w:rFonts w:eastAsia="Times New Roman"/>
          <w:color w:val="000000" w:themeColor="text1"/>
        </w:rPr>
        <w:t xml:space="preserve">While </w:t>
      </w:r>
      <w:r w:rsidR="009D0E2A">
        <w:rPr>
          <w:rFonts w:eastAsia="Times New Roman"/>
          <w:color w:val="000000" w:themeColor="text1"/>
        </w:rPr>
        <w:t xml:space="preserve">some </w:t>
      </w:r>
      <w:r w:rsidR="005D78C6">
        <w:rPr>
          <w:rFonts w:eastAsia="Times New Roman"/>
          <w:color w:val="000000" w:themeColor="text1"/>
        </w:rPr>
        <w:t xml:space="preserve">regulatory </w:t>
      </w:r>
      <w:r w:rsidR="00B35870">
        <w:rPr>
          <w:rFonts w:eastAsia="Times New Roman"/>
          <w:color w:val="000000" w:themeColor="text1"/>
        </w:rPr>
        <w:t xml:space="preserve">enhancements </w:t>
      </w:r>
      <w:r w:rsidR="00EE5DF4">
        <w:rPr>
          <w:rFonts w:eastAsia="Times New Roman"/>
          <w:color w:val="000000" w:themeColor="text1"/>
        </w:rPr>
        <w:t xml:space="preserve">are </w:t>
      </w:r>
      <w:r w:rsidR="00273C67">
        <w:rPr>
          <w:rFonts w:eastAsia="Times New Roman"/>
          <w:color w:val="000000" w:themeColor="text1"/>
        </w:rPr>
        <w:t>already</w:t>
      </w:r>
      <w:r w:rsidR="00E5623E">
        <w:rPr>
          <w:rFonts w:eastAsia="Times New Roman"/>
          <w:color w:val="000000" w:themeColor="text1"/>
        </w:rPr>
        <w:t xml:space="preserve"> </w:t>
      </w:r>
      <w:r w:rsidR="00EE5DF4">
        <w:rPr>
          <w:rFonts w:eastAsia="Times New Roman"/>
          <w:color w:val="000000" w:themeColor="text1"/>
        </w:rPr>
        <w:t>underway</w:t>
      </w:r>
      <w:r w:rsidR="00E5623E">
        <w:rPr>
          <w:rFonts w:eastAsia="Times New Roman"/>
          <w:color w:val="000000" w:themeColor="text1"/>
        </w:rPr>
        <w:t xml:space="preserve"> (i.e., AG 55, </w:t>
      </w:r>
      <w:r w:rsidR="00321279">
        <w:rPr>
          <w:rFonts w:eastAsia="Times New Roman"/>
          <w:color w:val="000000" w:themeColor="text1"/>
        </w:rPr>
        <w:t>enhanced disclosures, enhanced monitoring)</w:t>
      </w:r>
      <w:r w:rsidR="00EE5DF4">
        <w:rPr>
          <w:rFonts w:eastAsia="Times New Roman"/>
          <w:color w:val="000000" w:themeColor="text1"/>
        </w:rPr>
        <w:t xml:space="preserve">, the </w:t>
      </w:r>
      <w:r w:rsidR="00156D5B">
        <w:rPr>
          <w:rFonts w:eastAsia="Times New Roman"/>
          <w:color w:val="000000" w:themeColor="text1"/>
        </w:rPr>
        <w:t>significance of th</w:t>
      </w:r>
      <w:r w:rsidR="00081C8B">
        <w:rPr>
          <w:rFonts w:eastAsia="Times New Roman"/>
          <w:color w:val="000000" w:themeColor="text1"/>
        </w:rPr>
        <w:t>is</w:t>
      </w:r>
      <w:r w:rsidR="00156D5B">
        <w:rPr>
          <w:rFonts w:eastAsia="Times New Roman"/>
          <w:color w:val="000000" w:themeColor="text1"/>
        </w:rPr>
        <w:t xml:space="preserve"> trend </w:t>
      </w:r>
      <w:r w:rsidR="00321279">
        <w:rPr>
          <w:rFonts w:eastAsia="Times New Roman"/>
          <w:color w:val="000000" w:themeColor="text1"/>
        </w:rPr>
        <w:t>could</w:t>
      </w:r>
      <w:r w:rsidR="009C2159">
        <w:rPr>
          <w:rFonts w:eastAsia="Times New Roman"/>
          <w:color w:val="000000" w:themeColor="text1"/>
        </w:rPr>
        <w:t xml:space="preserve"> warrant additional policy considerations, </w:t>
      </w:r>
      <w:r w:rsidR="00BF33BA">
        <w:rPr>
          <w:rFonts w:eastAsia="Times New Roman"/>
          <w:color w:val="000000" w:themeColor="text1"/>
        </w:rPr>
        <w:t>including</w:t>
      </w:r>
      <w:r w:rsidR="00A1504C">
        <w:rPr>
          <w:rFonts w:eastAsia="Times New Roman"/>
          <w:color w:val="000000" w:themeColor="text1"/>
        </w:rPr>
        <w:t xml:space="preserve"> capital </w:t>
      </w:r>
      <w:r w:rsidR="00305D45">
        <w:rPr>
          <w:rFonts w:eastAsia="Times New Roman"/>
          <w:color w:val="000000" w:themeColor="text1"/>
        </w:rPr>
        <w:t>and</w:t>
      </w:r>
      <w:r w:rsidR="00A1504C">
        <w:rPr>
          <w:rFonts w:eastAsia="Times New Roman"/>
          <w:color w:val="000000" w:themeColor="text1"/>
        </w:rPr>
        <w:t xml:space="preserve"> </w:t>
      </w:r>
      <w:r w:rsidR="004B54AB">
        <w:rPr>
          <w:rFonts w:eastAsia="Times New Roman"/>
          <w:color w:val="000000" w:themeColor="text1"/>
        </w:rPr>
        <w:t>reserve</w:t>
      </w:r>
      <w:r w:rsidR="00C4331C">
        <w:rPr>
          <w:rFonts w:eastAsia="Times New Roman"/>
          <w:color w:val="000000" w:themeColor="text1"/>
        </w:rPr>
        <w:t xml:space="preserve"> </w:t>
      </w:r>
      <w:r w:rsidR="00273C67">
        <w:rPr>
          <w:rFonts w:eastAsia="Times New Roman"/>
          <w:color w:val="000000" w:themeColor="text1"/>
        </w:rPr>
        <w:t>considerations</w:t>
      </w:r>
      <w:r w:rsidR="00C4331C">
        <w:rPr>
          <w:rFonts w:eastAsia="Times New Roman"/>
          <w:color w:val="000000" w:themeColor="text1"/>
        </w:rPr>
        <w:t>.</w:t>
      </w:r>
      <w:r w:rsidR="00644200">
        <w:rPr>
          <w:rFonts w:eastAsia="Times New Roman"/>
          <w:color w:val="000000" w:themeColor="text1"/>
        </w:rPr>
        <w:t xml:space="preserve"> </w:t>
      </w:r>
    </w:p>
    <w:p w14:paraId="52D77840" w14:textId="77777777" w:rsidR="00847B48" w:rsidRDefault="00847B48" w:rsidP="0034360A">
      <w:pPr>
        <w:spacing w:after="0" w:line="240" w:lineRule="auto"/>
        <w:rPr>
          <w:rFonts w:eastAsia="Times New Roman"/>
          <w:b/>
          <w:bCs/>
          <w:color w:val="000000" w:themeColor="text1"/>
        </w:rPr>
      </w:pPr>
    </w:p>
    <w:p w14:paraId="10CB83B4" w14:textId="75DA4D61" w:rsidR="00B03F85" w:rsidRDefault="00B03F85" w:rsidP="0034360A">
      <w:pPr>
        <w:spacing w:after="0" w:line="240" w:lineRule="auto"/>
        <w:rPr>
          <w:rFonts w:eastAsia="Times New Roman"/>
          <w:b/>
          <w:bCs/>
          <w:color w:val="000000" w:themeColor="text1"/>
        </w:rPr>
      </w:pPr>
      <w:r w:rsidRPr="00C70291">
        <w:rPr>
          <w:rFonts w:eastAsia="Times New Roman"/>
          <w:b/>
          <w:bCs/>
          <w:color w:val="000000" w:themeColor="text1"/>
        </w:rPr>
        <w:t>Private Credit</w:t>
      </w:r>
    </w:p>
    <w:p w14:paraId="6E410356" w14:textId="2C54DC63" w:rsidR="00847B48" w:rsidRDefault="00847B48" w:rsidP="0034360A">
      <w:pPr>
        <w:spacing w:after="0" w:line="240" w:lineRule="auto"/>
        <w:rPr>
          <w:rFonts w:eastAsia="Times New Roman"/>
          <w:color w:val="000000" w:themeColor="text1"/>
        </w:rPr>
      </w:pPr>
      <w:r>
        <w:rPr>
          <w:rFonts w:eastAsia="Times New Roman"/>
          <w:color w:val="000000" w:themeColor="text1"/>
        </w:rPr>
        <w:t xml:space="preserve">The quantification of the private credit exposure of insurers is limited due to </w:t>
      </w:r>
      <w:r w:rsidR="004A6B30">
        <w:rPr>
          <w:rFonts w:eastAsia="Times New Roman"/>
          <w:color w:val="000000" w:themeColor="text1"/>
        </w:rPr>
        <w:t>challenges</w:t>
      </w:r>
      <w:r>
        <w:rPr>
          <w:rFonts w:eastAsia="Times New Roman"/>
          <w:color w:val="000000" w:themeColor="text1"/>
        </w:rPr>
        <w:t xml:space="preserve"> </w:t>
      </w:r>
      <w:r w:rsidR="004A6B30">
        <w:rPr>
          <w:rFonts w:eastAsia="Times New Roman"/>
          <w:color w:val="000000" w:themeColor="text1"/>
        </w:rPr>
        <w:t xml:space="preserve">in </w:t>
      </w:r>
      <w:r>
        <w:rPr>
          <w:rFonts w:eastAsia="Times New Roman"/>
          <w:color w:val="000000" w:themeColor="text1"/>
        </w:rPr>
        <w:t>identify</w:t>
      </w:r>
      <w:r w:rsidR="004A6B30">
        <w:rPr>
          <w:rFonts w:eastAsia="Times New Roman"/>
          <w:color w:val="000000" w:themeColor="text1"/>
        </w:rPr>
        <w:t>ing</w:t>
      </w:r>
      <w:r>
        <w:rPr>
          <w:rFonts w:eastAsia="Times New Roman"/>
          <w:color w:val="000000" w:themeColor="text1"/>
        </w:rPr>
        <w:t xml:space="preserve"> </w:t>
      </w:r>
      <w:r w:rsidR="00D4048F">
        <w:rPr>
          <w:rFonts w:eastAsia="Times New Roman"/>
          <w:color w:val="000000" w:themeColor="text1"/>
        </w:rPr>
        <w:t xml:space="preserve">and understanding the nature of </w:t>
      </w:r>
      <w:r>
        <w:rPr>
          <w:rFonts w:eastAsia="Times New Roman"/>
          <w:color w:val="000000" w:themeColor="text1"/>
        </w:rPr>
        <w:t>all private credit investments</w:t>
      </w:r>
      <w:r w:rsidR="00C07FAC">
        <w:rPr>
          <w:rFonts w:eastAsia="Times New Roman"/>
          <w:color w:val="000000" w:themeColor="text1"/>
        </w:rPr>
        <w:t xml:space="preserve">. </w:t>
      </w:r>
      <w:r w:rsidR="00196BCD">
        <w:rPr>
          <w:rFonts w:eastAsia="Times New Roman"/>
          <w:color w:val="000000" w:themeColor="text1"/>
        </w:rPr>
        <w:t>While s</w:t>
      </w:r>
      <w:r w:rsidR="00E65C4A">
        <w:rPr>
          <w:rFonts w:eastAsia="Times New Roman"/>
          <w:color w:val="000000" w:themeColor="text1"/>
        </w:rPr>
        <w:t>everal initiatives around additional disclosures and identifiers in the Annual Statement have been implemented or will be implemented in 2026 to assist in identifying private credit investments</w:t>
      </w:r>
      <w:r w:rsidR="00A249C3">
        <w:rPr>
          <w:rFonts w:eastAsia="Times New Roman"/>
          <w:color w:val="000000" w:themeColor="text1"/>
        </w:rPr>
        <w:t>, there m</w:t>
      </w:r>
      <w:r w:rsidR="00030146">
        <w:rPr>
          <w:rFonts w:eastAsia="Times New Roman"/>
          <w:color w:val="000000" w:themeColor="text1"/>
        </w:rPr>
        <w:t>ight still be room for additional enhancement in this area</w:t>
      </w:r>
      <w:r w:rsidR="00C07FAC">
        <w:rPr>
          <w:rFonts w:eastAsia="Times New Roman"/>
          <w:color w:val="000000" w:themeColor="text1"/>
        </w:rPr>
        <w:t>.</w:t>
      </w:r>
      <w:r w:rsidR="00C07FAC" w:rsidRPr="00E65C4A">
        <w:rPr>
          <w:rFonts w:eastAsia="Times New Roman"/>
          <w:color w:val="000000" w:themeColor="text1"/>
        </w:rPr>
        <w:t xml:space="preserve"> </w:t>
      </w:r>
      <w:r w:rsidR="00030146">
        <w:rPr>
          <w:rFonts w:eastAsia="Times New Roman"/>
          <w:color w:val="000000" w:themeColor="text1"/>
        </w:rPr>
        <w:t>As such, w</w:t>
      </w:r>
      <w:r w:rsidR="0034360A">
        <w:rPr>
          <w:rFonts w:eastAsia="Times New Roman"/>
          <w:color w:val="000000" w:themeColor="text1"/>
        </w:rPr>
        <w:t>e</w:t>
      </w:r>
      <w:r w:rsidR="00E65C4A">
        <w:rPr>
          <w:rFonts w:eastAsia="Times New Roman"/>
          <w:color w:val="000000" w:themeColor="text1"/>
        </w:rPr>
        <w:t xml:space="preserve"> recommend</w:t>
      </w:r>
      <w:r w:rsidR="002A45F4">
        <w:rPr>
          <w:rFonts w:eastAsia="Times New Roman"/>
          <w:color w:val="000000" w:themeColor="text1"/>
        </w:rPr>
        <w:t xml:space="preserve"> that</w:t>
      </w:r>
      <w:r w:rsidR="00E65C4A">
        <w:rPr>
          <w:rFonts w:eastAsia="Times New Roman"/>
          <w:color w:val="000000" w:themeColor="text1"/>
        </w:rPr>
        <w:t xml:space="preserve"> enhanced disclosure requirements </w:t>
      </w:r>
      <w:r w:rsidR="00FB2F8E">
        <w:rPr>
          <w:rFonts w:eastAsia="Times New Roman"/>
          <w:color w:val="000000" w:themeColor="text1"/>
        </w:rPr>
        <w:t>aimed at improving</w:t>
      </w:r>
      <w:r w:rsidR="00BC0830">
        <w:rPr>
          <w:rFonts w:eastAsia="Times New Roman"/>
          <w:color w:val="000000" w:themeColor="text1"/>
        </w:rPr>
        <w:t xml:space="preserve"> </w:t>
      </w:r>
      <w:r w:rsidR="0055275A">
        <w:rPr>
          <w:rFonts w:eastAsia="Times New Roman"/>
          <w:color w:val="000000" w:themeColor="text1"/>
        </w:rPr>
        <w:t xml:space="preserve">regulator </w:t>
      </w:r>
      <w:r w:rsidR="00647784">
        <w:rPr>
          <w:rFonts w:eastAsia="Times New Roman"/>
          <w:color w:val="000000" w:themeColor="text1"/>
        </w:rPr>
        <w:t xml:space="preserve">identification and understanding of private credit exposures </w:t>
      </w:r>
      <w:r w:rsidR="00E65C4A">
        <w:rPr>
          <w:rFonts w:eastAsia="Times New Roman"/>
          <w:color w:val="000000" w:themeColor="text1"/>
        </w:rPr>
        <w:t>continue to be pursued and implemented.</w:t>
      </w:r>
    </w:p>
    <w:p w14:paraId="223A0101" w14:textId="77777777" w:rsidR="00DB5E05" w:rsidRPr="00847B48" w:rsidRDefault="00DB5E05" w:rsidP="0034360A">
      <w:pPr>
        <w:spacing w:after="0" w:line="240" w:lineRule="auto"/>
        <w:rPr>
          <w:rFonts w:eastAsia="Times New Roman"/>
          <w:color w:val="000000" w:themeColor="text1"/>
        </w:rPr>
      </w:pPr>
    </w:p>
    <w:p w14:paraId="566C3EAB" w14:textId="4A8F2DDB" w:rsidR="00961AA5" w:rsidRDefault="00961AA5" w:rsidP="0034360A">
      <w:pPr>
        <w:spacing w:after="0" w:line="240" w:lineRule="auto"/>
        <w:rPr>
          <w:rFonts w:eastAsia="Times New Roman"/>
          <w:b/>
          <w:bCs/>
          <w:color w:val="000000" w:themeColor="text1"/>
        </w:rPr>
      </w:pPr>
      <w:r>
        <w:rPr>
          <w:rFonts w:eastAsia="Times New Roman"/>
          <w:b/>
          <w:bCs/>
          <w:color w:val="000000" w:themeColor="text1"/>
        </w:rPr>
        <w:t>Operating leverage</w:t>
      </w:r>
    </w:p>
    <w:p w14:paraId="463028DE" w14:textId="5933AD07" w:rsidR="00DB5E05" w:rsidRPr="00DB5E05" w:rsidRDefault="00DB5E05" w:rsidP="0034360A">
      <w:pPr>
        <w:spacing w:after="0" w:line="240" w:lineRule="auto"/>
        <w:rPr>
          <w:rFonts w:eastAsia="Times New Roman"/>
          <w:color w:val="000000" w:themeColor="text1"/>
        </w:rPr>
      </w:pPr>
      <w:r w:rsidRPr="002812A3">
        <w:t>FHLB and FABN</w:t>
      </w:r>
      <w:r>
        <w:t xml:space="preserve"> activity </w:t>
      </w:r>
      <w:r w:rsidR="00E65C4A" w:rsidRPr="002812A3">
        <w:t>represent</w:t>
      </w:r>
      <w:r w:rsidRPr="002812A3">
        <w:t xml:space="preserve"> significant operating leverage in non-traditional insurance products for </w:t>
      </w:r>
      <w:r w:rsidR="00E65C4A" w:rsidRPr="002812A3">
        <w:t>industry</w:t>
      </w:r>
      <w:r w:rsidRPr="002812A3">
        <w:t xml:space="preserve">, which may also have </w:t>
      </w:r>
      <w:r>
        <w:t xml:space="preserve">interconnectedness and </w:t>
      </w:r>
      <w:r w:rsidRPr="002812A3">
        <w:t xml:space="preserve">liquidity </w:t>
      </w:r>
      <w:r>
        <w:t>risk associated with the activity</w:t>
      </w:r>
      <w:r w:rsidR="00C07FAC" w:rsidRPr="00F730DA">
        <w:t>.</w:t>
      </w:r>
      <w:r w:rsidR="00C07FAC">
        <w:t xml:space="preserve"> </w:t>
      </w:r>
      <w:r w:rsidR="00B14557">
        <w:t xml:space="preserve">Given the </w:t>
      </w:r>
      <w:r w:rsidR="000E3808">
        <w:t xml:space="preserve">continued growth </w:t>
      </w:r>
      <w:r w:rsidR="00B60831">
        <w:t xml:space="preserve">in this activity, </w:t>
      </w:r>
      <w:r w:rsidR="00865282">
        <w:t>s</w:t>
      </w:r>
      <w:r>
        <w:t xml:space="preserve">tate insurance regulators </w:t>
      </w:r>
      <w:r w:rsidR="00285701">
        <w:t>(via the FSTF, MWG, SAPWG and Blan</w:t>
      </w:r>
      <w:r w:rsidR="009C4257">
        <w:t>k</w:t>
      </w:r>
      <w:r w:rsidR="00285701">
        <w:t>s WK)</w:t>
      </w:r>
      <w:r w:rsidR="00452499">
        <w:t xml:space="preserve"> </w:t>
      </w:r>
      <w:r w:rsidR="00865282">
        <w:t xml:space="preserve">have </w:t>
      </w:r>
      <w:r w:rsidR="00B82B6B">
        <w:t>implem</w:t>
      </w:r>
      <w:r w:rsidR="00C737E6">
        <w:t>ented enhanced disclosure</w:t>
      </w:r>
      <w:r w:rsidR="00452499">
        <w:t>s</w:t>
      </w:r>
      <w:r w:rsidR="00C737E6">
        <w:t xml:space="preserve"> </w:t>
      </w:r>
      <w:r w:rsidR="00FB6B07">
        <w:t xml:space="preserve">planned for </w:t>
      </w:r>
      <w:r w:rsidR="00C737E6">
        <w:t>the</w:t>
      </w:r>
      <w:r>
        <w:t xml:space="preserve"> </w:t>
      </w:r>
      <w:r w:rsidR="00FB6B07">
        <w:t xml:space="preserve">2026 </w:t>
      </w:r>
      <w:r>
        <w:t>Annual Statement</w:t>
      </w:r>
      <w:r w:rsidR="00FB6B07">
        <w:t xml:space="preserve"> in this area</w:t>
      </w:r>
      <w:r w:rsidR="00C07FAC">
        <w:t xml:space="preserve">. </w:t>
      </w:r>
      <w:r w:rsidR="00153BB9">
        <w:t xml:space="preserve"> </w:t>
      </w:r>
      <w:r w:rsidR="00842FC2">
        <w:t xml:space="preserve">The </w:t>
      </w:r>
      <w:r w:rsidR="0034360A">
        <w:t>new</w:t>
      </w:r>
      <w:r w:rsidR="00842FC2">
        <w:t xml:space="preserve"> disclosures will enable regulators to </w:t>
      </w:r>
      <w:r w:rsidR="009C4257">
        <w:t xml:space="preserve">more accurately </w:t>
      </w:r>
      <w:r w:rsidR="00ED3DCA">
        <w:t>quantify the funding agreements that back FABNs</w:t>
      </w:r>
      <w:r w:rsidR="00B20A59">
        <w:t xml:space="preserve"> and measure the extent of operating leverage.</w:t>
      </w:r>
      <w:r w:rsidR="00153BB9">
        <w:t xml:space="preserve"> </w:t>
      </w:r>
      <w:r w:rsidR="00BE5793">
        <w:t xml:space="preserve"> As such, we recommend that </w:t>
      </w:r>
      <w:r w:rsidR="00590A5E">
        <w:t xml:space="preserve">the </w:t>
      </w:r>
      <w:r w:rsidR="0035158A">
        <w:t>implementation of the</w:t>
      </w:r>
      <w:r w:rsidR="00904B01">
        <w:t xml:space="preserve"> new disclosures, including the </w:t>
      </w:r>
      <w:r w:rsidR="00163D3A">
        <w:t xml:space="preserve">accuracy and </w:t>
      </w:r>
      <w:r w:rsidR="000476AD">
        <w:t>utility of the information received</w:t>
      </w:r>
      <w:r w:rsidR="0047052E">
        <w:t xml:space="preserve">, continue to be </w:t>
      </w:r>
      <w:r w:rsidR="00D01C33">
        <w:t>monitored and</w:t>
      </w:r>
      <w:r w:rsidR="00392C83">
        <w:t xml:space="preserve"> closely reviewed by regulators. </w:t>
      </w:r>
    </w:p>
    <w:p w14:paraId="484DE5D1" w14:textId="77777777" w:rsidR="002F7D56" w:rsidRDefault="002F7D56" w:rsidP="002F7D56"/>
    <w:p w14:paraId="1C3B2870" w14:textId="10A5E7F6" w:rsidR="002F7D56" w:rsidRDefault="002F7D56">
      <w:pPr>
        <w:jc w:val="left"/>
        <w:rPr>
          <w:rFonts w:eastAsiaTheme="majorEastAsia" w:cstheme="majorBidi"/>
          <w:b/>
          <w:color w:val="2F5496" w:themeColor="accent1" w:themeShade="BF"/>
          <w:sz w:val="40"/>
          <w:szCs w:val="32"/>
          <w:u w:val="single"/>
        </w:rPr>
      </w:pPr>
      <w:r>
        <w:rPr>
          <w:rFonts w:eastAsiaTheme="majorEastAsia" w:cstheme="majorBidi"/>
          <w:b/>
          <w:color w:val="2F5496" w:themeColor="accent1" w:themeShade="BF"/>
          <w:sz w:val="40"/>
          <w:szCs w:val="32"/>
          <w:u w:val="single"/>
        </w:rPr>
        <w:br w:type="page"/>
      </w:r>
    </w:p>
    <w:p w14:paraId="33B5CA48" w14:textId="480B0039" w:rsidR="00174B5A" w:rsidRDefault="00393A96" w:rsidP="00174B5A">
      <w:pPr>
        <w:pStyle w:val="Heading1"/>
      </w:pPr>
      <w:bookmarkStart w:id="4" w:name="_Toc232602955"/>
      <w:r>
        <w:t xml:space="preserve">Macroprudential </w:t>
      </w:r>
      <w:r w:rsidR="00B20FF0">
        <w:t>Assessment</w:t>
      </w:r>
      <w:bookmarkEnd w:id="4"/>
    </w:p>
    <w:p w14:paraId="72107FA6" w14:textId="77777777" w:rsidR="009C0BBF" w:rsidRDefault="009C0BBF" w:rsidP="002D4EF4">
      <w:pPr>
        <w:spacing w:after="0" w:line="240" w:lineRule="auto"/>
        <w:rPr>
          <w:rFonts w:cstheme="minorHAnsi"/>
        </w:rPr>
      </w:pPr>
    </w:p>
    <w:p w14:paraId="6303A046" w14:textId="72E2A45A" w:rsidR="00182B85" w:rsidRDefault="00182B85" w:rsidP="002D4EF4">
      <w:pPr>
        <w:spacing w:after="0" w:line="240" w:lineRule="auto"/>
        <w:rPr>
          <w:rFonts w:cstheme="minorHAnsi"/>
        </w:rPr>
      </w:pPr>
      <w:r w:rsidRPr="0085326E">
        <w:rPr>
          <w:rFonts w:cstheme="minorHAnsi"/>
        </w:rPr>
        <w:t xml:space="preserve">Macroprudential policies </w:t>
      </w:r>
      <w:r w:rsidR="00091B2C">
        <w:rPr>
          <w:rFonts w:cstheme="minorHAnsi"/>
        </w:rPr>
        <w:t xml:space="preserve">and practices are intended to </w:t>
      </w:r>
      <w:r w:rsidRPr="0085326E">
        <w:rPr>
          <w:rFonts w:cstheme="minorHAnsi"/>
        </w:rPr>
        <w:t xml:space="preserve">provide regulatory </w:t>
      </w:r>
      <w:r w:rsidR="00091B2C">
        <w:rPr>
          <w:rFonts w:cstheme="minorHAnsi"/>
        </w:rPr>
        <w:t>oversight to</w:t>
      </w:r>
      <w:r w:rsidRPr="0085326E">
        <w:rPr>
          <w:rFonts w:cstheme="minorHAnsi"/>
        </w:rPr>
        <w:t xml:space="preserve"> the overall financial system</w:t>
      </w:r>
      <w:r w:rsidR="00C07FAC" w:rsidRPr="0085326E">
        <w:rPr>
          <w:rFonts w:cstheme="minorHAnsi"/>
        </w:rPr>
        <w:t xml:space="preserve">. </w:t>
      </w:r>
      <w:r w:rsidRPr="0085326E">
        <w:rPr>
          <w:rFonts w:cstheme="minorHAnsi"/>
        </w:rPr>
        <w:t>The financial crisis of 200</w:t>
      </w:r>
      <w:r w:rsidR="00603E2E" w:rsidRPr="0085326E">
        <w:rPr>
          <w:rFonts w:cstheme="minorHAnsi"/>
        </w:rPr>
        <w:t>8</w:t>
      </w:r>
      <w:r w:rsidRPr="0085326E">
        <w:rPr>
          <w:rFonts w:cstheme="minorHAnsi"/>
        </w:rPr>
        <w:t xml:space="preserve"> demonstrated that substantial consequences can arise from insufficient capital, liquidity, and transparency in the financial sector</w:t>
      </w:r>
      <w:r w:rsidR="00834FA1">
        <w:rPr>
          <w:rFonts w:cstheme="minorHAnsi"/>
        </w:rPr>
        <w:t xml:space="preserve"> during</w:t>
      </w:r>
      <w:r w:rsidR="00726011">
        <w:rPr>
          <w:rFonts w:cstheme="minorHAnsi"/>
        </w:rPr>
        <w:t xml:space="preserve"> times of stress</w:t>
      </w:r>
      <w:r w:rsidR="00C07FAC" w:rsidRPr="0085326E">
        <w:rPr>
          <w:rFonts w:cstheme="minorHAnsi"/>
        </w:rPr>
        <w:t xml:space="preserve">. </w:t>
      </w:r>
      <w:r w:rsidR="007E5E53">
        <w:rPr>
          <w:rFonts w:cstheme="minorHAnsi"/>
        </w:rPr>
        <w:t>In response to</w:t>
      </w:r>
      <w:r w:rsidRPr="0085326E">
        <w:rPr>
          <w:rFonts w:cstheme="minorHAnsi"/>
        </w:rPr>
        <w:t xml:space="preserve"> the financial crisis</w:t>
      </w:r>
      <w:r w:rsidR="007E5E53">
        <w:rPr>
          <w:rFonts w:cstheme="minorHAnsi"/>
        </w:rPr>
        <w:t>,</w:t>
      </w:r>
      <w:r w:rsidRPr="0085326E">
        <w:rPr>
          <w:rFonts w:cstheme="minorHAnsi"/>
        </w:rPr>
        <w:t xml:space="preserve"> </w:t>
      </w:r>
      <w:r w:rsidR="00DB1CF6">
        <w:rPr>
          <w:rFonts w:cstheme="minorHAnsi"/>
        </w:rPr>
        <w:t xml:space="preserve">state insurance </w:t>
      </w:r>
      <w:r w:rsidRPr="0085326E">
        <w:rPr>
          <w:rFonts w:cstheme="minorHAnsi"/>
        </w:rPr>
        <w:t xml:space="preserve">regulators </w:t>
      </w:r>
      <w:r w:rsidR="007E5E53">
        <w:rPr>
          <w:rFonts w:cstheme="minorHAnsi"/>
        </w:rPr>
        <w:t xml:space="preserve">have increased their focus </w:t>
      </w:r>
      <w:r w:rsidRPr="0085326E">
        <w:rPr>
          <w:rFonts w:cstheme="minorHAnsi"/>
        </w:rPr>
        <w:t xml:space="preserve">on the stability of the </w:t>
      </w:r>
      <w:r w:rsidR="00A152B5">
        <w:rPr>
          <w:rFonts w:cstheme="minorHAnsi"/>
        </w:rPr>
        <w:t xml:space="preserve">insurance </w:t>
      </w:r>
      <w:r w:rsidR="007000CB">
        <w:rPr>
          <w:rFonts w:cstheme="minorHAnsi"/>
        </w:rPr>
        <w:t xml:space="preserve">industry </w:t>
      </w:r>
      <w:r w:rsidR="00A43BA5">
        <w:rPr>
          <w:rFonts w:cstheme="minorHAnsi"/>
        </w:rPr>
        <w:t>within</w:t>
      </w:r>
      <w:r w:rsidRPr="0085326E">
        <w:rPr>
          <w:rFonts w:cstheme="minorHAnsi"/>
        </w:rPr>
        <w:t xml:space="preserve"> the overall financial system</w:t>
      </w:r>
      <w:r w:rsidR="00C07FAC" w:rsidRPr="0085326E">
        <w:rPr>
          <w:rFonts w:cstheme="minorHAnsi"/>
        </w:rPr>
        <w:t xml:space="preserve">. </w:t>
      </w:r>
      <w:r w:rsidRPr="0085326E">
        <w:rPr>
          <w:rFonts w:cstheme="minorHAnsi"/>
        </w:rPr>
        <w:t xml:space="preserve">The primary aim of </w:t>
      </w:r>
      <w:r w:rsidR="0098145B">
        <w:rPr>
          <w:rFonts w:cstheme="minorHAnsi"/>
        </w:rPr>
        <w:t xml:space="preserve">our domestic </w:t>
      </w:r>
      <w:r w:rsidRPr="0085326E">
        <w:rPr>
          <w:rFonts w:cstheme="minorHAnsi"/>
        </w:rPr>
        <w:t xml:space="preserve">macroprudential policy is to </w:t>
      </w:r>
      <w:r w:rsidR="00CD1E11">
        <w:rPr>
          <w:rFonts w:cstheme="minorHAnsi"/>
        </w:rPr>
        <w:t xml:space="preserve">identify potential </w:t>
      </w:r>
      <w:r w:rsidR="00B51444">
        <w:rPr>
          <w:rFonts w:cstheme="minorHAnsi"/>
        </w:rPr>
        <w:t xml:space="preserve">financial stability </w:t>
      </w:r>
      <w:r w:rsidR="0098145B">
        <w:rPr>
          <w:rFonts w:cstheme="minorHAnsi"/>
        </w:rPr>
        <w:t>threats</w:t>
      </w:r>
      <w:r w:rsidR="00CD1E11">
        <w:rPr>
          <w:rFonts w:cstheme="minorHAnsi"/>
        </w:rPr>
        <w:t xml:space="preserve"> to </w:t>
      </w:r>
      <w:r w:rsidR="00C74FDD">
        <w:rPr>
          <w:rFonts w:cstheme="minorHAnsi"/>
        </w:rPr>
        <w:t>and from (inward and outward</w:t>
      </w:r>
      <w:r w:rsidR="00B86563">
        <w:rPr>
          <w:rFonts w:cstheme="minorHAnsi"/>
        </w:rPr>
        <w:t xml:space="preserve"> risks) </w:t>
      </w:r>
      <w:r w:rsidR="0098145B">
        <w:rPr>
          <w:rFonts w:cstheme="minorHAnsi"/>
        </w:rPr>
        <w:t xml:space="preserve">the U.S. </w:t>
      </w:r>
      <w:r w:rsidR="00D62BEA">
        <w:rPr>
          <w:rFonts w:cstheme="minorHAnsi"/>
        </w:rPr>
        <w:t>i</w:t>
      </w:r>
      <w:r w:rsidR="0098145B">
        <w:rPr>
          <w:rFonts w:cstheme="minorHAnsi"/>
        </w:rPr>
        <w:t>nsurance in</w:t>
      </w:r>
      <w:r w:rsidR="00D62BEA">
        <w:rPr>
          <w:rFonts w:cstheme="minorHAnsi"/>
        </w:rPr>
        <w:t>dustry</w:t>
      </w:r>
      <w:r w:rsidR="00C07FAC">
        <w:rPr>
          <w:rFonts w:cstheme="minorHAnsi"/>
        </w:rPr>
        <w:t>.</w:t>
      </w:r>
      <w:r w:rsidR="002D4EF4">
        <w:rPr>
          <w:rFonts w:cstheme="minorHAnsi"/>
        </w:rPr>
        <w:t xml:space="preserve"> </w:t>
      </w:r>
      <w:r w:rsidR="00DF5BB8">
        <w:rPr>
          <w:rFonts w:cstheme="minorHAnsi"/>
        </w:rPr>
        <w:t>The</w:t>
      </w:r>
      <w:r w:rsidR="00D4587C">
        <w:rPr>
          <w:rFonts w:cstheme="minorHAnsi"/>
        </w:rPr>
        <w:t xml:space="preserve"> U.S. </w:t>
      </w:r>
      <w:r w:rsidR="00F109E3">
        <w:rPr>
          <w:rFonts w:cstheme="minorHAnsi"/>
        </w:rPr>
        <w:t xml:space="preserve">Insurance </w:t>
      </w:r>
      <w:r w:rsidR="00DF5BB8">
        <w:rPr>
          <w:rFonts w:cstheme="minorHAnsi"/>
        </w:rPr>
        <w:t>I</w:t>
      </w:r>
      <w:r w:rsidR="00F109E3">
        <w:rPr>
          <w:rFonts w:cstheme="minorHAnsi"/>
        </w:rPr>
        <w:t xml:space="preserve">ndustry </w:t>
      </w:r>
      <w:r w:rsidR="00DF5BB8">
        <w:rPr>
          <w:rFonts w:cstheme="minorHAnsi"/>
        </w:rPr>
        <w:t>Macroprudential</w:t>
      </w:r>
      <w:r w:rsidR="005747C2">
        <w:rPr>
          <w:rFonts w:cstheme="minorHAnsi"/>
        </w:rPr>
        <w:t xml:space="preserve"> </w:t>
      </w:r>
      <w:r w:rsidR="00DF5BB8">
        <w:rPr>
          <w:rFonts w:cstheme="minorHAnsi"/>
        </w:rPr>
        <w:t>R</w:t>
      </w:r>
      <w:r w:rsidR="0078015D">
        <w:rPr>
          <w:rFonts w:cstheme="minorHAnsi"/>
        </w:rPr>
        <w:t xml:space="preserve">isk </w:t>
      </w:r>
      <w:r w:rsidR="00DF5BB8">
        <w:rPr>
          <w:rFonts w:cstheme="minorHAnsi"/>
        </w:rPr>
        <w:t>A</w:t>
      </w:r>
      <w:r w:rsidR="0078015D">
        <w:rPr>
          <w:rFonts w:cstheme="minorHAnsi"/>
        </w:rPr>
        <w:t xml:space="preserve">ssessment shall serve as our </w:t>
      </w:r>
      <w:r w:rsidR="00F937F1">
        <w:rPr>
          <w:rFonts w:cstheme="minorHAnsi"/>
        </w:rPr>
        <w:t>primary</w:t>
      </w:r>
      <w:r w:rsidR="0078015D">
        <w:rPr>
          <w:rFonts w:cstheme="minorHAnsi"/>
        </w:rPr>
        <w:t xml:space="preserve"> tool to </w:t>
      </w:r>
      <w:r w:rsidR="000520B8">
        <w:rPr>
          <w:rFonts w:cstheme="minorHAnsi"/>
        </w:rPr>
        <w:t>identify, measure and monitor</w:t>
      </w:r>
      <w:r w:rsidR="00187C15">
        <w:rPr>
          <w:rFonts w:cstheme="minorHAnsi"/>
        </w:rPr>
        <w:t xml:space="preserve"> risks to the insurance industry</w:t>
      </w:r>
      <w:r w:rsidR="00652BFE">
        <w:rPr>
          <w:rFonts w:cstheme="minorHAnsi"/>
        </w:rPr>
        <w:t>.</w:t>
      </w:r>
      <w:r w:rsidR="00187C15">
        <w:rPr>
          <w:rFonts w:cstheme="minorHAnsi"/>
        </w:rPr>
        <w:t xml:space="preserve"> </w:t>
      </w:r>
    </w:p>
    <w:p w14:paraId="5A66C810" w14:textId="77777777" w:rsidR="002D4EF4" w:rsidRPr="0085326E" w:rsidRDefault="002D4EF4" w:rsidP="002D4EF4">
      <w:pPr>
        <w:spacing w:after="0" w:line="240" w:lineRule="auto"/>
        <w:rPr>
          <w:rFonts w:cstheme="minorHAnsi"/>
        </w:rPr>
      </w:pPr>
    </w:p>
    <w:p w14:paraId="256173C0" w14:textId="77777777" w:rsidR="0034360A" w:rsidRDefault="0034360A" w:rsidP="002D4EF4">
      <w:pPr>
        <w:spacing w:after="0" w:line="240" w:lineRule="auto"/>
        <w:rPr>
          <w:rFonts w:cstheme="minorHAnsi"/>
        </w:rPr>
      </w:pPr>
    </w:p>
    <w:p w14:paraId="11C04C9B" w14:textId="77777777" w:rsidR="0055453F" w:rsidRPr="0055453F" w:rsidRDefault="0055453F" w:rsidP="002D4EF4">
      <w:pPr>
        <w:spacing w:after="0" w:line="240" w:lineRule="auto"/>
        <w:rPr>
          <w:rFonts w:cstheme="minorHAnsi"/>
          <w:b/>
          <w:bCs/>
          <w:sz w:val="24"/>
          <w:szCs w:val="24"/>
        </w:rPr>
      </w:pPr>
      <w:r w:rsidRPr="0055453F">
        <w:rPr>
          <w:rFonts w:cstheme="minorHAnsi"/>
          <w:b/>
          <w:bCs/>
          <w:sz w:val="24"/>
          <w:szCs w:val="24"/>
        </w:rPr>
        <w:t>Financial Stability Oversight Council (FSOC)</w:t>
      </w:r>
    </w:p>
    <w:p w14:paraId="5994882C" w14:textId="434FDBFF" w:rsidR="0034360A" w:rsidRDefault="00B05825" w:rsidP="002D4EF4">
      <w:pPr>
        <w:spacing w:after="0" w:line="240" w:lineRule="auto"/>
        <w:rPr>
          <w:rFonts w:cstheme="minorHAnsi"/>
        </w:rPr>
      </w:pPr>
      <w:r>
        <w:rPr>
          <w:rFonts w:cstheme="minorHAnsi"/>
        </w:rPr>
        <w:t>The state insurance commissioner member of the U.S. Financial Stability Oversight Council (FSOC) has traditionally been the Chair or a member of the NAIC Financial Stability Task Force</w:t>
      </w:r>
      <w:r w:rsidR="00C07FAC">
        <w:rPr>
          <w:rFonts w:cstheme="minorHAnsi"/>
        </w:rPr>
        <w:t xml:space="preserve">. </w:t>
      </w:r>
      <w:r w:rsidR="00153BB9">
        <w:rPr>
          <w:rFonts w:cstheme="minorHAnsi"/>
        </w:rPr>
        <w:t xml:space="preserve"> </w:t>
      </w:r>
      <w:r>
        <w:rPr>
          <w:rFonts w:cstheme="minorHAnsi"/>
        </w:rPr>
        <w:t xml:space="preserve">The state insurance commissioner member of FSOC </w:t>
      </w:r>
      <w:r w:rsidR="001041D7">
        <w:rPr>
          <w:rFonts w:cstheme="minorHAnsi"/>
        </w:rPr>
        <w:t xml:space="preserve">provides </w:t>
      </w:r>
      <w:r>
        <w:rPr>
          <w:rFonts w:cstheme="minorHAnsi"/>
        </w:rPr>
        <w:t xml:space="preserve">regular updates </w:t>
      </w:r>
      <w:r w:rsidR="001041D7">
        <w:rPr>
          <w:rFonts w:cstheme="minorHAnsi"/>
        </w:rPr>
        <w:t xml:space="preserve">to </w:t>
      </w:r>
      <w:r>
        <w:rPr>
          <w:rFonts w:cstheme="minorHAnsi"/>
        </w:rPr>
        <w:t>the FSTF on matters of financial stability and macroprudential topics that may impact the U.S. insurance industry</w:t>
      </w:r>
      <w:r w:rsidR="00C07FAC">
        <w:rPr>
          <w:rFonts w:cstheme="minorHAnsi"/>
        </w:rPr>
        <w:t xml:space="preserve">. </w:t>
      </w:r>
      <w:r w:rsidR="00153BB9">
        <w:rPr>
          <w:rFonts w:cstheme="minorHAnsi"/>
        </w:rPr>
        <w:t xml:space="preserve"> </w:t>
      </w:r>
      <w:r>
        <w:rPr>
          <w:rFonts w:cstheme="minorHAnsi"/>
        </w:rPr>
        <w:t xml:space="preserve">Additionally, several NAIC staff are members of FSOC committees and working groups in support of the state insurance commissioner </w:t>
      </w:r>
      <w:r w:rsidR="001041D7">
        <w:rPr>
          <w:rFonts w:cstheme="minorHAnsi"/>
        </w:rPr>
        <w:t xml:space="preserve">FSOC </w:t>
      </w:r>
      <w:r>
        <w:rPr>
          <w:rFonts w:cstheme="minorHAnsi"/>
        </w:rPr>
        <w:t>member</w:t>
      </w:r>
      <w:r w:rsidR="001041D7">
        <w:rPr>
          <w:rFonts w:cstheme="minorHAnsi"/>
        </w:rPr>
        <w:t>.</w:t>
      </w:r>
    </w:p>
    <w:p w14:paraId="37188509" w14:textId="77777777" w:rsidR="001041D7" w:rsidRDefault="001041D7" w:rsidP="002D4EF4">
      <w:pPr>
        <w:spacing w:after="0" w:line="240" w:lineRule="auto"/>
        <w:rPr>
          <w:rFonts w:cstheme="minorHAnsi"/>
        </w:rPr>
      </w:pPr>
    </w:p>
    <w:p w14:paraId="23A167CF" w14:textId="7F4E9AA5" w:rsidR="001041D7" w:rsidRDefault="001041D7" w:rsidP="002D4EF4">
      <w:pPr>
        <w:spacing w:after="0" w:line="240" w:lineRule="auto"/>
        <w:rPr>
          <w:rFonts w:cstheme="minorHAnsi"/>
        </w:rPr>
      </w:pPr>
      <w:r>
        <w:rPr>
          <w:rFonts w:cstheme="minorHAnsi"/>
        </w:rPr>
        <w:t>This structure provides a formal mechanism for state insurance regulators to incorporate U.S. Financial Stability risks into its state-based system of insurance regulation and its Macroprudential Supervision of the insurance industry</w:t>
      </w:r>
      <w:r w:rsidR="00C07FAC">
        <w:rPr>
          <w:rFonts w:cstheme="minorHAnsi"/>
        </w:rPr>
        <w:t xml:space="preserve">. </w:t>
      </w:r>
      <w:r w:rsidR="00220649">
        <w:rPr>
          <w:rFonts w:cstheme="minorHAnsi"/>
        </w:rPr>
        <w:t>Additionally</w:t>
      </w:r>
      <w:r w:rsidR="00A071F9">
        <w:rPr>
          <w:rFonts w:cstheme="minorHAnsi"/>
        </w:rPr>
        <w:t>,</w:t>
      </w:r>
      <w:r w:rsidR="00220649">
        <w:rPr>
          <w:rFonts w:cstheme="minorHAnsi"/>
        </w:rPr>
        <w:t xml:space="preserve"> the </w:t>
      </w:r>
      <w:r w:rsidR="00A071F9">
        <w:rPr>
          <w:rFonts w:cstheme="minorHAnsi"/>
        </w:rPr>
        <w:t>structure</w:t>
      </w:r>
      <w:r w:rsidR="00220649">
        <w:rPr>
          <w:rFonts w:cstheme="minorHAnsi"/>
        </w:rPr>
        <w:t xml:space="preserve"> provides a mechanism for </w:t>
      </w:r>
      <w:r w:rsidR="00A071F9">
        <w:rPr>
          <w:rFonts w:cstheme="minorHAnsi"/>
        </w:rPr>
        <w:t>state-based</w:t>
      </w:r>
      <w:r w:rsidR="00220649">
        <w:rPr>
          <w:rFonts w:cstheme="minorHAnsi"/>
        </w:rPr>
        <w:t xml:space="preserve"> insurance regulation to communicate potential </w:t>
      </w:r>
      <w:r w:rsidR="00A071F9">
        <w:rPr>
          <w:rFonts w:cstheme="minorHAnsi"/>
        </w:rPr>
        <w:t>financial stability risk within the insurance industry to other federal FSOC member regulatory agencies</w:t>
      </w:r>
      <w:r w:rsidR="00C07FAC">
        <w:rPr>
          <w:rFonts w:cstheme="minorHAnsi"/>
        </w:rPr>
        <w:t xml:space="preserve">. </w:t>
      </w:r>
      <w:r w:rsidR="00A071F9">
        <w:rPr>
          <w:rFonts w:cstheme="minorHAnsi"/>
        </w:rPr>
        <w:t>This process may also be referred to as inward and outward view of risks, to and from the insurance industry.</w:t>
      </w:r>
    </w:p>
    <w:p w14:paraId="35B54B33" w14:textId="77777777" w:rsidR="00024BA3" w:rsidRDefault="00024BA3" w:rsidP="002D4EF4">
      <w:pPr>
        <w:spacing w:after="0" w:line="240" w:lineRule="auto"/>
        <w:rPr>
          <w:rFonts w:cstheme="minorHAnsi"/>
        </w:rPr>
      </w:pPr>
    </w:p>
    <w:p w14:paraId="4B394C51" w14:textId="067836FA" w:rsidR="00024BA3" w:rsidRPr="001C3DEE" w:rsidRDefault="00024BA3" w:rsidP="002D4EF4">
      <w:pPr>
        <w:spacing w:after="0" w:line="240" w:lineRule="auto"/>
        <w:rPr>
          <w:rFonts w:cstheme="minorHAnsi"/>
          <w:b/>
          <w:bCs/>
          <w:sz w:val="24"/>
          <w:szCs w:val="24"/>
        </w:rPr>
      </w:pPr>
      <w:r w:rsidRPr="001C3DEE">
        <w:rPr>
          <w:rFonts w:cstheme="minorHAnsi"/>
          <w:b/>
          <w:bCs/>
          <w:sz w:val="24"/>
          <w:szCs w:val="24"/>
        </w:rPr>
        <w:t>International Association of Insurance Supervisors (IAIS) and Other International Bodies</w:t>
      </w:r>
    </w:p>
    <w:p w14:paraId="2094E7D5" w14:textId="6A9D6A61" w:rsidR="00273127" w:rsidRPr="001C3DEE" w:rsidRDefault="00290E9D" w:rsidP="002D4EF4">
      <w:pPr>
        <w:spacing w:after="0" w:line="240" w:lineRule="auto"/>
        <w:rPr>
          <w:rFonts w:cstheme="minorHAnsi"/>
        </w:rPr>
      </w:pPr>
      <w:r w:rsidRPr="001C3DEE">
        <w:rPr>
          <w:rFonts w:cstheme="minorHAnsi"/>
        </w:rPr>
        <w:t xml:space="preserve">The </w:t>
      </w:r>
      <w:r w:rsidR="00024BA3" w:rsidRPr="001C3DEE">
        <w:rPr>
          <w:rFonts w:cstheme="minorHAnsi"/>
        </w:rPr>
        <w:t xml:space="preserve">NAIC </w:t>
      </w:r>
      <w:r w:rsidRPr="001C3DEE">
        <w:rPr>
          <w:rFonts w:cstheme="minorHAnsi"/>
        </w:rPr>
        <w:t>an</w:t>
      </w:r>
      <w:r w:rsidR="007C0275" w:rsidRPr="001C3DEE">
        <w:rPr>
          <w:rFonts w:cstheme="minorHAnsi"/>
        </w:rPr>
        <w:t xml:space="preserve">d </w:t>
      </w:r>
      <w:r w:rsidR="00232BEA" w:rsidRPr="001C3DEE">
        <w:rPr>
          <w:rFonts w:cstheme="minorHAnsi"/>
        </w:rPr>
        <w:t>a few of its</w:t>
      </w:r>
      <w:r w:rsidR="007C0275" w:rsidRPr="001C3DEE">
        <w:rPr>
          <w:rFonts w:cstheme="minorHAnsi"/>
        </w:rPr>
        <w:t xml:space="preserve"> </w:t>
      </w:r>
      <w:r w:rsidR="00024BA3" w:rsidRPr="001C3DEE">
        <w:rPr>
          <w:rFonts w:cstheme="minorHAnsi"/>
        </w:rPr>
        <w:t>member</w:t>
      </w:r>
      <w:r w:rsidR="007C0275" w:rsidRPr="001C3DEE">
        <w:rPr>
          <w:rFonts w:cstheme="minorHAnsi"/>
        </w:rPr>
        <w:t>s</w:t>
      </w:r>
      <w:r w:rsidR="00024BA3" w:rsidRPr="001C3DEE">
        <w:rPr>
          <w:rFonts w:cstheme="minorHAnsi"/>
        </w:rPr>
        <w:t xml:space="preserve"> </w:t>
      </w:r>
      <w:r w:rsidR="00232BEA" w:rsidRPr="001C3DEE">
        <w:rPr>
          <w:rFonts w:cstheme="minorHAnsi"/>
        </w:rPr>
        <w:t>are</w:t>
      </w:r>
      <w:r w:rsidR="00024BA3" w:rsidRPr="001C3DEE">
        <w:rPr>
          <w:rFonts w:cstheme="minorHAnsi"/>
        </w:rPr>
        <w:t xml:space="preserve"> members </w:t>
      </w:r>
      <w:r w:rsidR="00232BEA" w:rsidRPr="001C3DEE">
        <w:rPr>
          <w:rFonts w:cstheme="minorHAnsi"/>
        </w:rPr>
        <w:t>of the</w:t>
      </w:r>
      <w:r w:rsidR="00024BA3" w:rsidRPr="001C3DEE">
        <w:rPr>
          <w:rFonts w:cstheme="minorHAnsi"/>
        </w:rPr>
        <w:t xml:space="preserve"> IAIS </w:t>
      </w:r>
      <w:r w:rsidR="001942E2" w:rsidRPr="001C3DEE">
        <w:rPr>
          <w:rFonts w:cstheme="minorHAnsi"/>
        </w:rPr>
        <w:t xml:space="preserve">and their </w:t>
      </w:r>
      <w:r w:rsidR="00024BA3" w:rsidRPr="001C3DEE">
        <w:rPr>
          <w:rFonts w:cstheme="minorHAnsi"/>
        </w:rPr>
        <w:t xml:space="preserve">macroprudential monitoring </w:t>
      </w:r>
      <w:r w:rsidR="00D47150" w:rsidRPr="001C3DEE">
        <w:rPr>
          <w:rFonts w:cstheme="minorHAnsi"/>
        </w:rPr>
        <w:t>process.</w:t>
      </w:r>
      <w:r w:rsidR="00524A32" w:rsidRPr="001C3DEE">
        <w:rPr>
          <w:rFonts w:cstheme="minorHAnsi"/>
        </w:rPr>
        <w:t xml:space="preserve">  The NAIC and </w:t>
      </w:r>
      <w:r w:rsidR="00172902" w:rsidRPr="001C3DEE">
        <w:rPr>
          <w:rFonts w:cstheme="minorHAnsi"/>
        </w:rPr>
        <w:t>a few state regulators are members of various IAIS committees and working groups where</w:t>
      </w:r>
      <w:r w:rsidR="00221C82" w:rsidRPr="001C3DEE">
        <w:rPr>
          <w:rFonts w:cstheme="minorHAnsi"/>
        </w:rPr>
        <w:t>by the</w:t>
      </w:r>
      <w:r w:rsidR="00EA31A7" w:rsidRPr="001C3DEE">
        <w:rPr>
          <w:rFonts w:cstheme="minorHAnsi"/>
        </w:rPr>
        <w:t xml:space="preserve">y contribute to and </w:t>
      </w:r>
      <w:r w:rsidR="00823BD3" w:rsidRPr="001C3DEE">
        <w:rPr>
          <w:rFonts w:cstheme="minorHAnsi"/>
        </w:rPr>
        <w:t>benefit</w:t>
      </w:r>
      <w:r w:rsidR="00EA31A7" w:rsidRPr="001C3DEE">
        <w:rPr>
          <w:rFonts w:cstheme="minorHAnsi"/>
        </w:rPr>
        <w:t xml:space="preserve"> from </w:t>
      </w:r>
      <w:r w:rsidR="00742BD5" w:rsidRPr="001C3DEE">
        <w:rPr>
          <w:rFonts w:cstheme="minorHAnsi"/>
        </w:rPr>
        <w:t xml:space="preserve">global financial </w:t>
      </w:r>
      <w:r w:rsidR="00AF5087" w:rsidRPr="001C3DEE">
        <w:rPr>
          <w:rFonts w:cstheme="minorHAnsi"/>
        </w:rPr>
        <w:t>stability</w:t>
      </w:r>
      <w:r w:rsidR="00742BD5" w:rsidRPr="001C3DEE">
        <w:rPr>
          <w:rFonts w:cstheme="minorHAnsi"/>
        </w:rPr>
        <w:t xml:space="preserve"> and macroprudential risk</w:t>
      </w:r>
      <w:r w:rsidR="00AF5087" w:rsidRPr="001C3DEE">
        <w:rPr>
          <w:rFonts w:cstheme="minorHAnsi"/>
        </w:rPr>
        <w:t xml:space="preserve"> monitoring processes.  </w:t>
      </w:r>
      <w:r w:rsidR="0021730D" w:rsidRPr="001C3DEE">
        <w:rPr>
          <w:rFonts w:cstheme="minorHAnsi"/>
        </w:rPr>
        <w:t>T</w:t>
      </w:r>
      <w:r w:rsidR="00024BA3" w:rsidRPr="001C3DEE">
        <w:rPr>
          <w:rFonts w:cstheme="minorHAnsi"/>
        </w:rPr>
        <w:t>he IAIS Global Monitoring Exercise (GME)</w:t>
      </w:r>
      <w:r w:rsidR="00836E11" w:rsidRPr="001C3DEE">
        <w:rPr>
          <w:rStyle w:val="FootnoteReference"/>
          <w:rFonts w:cstheme="minorHAnsi"/>
        </w:rPr>
        <w:footnoteReference w:id="2"/>
      </w:r>
      <w:r w:rsidR="00024BA3" w:rsidRPr="001C3DEE">
        <w:rPr>
          <w:rFonts w:cstheme="minorHAnsi"/>
        </w:rPr>
        <w:t xml:space="preserve">, </w:t>
      </w:r>
      <w:r w:rsidR="0021730D" w:rsidRPr="001C3DEE">
        <w:rPr>
          <w:rFonts w:cstheme="minorHAnsi"/>
        </w:rPr>
        <w:t xml:space="preserve">is the formal process the IAIS has in place </w:t>
      </w:r>
      <w:r w:rsidR="009F470A" w:rsidRPr="001C3DEE">
        <w:rPr>
          <w:rFonts w:cstheme="minorHAnsi"/>
        </w:rPr>
        <w:t>to monitor</w:t>
      </w:r>
      <w:r w:rsidR="0021730D" w:rsidRPr="001C3DEE">
        <w:rPr>
          <w:rFonts w:cstheme="minorHAnsi"/>
        </w:rPr>
        <w:t xml:space="preserve"> </w:t>
      </w:r>
      <w:r w:rsidR="00952513" w:rsidRPr="001C3DEE">
        <w:rPr>
          <w:rFonts w:cstheme="minorHAnsi"/>
        </w:rPr>
        <w:t>g</w:t>
      </w:r>
      <w:r w:rsidR="0021730D" w:rsidRPr="001C3DEE">
        <w:rPr>
          <w:rFonts w:cstheme="minorHAnsi"/>
        </w:rPr>
        <w:t>lobal insurance risks</w:t>
      </w:r>
      <w:r w:rsidR="00952513" w:rsidRPr="001C3DEE">
        <w:rPr>
          <w:rFonts w:cstheme="minorHAnsi"/>
        </w:rPr>
        <w:t>.</w:t>
      </w:r>
      <w:r w:rsidR="0021730D" w:rsidRPr="001C3DEE">
        <w:rPr>
          <w:rFonts w:cstheme="minorHAnsi"/>
        </w:rPr>
        <w:t xml:space="preserve"> </w:t>
      </w:r>
      <w:r w:rsidR="00952513" w:rsidRPr="001C3DEE">
        <w:rPr>
          <w:rFonts w:cstheme="minorHAnsi"/>
        </w:rPr>
        <w:t xml:space="preserve"> </w:t>
      </w:r>
      <w:r w:rsidR="00966E1F" w:rsidRPr="001C3DEE">
        <w:rPr>
          <w:rFonts w:cstheme="minorHAnsi"/>
        </w:rPr>
        <w:t xml:space="preserve">A </w:t>
      </w:r>
      <w:r w:rsidR="00205D9F" w:rsidRPr="001C3DEE">
        <w:rPr>
          <w:rFonts w:cstheme="minorHAnsi"/>
        </w:rPr>
        <w:t>couple of IAIS k</w:t>
      </w:r>
      <w:r w:rsidR="00B14DB3" w:rsidRPr="001C3DEE">
        <w:rPr>
          <w:rFonts w:cstheme="minorHAnsi"/>
        </w:rPr>
        <w:t>ey</w:t>
      </w:r>
      <w:r w:rsidR="00952513" w:rsidRPr="001C3DEE">
        <w:rPr>
          <w:rFonts w:cstheme="minorHAnsi"/>
        </w:rPr>
        <w:t xml:space="preserve"> risk monitoring deliverables</w:t>
      </w:r>
      <w:r w:rsidR="00B14DB3" w:rsidRPr="001C3DEE">
        <w:rPr>
          <w:rFonts w:cstheme="minorHAnsi"/>
        </w:rPr>
        <w:t xml:space="preserve"> include the Global Insurance Monitoring Report (GIMAR) </w:t>
      </w:r>
      <w:r w:rsidR="003734AA" w:rsidRPr="001C3DEE">
        <w:rPr>
          <w:rFonts w:cstheme="minorHAnsi"/>
        </w:rPr>
        <w:t xml:space="preserve">and a global </w:t>
      </w:r>
      <w:r w:rsidR="00836E11" w:rsidRPr="001C3DEE">
        <w:rPr>
          <w:rFonts w:cstheme="minorHAnsi"/>
        </w:rPr>
        <w:t xml:space="preserve">risk dashboard. </w:t>
      </w:r>
      <w:r w:rsidR="00DC300D" w:rsidRPr="001C3DEE">
        <w:rPr>
          <w:rFonts w:cstheme="minorHAnsi"/>
        </w:rPr>
        <w:t xml:space="preserve"> </w:t>
      </w:r>
    </w:p>
    <w:p w14:paraId="1BEEABCD" w14:textId="77777777" w:rsidR="00137B8A" w:rsidRPr="001C3DEE" w:rsidRDefault="00137B8A" w:rsidP="002D4EF4">
      <w:pPr>
        <w:spacing w:after="0" w:line="240" w:lineRule="auto"/>
        <w:rPr>
          <w:rFonts w:cstheme="minorHAnsi"/>
        </w:rPr>
      </w:pPr>
    </w:p>
    <w:p w14:paraId="22AA8764" w14:textId="39C3FA88" w:rsidR="00137B8A" w:rsidRPr="001C3DEE" w:rsidRDefault="00A01D72" w:rsidP="002D4EF4">
      <w:pPr>
        <w:spacing w:after="0" w:line="240" w:lineRule="auto"/>
        <w:rPr>
          <w:rFonts w:cstheme="minorHAnsi"/>
        </w:rPr>
      </w:pPr>
      <w:r w:rsidRPr="001C3DEE">
        <w:rPr>
          <w:rFonts w:cstheme="minorHAnsi"/>
        </w:rPr>
        <w:t xml:space="preserve">The </w:t>
      </w:r>
      <w:r w:rsidR="00FD572A" w:rsidRPr="001C3DEE">
        <w:rPr>
          <w:rFonts w:cstheme="minorHAnsi"/>
        </w:rPr>
        <w:t xml:space="preserve">NAIC and state regulator members of the IAIS are also the support personnel and </w:t>
      </w:r>
      <w:r w:rsidR="007E3F0A" w:rsidRPr="001C3DEE">
        <w:rPr>
          <w:rFonts w:cstheme="minorHAnsi"/>
        </w:rPr>
        <w:t>members of the NAIC FSTF</w:t>
      </w:r>
      <w:r w:rsidR="00830424" w:rsidRPr="001C3DEE">
        <w:rPr>
          <w:rFonts w:cstheme="minorHAnsi"/>
        </w:rPr>
        <w:t xml:space="preserve"> and </w:t>
      </w:r>
      <w:r w:rsidR="000F74B5" w:rsidRPr="001C3DEE">
        <w:rPr>
          <w:rFonts w:cstheme="minorHAnsi"/>
        </w:rPr>
        <w:t xml:space="preserve">MWG.  </w:t>
      </w:r>
      <w:r w:rsidR="008301F0" w:rsidRPr="001C3DEE">
        <w:rPr>
          <w:rFonts w:cstheme="minorHAnsi"/>
        </w:rPr>
        <w:t xml:space="preserve">This </w:t>
      </w:r>
      <w:r w:rsidR="002277D3" w:rsidRPr="001C3DEE">
        <w:rPr>
          <w:rFonts w:cstheme="minorHAnsi"/>
        </w:rPr>
        <w:t xml:space="preserve">structure is the formal mechanism in place to </w:t>
      </w:r>
      <w:r w:rsidR="00872B8B" w:rsidRPr="001C3DEE">
        <w:rPr>
          <w:rFonts w:cstheme="minorHAnsi"/>
        </w:rPr>
        <w:t xml:space="preserve">exchange </w:t>
      </w:r>
      <w:r w:rsidR="0094190A" w:rsidRPr="001C3DEE">
        <w:rPr>
          <w:rFonts w:cstheme="minorHAnsi"/>
        </w:rPr>
        <w:t>information on matter</w:t>
      </w:r>
      <w:r w:rsidR="00D368AF" w:rsidRPr="001C3DEE">
        <w:rPr>
          <w:rFonts w:cstheme="minorHAnsi"/>
        </w:rPr>
        <w:t>s</w:t>
      </w:r>
      <w:r w:rsidR="0094190A" w:rsidRPr="001C3DEE">
        <w:rPr>
          <w:rFonts w:cstheme="minorHAnsi"/>
        </w:rPr>
        <w:t xml:space="preserve"> of potential financial stability risks between the </w:t>
      </w:r>
      <w:r w:rsidR="00AD039A" w:rsidRPr="001C3DEE">
        <w:rPr>
          <w:rFonts w:cstheme="minorHAnsi"/>
        </w:rPr>
        <w:t>global insurance industry and the U.S. insurance industry.</w:t>
      </w:r>
      <w:r w:rsidR="00280D18" w:rsidRPr="001C3DEE">
        <w:rPr>
          <w:rFonts w:cstheme="minorHAnsi"/>
        </w:rPr>
        <w:t xml:space="preserve">  </w:t>
      </w:r>
      <w:r w:rsidR="007F309F" w:rsidRPr="001C3DEE">
        <w:rPr>
          <w:rFonts w:cstheme="minorHAnsi"/>
        </w:rPr>
        <w:t xml:space="preserve">This U.S. Macroprudential Risk Dashboard Report </w:t>
      </w:r>
      <w:r w:rsidR="003F1E35" w:rsidRPr="001C3DEE">
        <w:rPr>
          <w:rFonts w:cstheme="minorHAnsi"/>
        </w:rPr>
        <w:t>may include</w:t>
      </w:r>
      <w:r w:rsidR="00026973" w:rsidRPr="001C3DEE">
        <w:rPr>
          <w:rFonts w:cstheme="minorHAnsi"/>
        </w:rPr>
        <w:t xml:space="preserve"> global risks if </w:t>
      </w:r>
      <w:r w:rsidR="00071116" w:rsidRPr="001C3DEE">
        <w:rPr>
          <w:rFonts w:cstheme="minorHAnsi"/>
        </w:rPr>
        <w:t xml:space="preserve">the risk is </w:t>
      </w:r>
      <w:r w:rsidR="00FC3A3D" w:rsidRPr="001C3DEE">
        <w:rPr>
          <w:rFonts w:cstheme="minorHAnsi"/>
        </w:rPr>
        <w:t xml:space="preserve">also </w:t>
      </w:r>
      <w:r w:rsidR="00026973" w:rsidRPr="001C3DEE">
        <w:rPr>
          <w:rFonts w:cstheme="minorHAnsi"/>
        </w:rPr>
        <w:t>deemed a risk in the U.S.</w:t>
      </w:r>
    </w:p>
    <w:p w14:paraId="69B12D24" w14:textId="0287F644" w:rsidR="00024BA3" w:rsidRDefault="00836E11" w:rsidP="002D4EF4">
      <w:pPr>
        <w:spacing w:after="0" w:line="240" w:lineRule="auto"/>
        <w:rPr>
          <w:rFonts w:cstheme="minorHAnsi"/>
        </w:rPr>
      </w:pPr>
      <w:r w:rsidRPr="001C3DEE">
        <w:rPr>
          <w:rFonts w:cstheme="minorHAnsi"/>
        </w:rPr>
        <w:t xml:space="preserve">In addition, </w:t>
      </w:r>
      <w:r w:rsidR="001F3909" w:rsidRPr="001C3DEE">
        <w:rPr>
          <w:rFonts w:cstheme="minorHAnsi"/>
        </w:rPr>
        <w:t xml:space="preserve">the </w:t>
      </w:r>
      <w:r w:rsidRPr="001C3DEE">
        <w:rPr>
          <w:rFonts w:cstheme="minorHAnsi"/>
        </w:rPr>
        <w:t>IAIS provides the Financial Stability Board (FSB) outcomes of the annual GME and the insurance sector perspective on the FSB cross-sectoral analysis of financial stability.</w:t>
      </w:r>
      <w:r>
        <w:rPr>
          <w:rFonts w:cstheme="minorHAnsi"/>
        </w:rPr>
        <w:t xml:space="preserve"> </w:t>
      </w:r>
    </w:p>
    <w:p w14:paraId="1666405E" w14:textId="76C4FCFC" w:rsidR="00281614" w:rsidRDefault="00281614" w:rsidP="005B1E6B">
      <w:r>
        <w:br w:type="page"/>
      </w:r>
    </w:p>
    <w:p w14:paraId="5E7CC767" w14:textId="4203D4B6" w:rsidR="004D085F" w:rsidRDefault="004D085F" w:rsidP="004D085F">
      <w:pPr>
        <w:pStyle w:val="Heading1"/>
      </w:pPr>
      <w:bookmarkStart w:id="5" w:name="_Toc232602956"/>
      <w:r>
        <w:t>Macroeconomic</w:t>
      </w:r>
      <w:r w:rsidR="00230292">
        <w:t xml:space="preserve"> Risk</w:t>
      </w:r>
      <w:r>
        <w:t>:</w:t>
      </w:r>
      <w:r w:rsidRPr="004D085F">
        <w:t xml:space="preserve"> </w:t>
      </w:r>
      <w:r>
        <w:t>Summary</w:t>
      </w:r>
      <w:bookmarkEnd w:id="5"/>
    </w:p>
    <w:p w14:paraId="0C652787" w14:textId="7BEA7D2B" w:rsidR="00E52683" w:rsidRDefault="00194CBE" w:rsidP="004B1171">
      <w:pPr>
        <w:spacing w:after="0" w:line="240" w:lineRule="auto"/>
      </w:pPr>
      <w:r w:rsidRPr="00194CBE">
        <w:t>The U.S. economy is generally robust, with above-trend growth in 202</w:t>
      </w:r>
      <w:r w:rsidR="008137E7">
        <w:t>4</w:t>
      </w:r>
      <w:r w:rsidRPr="00194CBE">
        <w:t xml:space="preserve"> and 202</w:t>
      </w:r>
      <w:r w:rsidR="008137E7">
        <w:t>5</w:t>
      </w:r>
      <w:r w:rsidR="00C07FAC" w:rsidRPr="00194CBE">
        <w:t xml:space="preserve">. </w:t>
      </w:r>
      <w:r w:rsidR="00071116">
        <w:t xml:space="preserve"> </w:t>
      </w:r>
      <w:r w:rsidR="002C4E51">
        <w:t>However, g</w:t>
      </w:r>
      <w:r w:rsidR="002C4E51" w:rsidRPr="002C4E51">
        <w:t>lobal trade tensions, financial market volatility, inflation</w:t>
      </w:r>
      <w:r w:rsidR="00C92E1E">
        <w:t>,</w:t>
      </w:r>
      <w:r w:rsidR="002C4E51" w:rsidRPr="002C4E51">
        <w:t xml:space="preserve"> </w:t>
      </w:r>
      <w:r w:rsidR="00C92E1E">
        <w:t>and geo-political tensions</w:t>
      </w:r>
      <w:r w:rsidR="002C4E51" w:rsidRPr="002C4E51">
        <w:t xml:space="preserve"> </w:t>
      </w:r>
      <w:r w:rsidR="00C8482A">
        <w:t>persist</w:t>
      </w:r>
      <w:r w:rsidR="00C07FAC">
        <w:t xml:space="preserve">. </w:t>
      </w:r>
      <w:r w:rsidR="00071116">
        <w:t xml:space="preserve"> </w:t>
      </w:r>
      <w:r w:rsidRPr="00194CBE">
        <w:t>Economic growth accelerated in 2025, pushing further above trend growth</w:t>
      </w:r>
      <w:r w:rsidR="00C07FAC" w:rsidRPr="00194CBE">
        <w:t>.</w:t>
      </w:r>
      <w:r w:rsidR="00C07FAC">
        <w:t xml:space="preserve"> </w:t>
      </w:r>
      <w:r w:rsidR="00071116">
        <w:t xml:space="preserve"> </w:t>
      </w:r>
      <w:r w:rsidRPr="00194CBE">
        <w:t xml:space="preserve">The unemployment rate </w:t>
      </w:r>
      <w:r w:rsidR="00C124B1">
        <w:t>s</w:t>
      </w:r>
      <w:r w:rsidR="008137E7">
        <w:t>lightly in</w:t>
      </w:r>
      <w:r w:rsidRPr="00194CBE">
        <w:t>creased through 202</w:t>
      </w:r>
      <w:r w:rsidR="008137E7">
        <w:t>5</w:t>
      </w:r>
      <w:r w:rsidR="00C07FAC" w:rsidRPr="00194CBE">
        <w:t xml:space="preserve">. </w:t>
      </w:r>
      <w:r w:rsidR="008137E7">
        <w:t>But</w:t>
      </w:r>
      <w:r w:rsidRPr="00194CBE">
        <w:t>, from a historical perspective, the unemployment rate remains relatively low</w:t>
      </w:r>
      <w:r w:rsidR="00C07FAC" w:rsidRPr="00194CBE">
        <w:t>.</w:t>
      </w:r>
      <w:r w:rsidR="00C07FAC">
        <w:t xml:space="preserve"> </w:t>
      </w:r>
      <w:r w:rsidR="00071116">
        <w:t xml:space="preserve"> </w:t>
      </w:r>
      <w:r w:rsidRPr="00194CBE">
        <w:t>Total employment increased 2.8 percent in 202</w:t>
      </w:r>
      <w:r w:rsidR="008137E7">
        <w:t>5</w:t>
      </w:r>
      <w:r w:rsidRPr="00194CBE">
        <w:t xml:space="preserve"> but has since </w:t>
      </w:r>
      <w:r w:rsidR="006F676D" w:rsidRPr="00194CBE">
        <w:t>levelled</w:t>
      </w:r>
      <w:r w:rsidRPr="00194CBE">
        <w:t xml:space="preserve"> off</w:t>
      </w:r>
      <w:r w:rsidR="00C07FAC" w:rsidRPr="00194CBE">
        <w:t>.</w:t>
      </w:r>
      <w:r w:rsidR="00C07FAC">
        <w:t xml:space="preserve"> </w:t>
      </w:r>
      <w:r w:rsidR="00071116">
        <w:t xml:space="preserve"> </w:t>
      </w:r>
      <w:r w:rsidRPr="00194CBE">
        <w:t>The labor force participation rate has remained steady over the past three years, meaning millions of able-bodied men and women are neither working nor looking for work, which limits economic growth</w:t>
      </w:r>
      <w:r w:rsidR="00C07FAC" w:rsidRPr="00194CBE">
        <w:t>.</w:t>
      </w:r>
      <w:r w:rsidR="00071116">
        <w:t xml:space="preserve"> </w:t>
      </w:r>
      <w:r w:rsidR="00C07FAC">
        <w:t xml:space="preserve"> </w:t>
      </w:r>
      <w:r w:rsidRPr="00194CBE">
        <w:t>But the long-term decline in the labor force participation rate in recent years is part of a secular trend rather than a</w:t>
      </w:r>
      <w:r w:rsidR="006F676D">
        <w:t xml:space="preserve"> </w:t>
      </w:r>
      <w:r w:rsidRPr="00194CBE">
        <w:t>cyclical trend</w:t>
      </w:r>
      <w:r w:rsidR="00C07FAC" w:rsidRPr="00194CBE">
        <w:t xml:space="preserve">. </w:t>
      </w:r>
      <w:r w:rsidRPr="00194CBE">
        <w:t xml:space="preserve">Internationally, </w:t>
      </w:r>
      <w:r w:rsidR="005D0CCE" w:rsidRPr="00194CBE">
        <w:t>the highly</w:t>
      </w:r>
      <w:r w:rsidR="006F676D" w:rsidRPr="00194CBE">
        <w:t xml:space="preserve"> valued</w:t>
      </w:r>
      <w:r w:rsidRPr="00194CBE">
        <w:t xml:space="preserve"> dollar has continued to stifle exports, but has put downward pressure on inflation.</w:t>
      </w:r>
    </w:p>
    <w:p w14:paraId="508979D6" w14:textId="77777777" w:rsidR="002C4E51" w:rsidRDefault="002C4E51" w:rsidP="004D085F">
      <w:pPr>
        <w:spacing w:after="0"/>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5"/>
        <w:gridCol w:w="4665"/>
      </w:tblGrid>
      <w:tr w:rsidR="00E52683" w14:paraId="20261AC8" w14:textId="77777777" w:rsidTr="002C4E51">
        <w:trPr>
          <w:trHeight w:val="330"/>
          <w:jc w:val="center"/>
        </w:trPr>
        <w:tc>
          <w:tcPr>
            <w:tcW w:w="4665" w:type="dxa"/>
            <w:shd w:val="clear" w:color="auto" w:fill="FFFF00"/>
          </w:tcPr>
          <w:p w14:paraId="0F13D8CF" w14:textId="3797433C" w:rsidR="00E52683" w:rsidRPr="00E23A5B" w:rsidRDefault="00E52683" w:rsidP="00E52683">
            <w:pPr>
              <w:jc w:val="center"/>
            </w:pPr>
            <w:r w:rsidRPr="00E23A5B">
              <w:t xml:space="preserve">Assessment Level: </w:t>
            </w:r>
            <w:r w:rsidRPr="004B54AB">
              <w:rPr>
                <w:b/>
                <w:bCs/>
              </w:rPr>
              <w:t>Moderate-</w:t>
            </w:r>
            <w:r w:rsidR="00E23A5B" w:rsidRPr="004B54AB">
              <w:rPr>
                <w:b/>
                <w:bCs/>
              </w:rPr>
              <w:t>Low</w:t>
            </w:r>
          </w:p>
          <w:p w14:paraId="727EA922" w14:textId="23D045F5" w:rsidR="00BB3B4E" w:rsidRPr="00E23A5B" w:rsidRDefault="00BB3B4E" w:rsidP="00E52683">
            <w:pPr>
              <w:jc w:val="center"/>
            </w:pPr>
          </w:p>
        </w:tc>
        <w:tc>
          <w:tcPr>
            <w:tcW w:w="4665" w:type="dxa"/>
          </w:tcPr>
          <w:p w14:paraId="002B81FB" w14:textId="057D6393" w:rsidR="00E52683" w:rsidRDefault="00616D2E" w:rsidP="00E52683">
            <w:pPr>
              <w:jc w:val="center"/>
            </w:pPr>
            <w:r w:rsidRPr="001002A0">
              <w:rPr>
                <w:rStyle w:val="CommentReference"/>
                <w:noProof/>
              </w:rPr>
              <mc:AlternateContent>
                <mc:Choice Requires="wps">
                  <w:drawing>
                    <wp:anchor distT="0" distB="0" distL="114300" distR="114300" simplePos="0" relativeHeight="251658240" behindDoc="0" locked="0" layoutInCell="1" allowOverlap="1" wp14:anchorId="2FD212A1" wp14:editId="73A93106">
                      <wp:simplePos x="0" y="0"/>
                      <wp:positionH relativeFrom="column">
                        <wp:posOffset>2061127</wp:posOffset>
                      </wp:positionH>
                      <wp:positionV relativeFrom="page">
                        <wp:posOffset>-32440</wp:posOffset>
                      </wp:positionV>
                      <wp:extent cx="196419" cy="411935"/>
                      <wp:effectExtent l="76200" t="0" r="51435" b="7620"/>
                      <wp:wrapNone/>
                      <wp:docPr id="6" name="Arrow: Up 6"/>
                      <wp:cNvGraphicFramePr/>
                      <a:graphic xmlns:a="http://schemas.openxmlformats.org/drawingml/2006/main">
                        <a:graphicData uri="http://schemas.microsoft.com/office/word/2010/wordprocessingShape">
                          <wps:wsp>
                            <wps:cNvSpPr/>
                            <wps:spPr>
                              <a:xfrm rot="2187280">
                                <a:off x="0" y="0"/>
                                <a:ext cx="196419" cy="411935"/>
                              </a:xfrm>
                              <a:prstGeom prst="upArrow">
                                <a:avLst/>
                              </a:prstGeom>
                              <a:solidFill>
                                <a:schemeClr val="accent1"/>
                              </a:solidFill>
                              <a:ln>
                                <a:noFill/>
                              </a:ln>
                              <a:effectLst/>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066F5A40">
                    <v:shapetype id="_x0000_t68" coordsize="21600,21600" o:spt="68" adj="5400,5400" path="m0@0l@1@0@1,21600@2,21600@2@0,21600@0,10800,xe" w14:anchorId="407A0094">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rrow: Up 6" style="position:absolute;margin-left:162.3pt;margin-top:-2.55pt;width:15.45pt;height:32.45pt;rotation:238909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4472c4 [3204]" stroked="f" type="#_x0000_t68" adj="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">
                      <w10:wrap anchory="page"/>
                    </v:shape>
                  </w:pict>
                </mc:Fallback>
              </mc:AlternateContent>
            </w:r>
            <w:r w:rsidR="00E52683">
              <w:t>Trend: Increasing</w:t>
            </w:r>
          </w:p>
        </w:tc>
      </w:tr>
    </w:tbl>
    <w:p w14:paraId="63E00B49" w14:textId="5373A5FA" w:rsidR="00E910A0" w:rsidRDefault="00611007" w:rsidP="00984F90">
      <w:pPr>
        <w:pStyle w:val="Heading2"/>
      </w:pPr>
      <w:r>
        <w:t>Macroeconomic</w:t>
      </w:r>
      <w:r w:rsidR="00993F78">
        <w:t>:</w:t>
      </w:r>
      <w:r w:rsidR="004D085F">
        <w:t xml:space="preserve"> </w:t>
      </w:r>
      <w:r w:rsidR="00AC255E">
        <w:t>Over</w:t>
      </w:r>
      <w:r w:rsidR="002D2B6A">
        <w:t>arching</w:t>
      </w:r>
      <w:r w:rsidR="00692904">
        <w:t xml:space="preserve"> Observations</w:t>
      </w:r>
    </w:p>
    <w:p w14:paraId="17D942A9" w14:textId="2DA2BA7C" w:rsidR="00964EC3" w:rsidRPr="00A5108A" w:rsidRDefault="00093DD3" w:rsidP="00A5108A">
      <w:pPr>
        <w:rPr>
          <w:rFonts w:eastAsia="Times New Roman" w:cs="Calibri"/>
        </w:rPr>
      </w:pPr>
      <w:r w:rsidRPr="00A5108A">
        <w:rPr>
          <w:rFonts w:eastAsia="Times New Roman" w:cs="Calibri"/>
        </w:rPr>
        <w:t>The macroeconomic environment is foundational to the health and stability of the financial sector</w:t>
      </w:r>
      <w:r w:rsidR="009D10C8">
        <w:rPr>
          <w:rFonts w:eastAsia="Times New Roman" w:cs="Calibri"/>
        </w:rPr>
        <w:t>.</w:t>
      </w:r>
      <w:r w:rsidRPr="00A5108A">
        <w:rPr>
          <w:rFonts w:eastAsia="Times New Roman" w:cs="Calibri"/>
        </w:rPr>
        <w:t xml:space="preserve"> </w:t>
      </w:r>
      <w:r w:rsidR="00BB01D0">
        <w:rPr>
          <w:rFonts w:eastAsia="Times New Roman" w:cs="Calibri"/>
        </w:rPr>
        <w:t xml:space="preserve"> </w:t>
      </w:r>
      <w:r w:rsidRPr="00A5108A">
        <w:rPr>
          <w:rFonts w:eastAsia="Times New Roman" w:cs="Calibri"/>
        </w:rPr>
        <w:t>Historically, the performance of financial markets has been closely tied to macroeconomic performance</w:t>
      </w:r>
      <w:r w:rsidR="00C07FAC" w:rsidRPr="00A5108A">
        <w:rPr>
          <w:rFonts w:eastAsia="Times New Roman" w:cs="Calibri"/>
        </w:rPr>
        <w:t>.</w:t>
      </w:r>
      <w:r w:rsidR="00C07FAC">
        <w:rPr>
          <w:rFonts w:eastAsia="Times New Roman" w:cs="Calibri"/>
        </w:rPr>
        <w:t xml:space="preserve"> </w:t>
      </w:r>
      <w:r w:rsidR="008137E7">
        <w:rPr>
          <w:rFonts w:eastAsia="Times New Roman" w:cs="Calibri"/>
        </w:rPr>
        <w:t>The returns in the equity market as measured by the S&amp;P 500 Index have been at historically high levels the last th</w:t>
      </w:r>
      <w:r w:rsidR="00E621A6">
        <w:rPr>
          <w:rFonts w:eastAsia="Times New Roman" w:cs="Calibri"/>
        </w:rPr>
        <w:t>re</w:t>
      </w:r>
      <w:r w:rsidR="008137E7">
        <w:rPr>
          <w:rFonts w:eastAsia="Times New Roman" w:cs="Calibri"/>
        </w:rPr>
        <w:t>e years</w:t>
      </w:r>
      <w:r w:rsidR="00C124B1">
        <w:rPr>
          <w:rFonts w:eastAsia="Times New Roman" w:cs="Calibri"/>
        </w:rPr>
        <w:t>.</w:t>
      </w:r>
    </w:p>
    <w:p w14:paraId="0612E9EA" w14:textId="1DFE9423" w:rsidR="00675E42" w:rsidRDefault="00A24384" w:rsidP="00DF244F">
      <w:pPr>
        <w:rPr>
          <w:rFonts w:eastAsia="Times New Roman" w:cs="Calibri"/>
        </w:rPr>
      </w:pPr>
      <w:r>
        <w:rPr>
          <w:rFonts w:eastAsia="Times New Roman" w:cs="Calibri"/>
        </w:rPr>
        <w:t>The broadest measure of economic output</w:t>
      </w:r>
      <w:r w:rsidR="003F68EF">
        <w:rPr>
          <w:rFonts w:eastAsia="Times New Roman" w:cs="Calibri"/>
        </w:rPr>
        <w:t xml:space="preserve"> is g</w:t>
      </w:r>
      <w:r w:rsidR="00397E19">
        <w:rPr>
          <w:rFonts w:eastAsia="Times New Roman" w:cs="Calibri"/>
        </w:rPr>
        <w:t xml:space="preserve">ross </w:t>
      </w:r>
      <w:r w:rsidR="003F68EF">
        <w:rPr>
          <w:rFonts w:eastAsia="Times New Roman" w:cs="Calibri"/>
        </w:rPr>
        <w:t>domestic product (GDP)</w:t>
      </w:r>
      <w:r w:rsidR="00C4337D">
        <w:rPr>
          <w:rFonts w:eastAsia="Times New Roman" w:cs="Calibri"/>
        </w:rPr>
        <w:t xml:space="preserve">, the sum total value of </w:t>
      </w:r>
      <w:r w:rsidR="002F5F02">
        <w:rPr>
          <w:rFonts w:eastAsia="Times New Roman" w:cs="Calibri"/>
        </w:rPr>
        <w:t>annual output</w:t>
      </w:r>
      <w:r w:rsidR="00C07FAC">
        <w:rPr>
          <w:rFonts w:eastAsia="Times New Roman" w:cs="Calibri"/>
        </w:rPr>
        <w:t xml:space="preserve">. </w:t>
      </w:r>
      <w:r w:rsidR="00C9154F" w:rsidRPr="00DF244F">
        <w:rPr>
          <w:rFonts w:eastAsia="Times New Roman" w:cs="Calibri"/>
        </w:rPr>
        <w:t>Adjusted for inflation (real GDP)</w:t>
      </w:r>
      <w:r w:rsidR="0095475D" w:rsidRPr="00DF244F">
        <w:rPr>
          <w:rFonts w:eastAsia="Times New Roman" w:cs="Calibri"/>
        </w:rPr>
        <w:t>, economic output</w:t>
      </w:r>
      <w:r w:rsidR="002A3CDB" w:rsidRPr="00DF244F">
        <w:rPr>
          <w:rFonts w:eastAsia="Times New Roman" w:cs="Calibri"/>
        </w:rPr>
        <w:t xml:space="preserve"> </w:t>
      </w:r>
      <w:r w:rsidR="0051030C" w:rsidRPr="00DF244F">
        <w:rPr>
          <w:rFonts w:eastAsia="Times New Roman" w:cs="Calibri"/>
        </w:rPr>
        <w:t>experienced</w:t>
      </w:r>
      <w:r w:rsidR="002A3CDB" w:rsidRPr="00DF244F">
        <w:rPr>
          <w:rFonts w:eastAsia="Times New Roman" w:cs="Calibri"/>
        </w:rPr>
        <w:t xml:space="preserve"> growth in 202</w:t>
      </w:r>
      <w:r w:rsidR="0051030C" w:rsidRPr="00DF244F">
        <w:rPr>
          <w:rFonts w:eastAsia="Times New Roman" w:cs="Calibri"/>
        </w:rPr>
        <w:t>5</w:t>
      </w:r>
      <w:r w:rsidR="00B01CD3" w:rsidRPr="00DF244F">
        <w:rPr>
          <w:rFonts w:eastAsia="Times New Roman" w:cs="Calibri"/>
        </w:rPr>
        <w:t xml:space="preserve">, well above the historical average </w:t>
      </w:r>
      <w:r w:rsidR="00A12330" w:rsidRPr="00DF244F">
        <w:rPr>
          <w:rFonts w:eastAsia="Times New Roman" w:cs="Calibri"/>
        </w:rPr>
        <w:t xml:space="preserve">over the </w:t>
      </w:r>
      <w:r w:rsidR="00A95C3E" w:rsidRPr="00DF244F">
        <w:rPr>
          <w:rFonts w:eastAsia="Times New Roman" w:cs="Calibri"/>
        </w:rPr>
        <w:t>past few decades.</w:t>
      </w:r>
      <w:r w:rsidR="008D1D2E" w:rsidRPr="00DF244F">
        <w:rPr>
          <w:rFonts w:eastAsia="Times New Roman" w:cs="Calibri"/>
        </w:rPr>
        <w:t xml:space="preserve"> </w:t>
      </w:r>
    </w:p>
    <w:p w14:paraId="3E95C670" w14:textId="6BB915E9" w:rsidR="00CA4121" w:rsidRPr="00CD541C" w:rsidRDefault="00CD541C" w:rsidP="00DF244F">
      <w:pPr>
        <w:rPr>
          <w:rFonts w:eastAsia="Times New Roman" w:cs="Calibri"/>
          <w:color w:val="FF0000"/>
        </w:rPr>
      </w:pPr>
      <w:r>
        <w:rPr>
          <w:noProof/>
        </w:rPr>
        <w:drawing>
          <wp:inline distT="0" distB="0" distL="0" distR="0" wp14:anchorId="368A78F7" wp14:editId="1A5CEA9A">
            <wp:extent cx="6115050" cy="3343275"/>
            <wp:effectExtent l="0" t="0" r="0" b="9525"/>
            <wp:docPr id="462374047" name="Chart 1">
              <a:extLst xmlns:a="http://schemas.openxmlformats.org/drawingml/2006/main">
                <a:ext uri="{FF2B5EF4-FFF2-40B4-BE49-F238E27FC236}">
                  <a16:creationId xmlns:a16="http://schemas.microsoft.com/office/drawing/2014/main" id="{9B6B6610-6829-4ABC-BF1A-B662781BC4A7}"/>
                </a:ext>
                <a:ext uri="{147F2762-F138-4A5C-976F-8EAC2B608ADB}">
                  <a16:predDERef xmlns:a16="http://schemas.microsoft.com/office/drawing/2014/main" pred="{D3509D71-C91E-4869-B993-00B483D323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92A225" w14:textId="7988586C" w:rsidR="00AC47C1" w:rsidRDefault="00AC47C1" w:rsidP="00AC47C1">
      <w:pPr>
        <w:pStyle w:val="Heading2"/>
      </w:pPr>
      <w:bookmarkStart w:id="6" w:name="_Int_PMnekqi4"/>
      <w:r>
        <w:t>Macroeconomic</w:t>
      </w:r>
      <w:bookmarkEnd w:id="6"/>
      <w:r w:rsidR="00993F78">
        <w:t>:</w:t>
      </w:r>
      <w:r>
        <w:t xml:space="preserve"> General Economic Trends</w:t>
      </w:r>
    </w:p>
    <w:p w14:paraId="20ACA92D" w14:textId="5B1B6EA2" w:rsidR="00873372" w:rsidRDefault="00125882" w:rsidP="00873372">
      <w:pPr>
        <w:pStyle w:val="Heading2"/>
        <w:jc w:val="both"/>
        <w:rPr>
          <w:rFonts w:eastAsia="Times New Roman" w:cstheme="minorBidi"/>
          <w:color w:val="auto"/>
          <w:sz w:val="22"/>
          <w:szCs w:val="22"/>
        </w:rPr>
      </w:pPr>
      <w:r w:rsidRPr="00125882">
        <w:rPr>
          <w:rFonts w:eastAsia="Times New Roman" w:cstheme="minorBidi"/>
          <w:color w:val="auto"/>
          <w:sz w:val="22"/>
          <w:szCs w:val="22"/>
        </w:rPr>
        <w:t xml:space="preserve">Inflation spiked in 2021 following many years of historically low levels. In its April 2021 policy statement, the Federal Reserve </w:t>
      </w:r>
      <w:r w:rsidR="00070C28">
        <w:rPr>
          <w:rFonts w:eastAsia="Times New Roman" w:cstheme="minorBidi"/>
          <w:color w:val="auto"/>
          <w:sz w:val="22"/>
          <w:szCs w:val="22"/>
        </w:rPr>
        <w:t>cit</w:t>
      </w:r>
      <w:r w:rsidR="00070C28" w:rsidRPr="00125882">
        <w:rPr>
          <w:rFonts w:eastAsia="Times New Roman" w:cstheme="minorBidi"/>
          <w:color w:val="auto"/>
          <w:sz w:val="22"/>
          <w:szCs w:val="22"/>
        </w:rPr>
        <w:t xml:space="preserve">ed </w:t>
      </w:r>
      <w:r w:rsidRPr="00125882">
        <w:rPr>
          <w:rFonts w:eastAsia="Times New Roman" w:cstheme="minorBidi"/>
          <w:color w:val="auto"/>
          <w:sz w:val="22"/>
          <w:szCs w:val="22"/>
        </w:rPr>
        <w:t>“transitory factors,” ostensibly supply chain disruptions and other pandemic-related causes.</w:t>
      </w:r>
      <w:r w:rsidR="00873372">
        <w:rPr>
          <w:rFonts w:eastAsia="Times New Roman" w:cstheme="minorBidi"/>
          <w:color w:val="auto"/>
          <w:sz w:val="22"/>
          <w:szCs w:val="22"/>
        </w:rPr>
        <w:t xml:space="preserve"> </w:t>
      </w:r>
      <w:r w:rsidRPr="00125882">
        <w:rPr>
          <w:rFonts w:eastAsia="Times New Roman" w:cstheme="minorBidi"/>
          <w:color w:val="auto"/>
          <w:sz w:val="22"/>
          <w:szCs w:val="22"/>
        </w:rPr>
        <w:t xml:space="preserve">Unchecked, inflation erodes the real return on fixed income assets, which make up the largest share of insurance industry assets. Inflation in earnings can be a harbinger of future consumer prices and is also elevated. </w:t>
      </w:r>
      <w:r w:rsidR="00BB01D0">
        <w:rPr>
          <w:rFonts w:eastAsia="Times New Roman" w:cstheme="minorBidi"/>
          <w:color w:val="auto"/>
          <w:sz w:val="22"/>
          <w:szCs w:val="22"/>
        </w:rPr>
        <w:t xml:space="preserve"> </w:t>
      </w:r>
      <w:r w:rsidRPr="00125882">
        <w:rPr>
          <w:rFonts w:eastAsia="Times New Roman" w:cstheme="minorBidi"/>
          <w:color w:val="auto"/>
          <w:sz w:val="22"/>
          <w:szCs w:val="22"/>
        </w:rPr>
        <w:t>Inflation remains at a meaningfully higher level than pre-2021 levels</w:t>
      </w:r>
      <w:r w:rsidR="00C07FAC" w:rsidRPr="00125882">
        <w:rPr>
          <w:rFonts w:eastAsia="Times New Roman" w:cstheme="minorBidi"/>
          <w:color w:val="auto"/>
          <w:sz w:val="22"/>
          <w:szCs w:val="22"/>
        </w:rPr>
        <w:t xml:space="preserve">. </w:t>
      </w:r>
      <w:r w:rsidR="00BB01D0">
        <w:rPr>
          <w:rFonts w:eastAsia="Times New Roman" w:cstheme="minorBidi"/>
          <w:color w:val="auto"/>
          <w:sz w:val="22"/>
          <w:szCs w:val="22"/>
        </w:rPr>
        <w:t xml:space="preserve"> </w:t>
      </w:r>
      <w:r w:rsidRPr="00125882">
        <w:rPr>
          <w:rFonts w:eastAsia="Times New Roman" w:cstheme="minorBidi"/>
          <w:color w:val="auto"/>
          <w:sz w:val="22"/>
          <w:szCs w:val="22"/>
        </w:rPr>
        <w:t>In its January 2026 policy statement, the Federal Reserve stated that the inflation rate "remains somewhat elevated."</w:t>
      </w:r>
    </w:p>
    <w:p w14:paraId="1226C0D2" w14:textId="2B6CE7A8" w:rsidR="00873372" w:rsidRDefault="00CD541C" w:rsidP="00E724F0">
      <w:pPr>
        <w:pStyle w:val="Heading2"/>
        <w:rPr>
          <w:rFonts w:eastAsia="Times New Roman" w:cstheme="minorBidi"/>
          <w:color w:val="auto"/>
          <w:sz w:val="22"/>
          <w:szCs w:val="22"/>
        </w:rPr>
      </w:pPr>
      <w:r>
        <w:rPr>
          <w:noProof/>
        </w:rPr>
        <w:drawing>
          <wp:inline distT="0" distB="0" distL="0" distR="0" wp14:anchorId="0BFFCFDB" wp14:editId="77BE3029">
            <wp:extent cx="5943600" cy="3124835"/>
            <wp:effectExtent l="0" t="0" r="0" b="18415"/>
            <wp:docPr id="1620959436" name="Chart 1">
              <a:extLst xmlns:a="http://schemas.openxmlformats.org/drawingml/2006/main">
                <a:ext uri="{FF2B5EF4-FFF2-40B4-BE49-F238E27FC236}">
                  <a16:creationId xmlns:a16="http://schemas.microsoft.com/office/drawing/2014/main" id="{FEC6187D-3CF7-446B-9C8C-6C68189FD359}"/>
                </a:ext>
                <a:ext uri="{147F2762-F138-4A5C-976F-8EAC2B608ADB}">
                  <a16:predDERef xmlns:a16="http://schemas.microsoft.com/office/drawing/2014/main" pred="{0F336F2D-A04A-4EBF-87AC-978F854DD1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EF16B2" w14:textId="799B08D5" w:rsidR="00C83F9B" w:rsidRPr="00C83F9B" w:rsidRDefault="00C83F9B" w:rsidP="00C83F9B"/>
    <w:p w14:paraId="496002CA" w14:textId="55C278D9" w:rsidR="00F245A4" w:rsidRDefault="00F245A4">
      <w:pPr>
        <w:jc w:val="left"/>
      </w:pPr>
      <w:r>
        <w:br w:type="page"/>
      </w:r>
    </w:p>
    <w:p w14:paraId="5D1BED1A" w14:textId="2C543FFB" w:rsidR="001046DF" w:rsidRDefault="004D085F" w:rsidP="00E724F0">
      <w:pPr>
        <w:pStyle w:val="Heading2"/>
        <w:rPr>
          <w:rFonts w:eastAsia="Times New Roman"/>
        </w:rPr>
      </w:pPr>
      <w:r>
        <w:t>Macroeconomic</w:t>
      </w:r>
      <w:r w:rsidR="00993F78">
        <w:t>:</w:t>
      </w:r>
      <w:r>
        <w:t xml:space="preserve"> </w:t>
      </w:r>
      <w:r w:rsidR="00070C28">
        <w:t>Asset Prices/</w:t>
      </w:r>
      <w:r w:rsidR="00F87DF2">
        <w:t>Interest Rates</w:t>
      </w:r>
      <w:r w:rsidR="00D869CC">
        <w:t>/Home Prices</w:t>
      </w:r>
    </w:p>
    <w:p w14:paraId="5D591D52" w14:textId="2D681199" w:rsidR="005908DD" w:rsidRDefault="00325DBC" w:rsidP="005F1542">
      <w:pPr>
        <w:rPr>
          <w:rFonts w:eastAsia="Times New Roman"/>
        </w:rPr>
      </w:pPr>
      <w:r>
        <w:rPr>
          <w:rFonts w:eastAsia="Times New Roman"/>
        </w:rPr>
        <w:t>Many econ</w:t>
      </w:r>
      <w:r w:rsidR="00565B41">
        <w:rPr>
          <w:rFonts w:eastAsia="Times New Roman"/>
        </w:rPr>
        <w:t>omists feel f</w:t>
      </w:r>
      <w:r w:rsidR="00070C28">
        <w:rPr>
          <w:rFonts w:eastAsia="Times New Roman"/>
        </w:rPr>
        <w:t>inancial a</w:t>
      </w:r>
      <w:r w:rsidR="00586179" w:rsidRPr="00586179">
        <w:rPr>
          <w:rFonts w:eastAsia="Times New Roman"/>
        </w:rPr>
        <w:t>sset prices are highly over-valued</w:t>
      </w:r>
      <w:r w:rsidR="00C07FAC" w:rsidRPr="00586179">
        <w:rPr>
          <w:rFonts w:eastAsia="Times New Roman"/>
        </w:rPr>
        <w:t xml:space="preserve">. </w:t>
      </w:r>
      <w:r w:rsidR="001A0E4D">
        <w:rPr>
          <w:rFonts w:eastAsia="Times New Roman"/>
        </w:rPr>
        <w:t xml:space="preserve"> </w:t>
      </w:r>
      <w:r w:rsidR="00586179" w:rsidRPr="00586179">
        <w:rPr>
          <w:rFonts w:eastAsia="Times New Roman"/>
        </w:rPr>
        <w:t xml:space="preserve">The price-earnings ratio (P/E) for the S&amp;P 500 has been as high as 35 in the last three years. </w:t>
      </w:r>
      <w:r>
        <w:rPr>
          <w:rFonts w:eastAsia="Times New Roman"/>
        </w:rPr>
        <w:t xml:space="preserve"> </w:t>
      </w:r>
      <w:r w:rsidR="00586179" w:rsidRPr="00586179">
        <w:rPr>
          <w:rFonts w:eastAsia="Times New Roman"/>
        </w:rPr>
        <w:t>The historical average (since 2000) is 26.8, while the long-term historical average is 15-</w:t>
      </w:r>
      <w:r w:rsidR="00E621A6" w:rsidRPr="00586179">
        <w:rPr>
          <w:rFonts w:eastAsia="Times New Roman"/>
        </w:rPr>
        <w:t>16</w:t>
      </w:r>
      <w:r w:rsidR="00E621A6">
        <w:rPr>
          <w:rFonts w:eastAsia="Times New Roman"/>
        </w:rPr>
        <w:t>.</w:t>
      </w:r>
      <w:r>
        <w:rPr>
          <w:rFonts w:eastAsia="Times New Roman"/>
        </w:rPr>
        <w:t xml:space="preserve"> </w:t>
      </w:r>
      <w:r w:rsidR="00586179" w:rsidRPr="00586179">
        <w:rPr>
          <w:rFonts w:eastAsia="Times New Roman"/>
        </w:rPr>
        <w:t xml:space="preserve"> A value around 15-18 is generally considered neutral</w:t>
      </w:r>
      <w:r w:rsidR="00C07FAC" w:rsidRPr="00586179">
        <w:rPr>
          <w:rFonts w:eastAsia="Times New Roman"/>
        </w:rPr>
        <w:t>.</w:t>
      </w:r>
      <w:r w:rsidR="001A0E4D">
        <w:rPr>
          <w:rFonts w:eastAsia="Times New Roman"/>
        </w:rPr>
        <w:t xml:space="preserve"> </w:t>
      </w:r>
      <w:r w:rsidR="00C07FAC" w:rsidRPr="00586179">
        <w:rPr>
          <w:rFonts w:eastAsia="Times New Roman"/>
        </w:rPr>
        <w:t xml:space="preserve"> </w:t>
      </w:r>
      <w:r w:rsidR="00586179" w:rsidRPr="00586179">
        <w:rPr>
          <w:rFonts w:eastAsia="Times New Roman"/>
        </w:rPr>
        <w:t>Moreover, both the stock market, as measured by the S&amp;P 500 Index, and the bond market, as measured by a price index for AA-rated corporate bonds, are more than double their values from 10 years ago (150% for bonds)</w:t>
      </w:r>
      <w:r w:rsidR="00C07FAC" w:rsidRPr="00586179">
        <w:rPr>
          <w:rFonts w:eastAsia="Times New Roman"/>
        </w:rPr>
        <w:t xml:space="preserve">. </w:t>
      </w:r>
      <w:r w:rsidR="001A0E4D">
        <w:rPr>
          <w:rFonts w:eastAsia="Times New Roman"/>
        </w:rPr>
        <w:t xml:space="preserve"> </w:t>
      </w:r>
      <w:r w:rsidR="00586179" w:rsidRPr="00586179">
        <w:rPr>
          <w:rFonts w:eastAsia="Times New Roman"/>
        </w:rPr>
        <w:t>Bond prices, which are inversely proportional to interest rates, have climbed consistently over the last two decades</w:t>
      </w:r>
      <w:r w:rsidR="00C07FAC" w:rsidRPr="00586179">
        <w:rPr>
          <w:rFonts w:eastAsia="Times New Roman"/>
        </w:rPr>
        <w:t xml:space="preserve">. </w:t>
      </w:r>
      <w:r w:rsidR="00586179" w:rsidRPr="00586179">
        <w:rPr>
          <w:rFonts w:eastAsia="Times New Roman"/>
        </w:rPr>
        <w:t>Home prices rose modestly in 2025 following a relatively brisk 4.0 percent increase in 2024.</w:t>
      </w:r>
    </w:p>
    <w:p w14:paraId="120A43D0" w14:textId="436C1A9D" w:rsidR="00F245A4" w:rsidRDefault="00CD541C" w:rsidP="005F1542">
      <w:pPr>
        <w:rPr>
          <w:rFonts w:eastAsia="Times New Roman"/>
        </w:rPr>
      </w:pPr>
      <w:r>
        <w:rPr>
          <w:noProof/>
        </w:rPr>
        <w:drawing>
          <wp:inline distT="0" distB="0" distL="0" distR="0" wp14:anchorId="2545DCEB" wp14:editId="483BC156">
            <wp:extent cx="5943600" cy="2252345"/>
            <wp:effectExtent l="0" t="0" r="0" b="14605"/>
            <wp:docPr id="1486932429" name="Chart 1">
              <a:extLst xmlns:a="http://schemas.openxmlformats.org/drawingml/2006/main">
                <a:ext uri="{FF2B5EF4-FFF2-40B4-BE49-F238E27FC236}">
                  <a16:creationId xmlns:a16="http://schemas.microsoft.com/office/drawing/2014/main" id="{4ACD7DE8-C06D-4BB0-80F0-0CAFC63D4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0209A5" w14:textId="1C7D5356" w:rsidR="00B75406" w:rsidRDefault="00CD541C" w:rsidP="00B75406">
      <w:pPr>
        <w:rPr>
          <w:rFonts w:eastAsia="Times New Roman"/>
          <w:noProof/>
        </w:rPr>
      </w:pPr>
      <w:r>
        <w:rPr>
          <w:noProof/>
        </w:rPr>
        <w:drawing>
          <wp:inline distT="0" distB="0" distL="0" distR="0" wp14:anchorId="0EF2C91C" wp14:editId="6ADED7E2">
            <wp:extent cx="5943600" cy="3689350"/>
            <wp:effectExtent l="0" t="0" r="0" b="6350"/>
            <wp:docPr id="954261058" name="Chart 1">
              <a:extLst xmlns:a="http://schemas.openxmlformats.org/drawingml/2006/main">
                <a:ext uri="{FF2B5EF4-FFF2-40B4-BE49-F238E27FC236}">
                  <a16:creationId xmlns:a16="http://schemas.microsoft.com/office/drawing/2014/main" id="{32F0D906-144B-476D-89C7-0672943CBC3F}"/>
                </a:ext>
                <a:ext uri="{147F2762-F138-4A5C-976F-8EAC2B608ADB}">
                  <a16:predDERef xmlns:a16="http://schemas.microsoft.com/office/drawing/2014/main" pred="{CBFEEAB5-2A7F-4C8E-BA85-8918B1A721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F77BDF" w14:textId="77777777" w:rsidR="00B32767" w:rsidRDefault="00B32767" w:rsidP="00B75406">
      <w:pPr>
        <w:rPr>
          <w:rFonts w:eastAsia="Times New Roman"/>
          <w:noProof/>
        </w:rPr>
      </w:pPr>
    </w:p>
    <w:p w14:paraId="5ACF0BC0" w14:textId="1CE185E2" w:rsidR="000E6703" w:rsidRDefault="000E6703" w:rsidP="00DC0028">
      <w:pPr>
        <w:pStyle w:val="Heading2"/>
        <w:ind w:left="1440" w:firstLine="720"/>
        <w:jc w:val="both"/>
      </w:pPr>
      <w:r>
        <w:t>Macroeconomic</w:t>
      </w:r>
      <w:r w:rsidR="00993F78">
        <w:t>:</w:t>
      </w:r>
      <w:r>
        <w:t xml:space="preserve"> Labor</w:t>
      </w:r>
      <w:r w:rsidR="00136E21">
        <w:t>/Tariffs</w:t>
      </w:r>
      <w:r w:rsidR="00A42BDE">
        <w:t>/USD</w:t>
      </w:r>
    </w:p>
    <w:p w14:paraId="4A47C089" w14:textId="77777777" w:rsidR="00D577AA" w:rsidRPr="00D577AA" w:rsidRDefault="00D577AA" w:rsidP="00895A1A">
      <w:pPr>
        <w:spacing w:after="0" w:line="240" w:lineRule="auto"/>
        <w:rPr>
          <w:rFonts w:eastAsia="Times New Roman"/>
          <w:b/>
          <w:bCs/>
        </w:rPr>
      </w:pPr>
      <w:r w:rsidRPr="00D577AA">
        <w:rPr>
          <w:rFonts w:eastAsia="Times New Roman"/>
          <w:b/>
          <w:bCs/>
        </w:rPr>
        <w:t>Unemployment</w:t>
      </w:r>
    </w:p>
    <w:p w14:paraId="03F75F1D" w14:textId="0C77DF5F" w:rsidR="00FE3FB3" w:rsidRDefault="00792270" w:rsidP="00895A1A">
      <w:pPr>
        <w:spacing w:after="0" w:line="240" w:lineRule="auto"/>
        <w:rPr>
          <w:rFonts w:eastAsia="Times New Roman"/>
        </w:rPr>
      </w:pPr>
      <w:r>
        <w:rPr>
          <w:rFonts w:eastAsia="Times New Roman"/>
        </w:rPr>
        <w:t xml:space="preserve">One of the primary reasons </w:t>
      </w:r>
      <w:r w:rsidR="00ED39A2">
        <w:rPr>
          <w:rFonts w:eastAsia="Times New Roman"/>
        </w:rPr>
        <w:t>t</w:t>
      </w:r>
      <w:r w:rsidR="00473497">
        <w:rPr>
          <w:rFonts w:eastAsia="Times New Roman"/>
        </w:rPr>
        <w:t>he unemplo</w:t>
      </w:r>
      <w:r>
        <w:rPr>
          <w:rFonts w:eastAsia="Times New Roman"/>
        </w:rPr>
        <w:t xml:space="preserve">yment rate is used as </w:t>
      </w:r>
      <w:r w:rsidR="00ED39A2">
        <w:rPr>
          <w:rFonts w:eastAsia="Times New Roman"/>
        </w:rPr>
        <w:t>a risk indicator</w:t>
      </w:r>
      <w:r>
        <w:rPr>
          <w:rFonts w:eastAsia="Times New Roman"/>
        </w:rPr>
        <w:t xml:space="preserve"> </w:t>
      </w:r>
      <w:r w:rsidR="00ED39A2">
        <w:rPr>
          <w:rFonts w:eastAsia="Times New Roman"/>
        </w:rPr>
        <w:t xml:space="preserve">is that </w:t>
      </w:r>
      <w:r w:rsidR="005176F3">
        <w:rPr>
          <w:rFonts w:eastAsia="Times New Roman"/>
        </w:rPr>
        <w:t>w</w:t>
      </w:r>
      <w:r w:rsidR="00ED39A2">
        <w:rPr>
          <w:rFonts w:eastAsia="Times New Roman"/>
        </w:rPr>
        <w:t xml:space="preserve">orkers </w:t>
      </w:r>
      <w:r w:rsidR="005176F3">
        <w:rPr>
          <w:rFonts w:eastAsia="Times New Roman"/>
        </w:rPr>
        <w:t>c</w:t>
      </w:r>
      <w:r w:rsidR="00ED39A2">
        <w:rPr>
          <w:rFonts w:eastAsia="Times New Roman"/>
        </w:rPr>
        <w:t>ompensation insurance is tied to payrolls and unemployment levels</w:t>
      </w:r>
      <w:r w:rsidR="00C07FAC">
        <w:rPr>
          <w:rFonts w:eastAsia="Times New Roman"/>
        </w:rPr>
        <w:t xml:space="preserve">. </w:t>
      </w:r>
      <w:r w:rsidR="00565B41">
        <w:rPr>
          <w:rFonts w:eastAsia="Times New Roman"/>
        </w:rPr>
        <w:t xml:space="preserve"> </w:t>
      </w:r>
      <w:r w:rsidR="00682852">
        <w:rPr>
          <w:rFonts w:eastAsia="Times New Roman"/>
        </w:rPr>
        <w:t xml:space="preserve">High unemployment and lower </w:t>
      </w:r>
      <w:r w:rsidR="00A812B5">
        <w:rPr>
          <w:rFonts w:eastAsia="Times New Roman"/>
        </w:rPr>
        <w:t>payrolls</w:t>
      </w:r>
      <w:r w:rsidR="00682852">
        <w:rPr>
          <w:rFonts w:eastAsia="Times New Roman"/>
        </w:rPr>
        <w:t xml:space="preserve"> could </w:t>
      </w:r>
      <w:r w:rsidR="007D2471">
        <w:rPr>
          <w:rFonts w:eastAsia="Times New Roman"/>
        </w:rPr>
        <w:t xml:space="preserve">reduce workers </w:t>
      </w:r>
      <w:r w:rsidR="00A812B5">
        <w:rPr>
          <w:rFonts w:eastAsia="Times New Roman"/>
        </w:rPr>
        <w:t>compensation</w:t>
      </w:r>
      <w:r w:rsidR="007D2471">
        <w:rPr>
          <w:rFonts w:eastAsia="Times New Roman"/>
        </w:rPr>
        <w:t xml:space="preserve"> </w:t>
      </w:r>
      <w:r w:rsidR="004C1775">
        <w:rPr>
          <w:rFonts w:eastAsia="Times New Roman"/>
        </w:rPr>
        <w:t>premium</w:t>
      </w:r>
      <w:r w:rsidR="00A812B5">
        <w:rPr>
          <w:rFonts w:eastAsia="Times New Roman"/>
        </w:rPr>
        <w:t xml:space="preserve"> industry wide.</w:t>
      </w:r>
    </w:p>
    <w:p w14:paraId="174C38CD" w14:textId="78F2A374" w:rsidR="00FE3FB3" w:rsidRDefault="00CD541C" w:rsidP="002742E1">
      <w:pPr>
        <w:jc w:val="center"/>
        <w:rPr>
          <w:rFonts w:eastAsia="Times New Roman"/>
        </w:rPr>
      </w:pPr>
      <w:r>
        <w:rPr>
          <w:noProof/>
        </w:rPr>
        <w:drawing>
          <wp:inline distT="0" distB="0" distL="0" distR="0" wp14:anchorId="0F75A3FC" wp14:editId="2F20C45A">
            <wp:extent cx="4635500" cy="2377440"/>
            <wp:effectExtent l="0" t="0" r="12700" b="3810"/>
            <wp:docPr id="195089129" name="Chart 1">
              <a:extLst xmlns:a="http://schemas.openxmlformats.org/drawingml/2006/main">
                <a:ext uri="{FF2B5EF4-FFF2-40B4-BE49-F238E27FC236}">
                  <a16:creationId xmlns:a16="http://schemas.microsoft.com/office/drawing/2014/main" id="{9F482E9E-B412-4565-9DE6-7B84DB066990}"/>
                </a:ext>
                <a:ext uri="{147F2762-F138-4A5C-976F-8EAC2B608ADB}">
                  <a16:predDERef xmlns:a16="http://schemas.microsoft.com/office/drawing/2014/main" pred="{A61BC69E-D054-4CB1-B5E1-0DA4D4344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F81D8E" w14:textId="77777777" w:rsidR="005176F3" w:rsidRDefault="005176F3" w:rsidP="00D577AA">
      <w:pPr>
        <w:spacing w:after="0" w:line="240" w:lineRule="auto"/>
        <w:rPr>
          <w:rFonts w:eastAsia="Times New Roman"/>
          <w:b/>
          <w:bCs/>
        </w:rPr>
      </w:pPr>
    </w:p>
    <w:p w14:paraId="6DA48A39" w14:textId="604897E5" w:rsidR="00D577AA" w:rsidRPr="00D577AA" w:rsidRDefault="00D577AA" w:rsidP="00D577AA">
      <w:pPr>
        <w:spacing w:after="0" w:line="240" w:lineRule="auto"/>
        <w:rPr>
          <w:rFonts w:eastAsia="Times New Roman"/>
          <w:b/>
          <w:bCs/>
        </w:rPr>
      </w:pPr>
      <w:r w:rsidRPr="00D577AA">
        <w:rPr>
          <w:rFonts w:eastAsia="Times New Roman"/>
          <w:b/>
          <w:bCs/>
        </w:rPr>
        <w:t>Tariffs</w:t>
      </w:r>
    </w:p>
    <w:p w14:paraId="3B188972" w14:textId="6BCEB1F8" w:rsidR="00D869CC" w:rsidRDefault="00A42BDE" w:rsidP="00D577AA">
      <w:pPr>
        <w:spacing w:after="0" w:line="240" w:lineRule="auto"/>
        <w:rPr>
          <w:rFonts w:eastAsia="Times New Roman"/>
        </w:rPr>
      </w:pPr>
      <w:r>
        <w:rPr>
          <w:rFonts w:eastAsia="Times New Roman"/>
        </w:rPr>
        <w:t>Tariffs could have a significant impact on insurers in terms of increased cost of auto parts or building supplies that were not priced into policies</w:t>
      </w:r>
      <w:r w:rsidR="00D577AA">
        <w:rPr>
          <w:rFonts w:eastAsia="Times New Roman"/>
        </w:rPr>
        <w:t xml:space="preserve"> at the</w:t>
      </w:r>
      <w:r w:rsidR="006910BA">
        <w:rPr>
          <w:rFonts w:eastAsia="Times New Roman"/>
        </w:rPr>
        <w:t>ir</w:t>
      </w:r>
      <w:r w:rsidR="00D577AA">
        <w:rPr>
          <w:rFonts w:eastAsia="Times New Roman"/>
        </w:rPr>
        <w:t xml:space="preserve"> inception </w:t>
      </w:r>
      <w:r w:rsidR="00C07FAC">
        <w:rPr>
          <w:rFonts w:eastAsia="Times New Roman"/>
        </w:rPr>
        <w:t xml:space="preserve">. </w:t>
      </w:r>
      <w:r w:rsidR="00C124B1">
        <w:rPr>
          <w:rFonts w:eastAsia="Times New Roman"/>
        </w:rPr>
        <w:t xml:space="preserve">Significant increases in Tariff rates and volatility in Tariff policy </w:t>
      </w:r>
      <w:r w:rsidR="00931AF6">
        <w:rPr>
          <w:rFonts w:eastAsia="Times New Roman"/>
        </w:rPr>
        <w:t>were</w:t>
      </w:r>
      <w:r w:rsidR="00C124B1">
        <w:rPr>
          <w:rFonts w:eastAsia="Times New Roman"/>
        </w:rPr>
        <w:t xml:space="preserve"> evident in 2025 but appears to have tempered in 2026.</w:t>
      </w:r>
    </w:p>
    <w:p w14:paraId="3062B096" w14:textId="77777777" w:rsidR="00C124B1" w:rsidRDefault="00C124B1" w:rsidP="00D577AA">
      <w:pPr>
        <w:spacing w:after="0" w:line="240" w:lineRule="auto"/>
        <w:rPr>
          <w:rFonts w:eastAsia="Times New Roman"/>
        </w:rPr>
      </w:pPr>
    </w:p>
    <w:p w14:paraId="4A7B2B71" w14:textId="792EDD0D" w:rsidR="00D577AA" w:rsidRDefault="00CD541C" w:rsidP="002742E1">
      <w:pPr>
        <w:jc w:val="center"/>
        <w:rPr>
          <w:rFonts w:eastAsia="Times New Roman"/>
        </w:rPr>
      </w:pPr>
      <w:r>
        <w:rPr>
          <w:noProof/>
        </w:rPr>
        <w:drawing>
          <wp:inline distT="0" distB="0" distL="0" distR="0" wp14:anchorId="15E32E97" wp14:editId="477F1BDD">
            <wp:extent cx="5657850" cy="2938464"/>
            <wp:effectExtent l="0" t="0" r="0" b="14605"/>
            <wp:docPr id="2136490095" name="Chart 1">
              <a:extLst xmlns:a="http://schemas.openxmlformats.org/drawingml/2006/main">
                <a:ext uri="{FF2B5EF4-FFF2-40B4-BE49-F238E27FC236}">
                  <a16:creationId xmlns:a16="http://schemas.microsoft.com/office/drawing/2014/main" id="{AEF40737-6873-6765-E084-65AF8044F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0F8D24F" w14:textId="01E35A56" w:rsidR="007E468F" w:rsidRDefault="007E468F">
      <w:pPr>
        <w:jc w:val="left"/>
        <w:rPr>
          <w:rFonts w:eastAsia="Times New Roman"/>
        </w:rPr>
      </w:pPr>
      <w:r>
        <w:rPr>
          <w:rFonts w:eastAsia="Times New Roman"/>
        </w:rPr>
        <w:br w:type="page"/>
      </w:r>
    </w:p>
    <w:p w14:paraId="5E86F57F" w14:textId="75798BCE" w:rsidR="007E468F" w:rsidRDefault="007E468F" w:rsidP="00DC43AD">
      <w:pPr>
        <w:spacing w:after="0" w:line="240" w:lineRule="auto"/>
        <w:rPr>
          <w:rFonts w:eastAsia="Times New Roman"/>
          <w:color w:val="0070C0"/>
          <w:sz w:val="28"/>
          <w:szCs w:val="28"/>
        </w:rPr>
      </w:pPr>
      <w:r w:rsidRPr="007E468F">
        <w:rPr>
          <w:rFonts w:eastAsia="Times New Roman"/>
          <w:color w:val="0070C0"/>
          <w:sz w:val="28"/>
          <w:szCs w:val="28"/>
        </w:rPr>
        <w:t>The US Dollar and Foreign Currency Exchange Rates</w:t>
      </w:r>
    </w:p>
    <w:p w14:paraId="42D49581" w14:textId="77777777" w:rsidR="00605CFC" w:rsidRDefault="00605CFC" w:rsidP="00DC43AD">
      <w:pPr>
        <w:spacing w:after="0" w:line="240" w:lineRule="auto"/>
        <w:rPr>
          <w:rFonts w:eastAsia="Times New Roman"/>
          <w:color w:val="0070C0"/>
          <w:sz w:val="28"/>
          <w:szCs w:val="28"/>
        </w:rPr>
      </w:pPr>
    </w:p>
    <w:p w14:paraId="5CAB1309" w14:textId="1AF3061E" w:rsidR="007E468F" w:rsidRDefault="007E468F" w:rsidP="00DC43AD">
      <w:pPr>
        <w:spacing w:after="0" w:line="240" w:lineRule="auto"/>
        <w:rPr>
          <w:rFonts w:eastAsia="Times New Roman"/>
          <w:color w:val="000000" w:themeColor="text1"/>
        </w:rPr>
      </w:pPr>
      <w:r>
        <w:rPr>
          <w:rFonts w:eastAsia="Times New Roman"/>
          <w:color w:val="000000" w:themeColor="text1"/>
        </w:rPr>
        <w:t>T</w:t>
      </w:r>
      <w:r w:rsidRPr="007E468F">
        <w:rPr>
          <w:rFonts w:eastAsia="Times New Roman"/>
          <w:color w:val="000000" w:themeColor="text1"/>
        </w:rPr>
        <w:t xml:space="preserve">he value of the U.S. dollar declined about 4.5% in 2025, </w:t>
      </w:r>
      <w:r>
        <w:rPr>
          <w:rFonts w:eastAsia="Times New Roman"/>
          <w:color w:val="000000" w:themeColor="text1"/>
        </w:rPr>
        <w:t>which is</w:t>
      </w:r>
      <w:r w:rsidRPr="007E468F">
        <w:rPr>
          <w:rFonts w:eastAsia="Times New Roman"/>
          <w:color w:val="000000" w:themeColor="text1"/>
        </w:rPr>
        <w:t xml:space="preserve"> the fourth largest decline since 2006 using the FRED Nominal Broad U.S. Dollar Index</w:t>
      </w:r>
      <w:r w:rsidR="00C07FAC" w:rsidRPr="007E468F">
        <w:rPr>
          <w:rFonts w:eastAsia="Times New Roman"/>
          <w:color w:val="000000" w:themeColor="text1"/>
        </w:rPr>
        <w:t xml:space="preserve">. </w:t>
      </w:r>
      <w:r w:rsidR="00E13906">
        <w:rPr>
          <w:rFonts w:eastAsia="Times New Roman"/>
          <w:color w:val="000000" w:themeColor="text1"/>
        </w:rPr>
        <w:t xml:space="preserve"> </w:t>
      </w:r>
      <w:r w:rsidR="00FE2E8B" w:rsidRPr="00FE2E8B">
        <w:rPr>
          <w:rFonts w:eastAsia="Times New Roman"/>
          <w:color w:val="000000" w:themeColor="text1"/>
        </w:rPr>
        <w:t xml:space="preserve">U.S. imports of foreign goods and services become relatively </w:t>
      </w:r>
      <w:r w:rsidR="00A205D8">
        <w:rPr>
          <w:rFonts w:eastAsia="Times New Roman"/>
          <w:color w:val="000000" w:themeColor="text1"/>
        </w:rPr>
        <w:t>more expensive</w:t>
      </w:r>
      <w:r w:rsidR="00A205D8" w:rsidRPr="00FE2E8B">
        <w:rPr>
          <w:rFonts w:eastAsia="Times New Roman"/>
          <w:color w:val="000000" w:themeColor="text1"/>
        </w:rPr>
        <w:t xml:space="preserve"> </w:t>
      </w:r>
      <w:r w:rsidR="00FE2E8B" w:rsidRPr="00FE2E8B">
        <w:rPr>
          <w:rFonts w:eastAsia="Times New Roman"/>
          <w:color w:val="000000" w:themeColor="text1"/>
        </w:rPr>
        <w:t xml:space="preserve">in the U.S </w:t>
      </w:r>
      <w:r w:rsidR="00FE2E8B">
        <w:rPr>
          <w:rFonts w:eastAsia="Times New Roman"/>
          <w:color w:val="000000" w:themeColor="text1"/>
        </w:rPr>
        <w:t>w</w:t>
      </w:r>
      <w:r w:rsidR="00FE2E8B" w:rsidRPr="00FE2E8B">
        <w:rPr>
          <w:rFonts w:eastAsia="Times New Roman"/>
          <w:color w:val="000000" w:themeColor="text1"/>
        </w:rPr>
        <w:t xml:space="preserve">hen the U.S. dollar </w:t>
      </w:r>
      <w:r w:rsidR="00A205D8">
        <w:rPr>
          <w:rFonts w:eastAsia="Times New Roman"/>
          <w:color w:val="000000" w:themeColor="text1"/>
        </w:rPr>
        <w:t>de</w:t>
      </w:r>
      <w:r w:rsidR="00A205D8" w:rsidRPr="00FE2E8B">
        <w:rPr>
          <w:rFonts w:eastAsia="Times New Roman"/>
          <w:color w:val="000000" w:themeColor="text1"/>
        </w:rPr>
        <w:t>preciates</w:t>
      </w:r>
      <w:r w:rsidR="00C07FAC" w:rsidRPr="00FE2E8B">
        <w:rPr>
          <w:rFonts w:eastAsia="Times New Roman"/>
          <w:color w:val="000000" w:themeColor="text1"/>
        </w:rPr>
        <w:t xml:space="preserve">. </w:t>
      </w:r>
      <w:r w:rsidR="00FE2E8B" w:rsidRPr="00FE2E8B">
        <w:rPr>
          <w:rFonts w:eastAsia="Times New Roman"/>
          <w:color w:val="000000" w:themeColor="text1"/>
        </w:rPr>
        <w:t>Th</w:t>
      </w:r>
      <w:r w:rsidR="00FE2E8B">
        <w:rPr>
          <w:rFonts w:eastAsia="Times New Roman"/>
          <w:color w:val="000000" w:themeColor="text1"/>
        </w:rPr>
        <w:t>is</w:t>
      </w:r>
      <w:r w:rsidR="00FE2E8B" w:rsidRPr="00FE2E8B">
        <w:rPr>
          <w:rFonts w:eastAsia="Times New Roman"/>
          <w:color w:val="000000" w:themeColor="text1"/>
        </w:rPr>
        <w:t xml:space="preserve"> results in </w:t>
      </w:r>
      <w:r w:rsidR="0090557A">
        <w:rPr>
          <w:rFonts w:eastAsia="Times New Roman"/>
          <w:color w:val="000000" w:themeColor="text1"/>
        </w:rPr>
        <w:t>less</w:t>
      </w:r>
      <w:r w:rsidR="00FE2E8B" w:rsidRPr="00FE2E8B">
        <w:rPr>
          <w:rFonts w:eastAsia="Times New Roman"/>
          <w:color w:val="000000" w:themeColor="text1"/>
        </w:rPr>
        <w:t xml:space="preserve"> price competition or pressure for lower prices</w:t>
      </w:r>
      <w:r w:rsidR="008F3F04">
        <w:rPr>
          <w:rFonts w:eastAsia="Times New Roman"/>
          <w:color w:val="000000" w:themeColor="text1"/>
        </w:rPr>
        <w:t xml:space="preserve">, leading to </w:t>
      </w:r>
      <w:r w:rsidR="00130B58">
        <w:rPr>
          <w:rFonts w:eastAsia="Times New Roman"/>
          <w:color w:val="000000" w:themeColor="text1"/>
        </w:rPr>
        <w:t>increased</w:t>
      </w:r>
      <w:r w:rsidR="00FE2E8B" w:rsidRPr="00FE2E8B">
        <w:rPr>
          <w:rFonts w:eastAsia="Times New Roman"/>
          <w:color w:val="000000" w:themeColor="text1"/>
        </w:rPr>
        <w:t xml:space="preserve"> inflation for goods purchased in the U.S. including </w:t>
      </w:r>
      <w:r w:rsidR="00FE2E8B">
        <w:rPr>
          <w:rFonts w:eastAsia="Times New Roman"/>
          <w:color w:val="000000" w:themeColor="text1"/>
        </w:rPr>
        <w:t xml:space="preserve">some </w:t>
      </w:r>
      <w:r w:rsidR="00FE2E8B" w:rsidRPr="00FE2E8B">
        <w:rPr>
          <w:rFonts w:eastAsia="Times New Roman"/>
          <w:color w:val="000000" w:themeColor="text1"/>
        </w:rPr>
        <w:t xml:space="preserve">PC claim </w:t>
      </w:r>
      <w:r w:rsidR="00FE2E8B">
        <w:rPr>
          <w:rFonts w:eastAsia="Times New Roman"/>
          <w:color w:val="000000" w:themeColor="text1"/>
        </w:rPr>
        <w:t>cost</w:t>
      </w:r>
      <w:r w:rsidR="00253870">
        <w:rPr>
          <w:rFonts w:eastAsia="Times New Roman"/>
          <w:color w:val="000000" w:themeColor="text1"/>
        </w:rPr>
        <w:t>s</w:t>
      </w:r>
      <w:r w:rsidR="00FE2E8B">
        <w:rPr>
          <w:rFonts w:eastAsia="Times New Roman"/>
          <w:color w:val="000000" w:themeColor="text1"/>
        </w:rPr>
        <w:t xml:space="preserve"> for auto parts as an example</w:t>
      </w:r>
      <w:r w:rsidR="00C07FAC" w:rsidRPr="00FE2E8B">
        <w:rPr>
          <w:rFonts w:eastAsia="Times New Roman"/>
          <w:color w:val="000000" w:themeColor="text1"/>
        </w:rPr>
        <w:t>.</w:t>
      </w:r>
      <w:r w:rsidR="00E13906">
        <w:rPr>
          <w:rFonts w:eastAsia="Times New Roman"/>
          <w:color w:val="000000" w:themeColor="text1"/>
        </w:rPr>
        <w:t xml:space="preserve"> </w:t>
      </w:r>
      <w:r w:rsidR="00C07FAC">
        <w:rPr>
          <w:rFonts w:eastAsia="Times New Roman"/>
          <w:color w:val="000000" w:themeColor="text1"/>
        </w:rPr>
        <w:t xml:space="preserve"> </w:t>
      </w:r>
      <w:r w:rsidR="00FE2E8B">
        <w:rPr>
          <w:rFonts w:eastAsia="Times New Roman"/>
          <w:color w:val="000000" w:themeColor="text1"/>
        </w:rPr>
        <w:t>I</w:t>
      </w:r>
      <w:r w:rsidR="00FE2E8B" w:rsidRPr="00FE2E8B">
        <w:rPr>
          <w:rFonts w:eastAsia="Times New Roman"/>
          <w:color w:val="000000" w:themeColor="text1"/>
        </w:rPr>
        <w:t xml:space="preserve">nsurers could see higher expenses and </w:t>
      </w:r>
      <w:r w:rsidR="00FE2E8B">
        <w:rPr>
          <w:rFonts w:eastAsia="Times New Roman"/>
          <w:color w:val="000000" w:themeColor="text1"/>
        </w:rPr>
        <w:t xml:space="preserve">pass it along to </w:t>
      </w:r>
      <w:r w:rsidR="00FE2E8B" w:rsidRPr="00FE2E8B">
        <w:rPr>
          <w:rFonts w:eastAsia="Times New Roman"/>
          <w:color w:val="000000" w:themeColor="text1"/>
        </w:rPr>
        <w:t xml:space="preserve">consumers </w:t>
      </w:r>
      <w:r w:rsidR="00FE2E8B">
        <w:rPr>
          <w:rFonts w:eastAsia="Times New Roman"/>
          <w:color w:val="000000" w:themeColor="text1"/>
        </w:rPr>
        <w:t>through increased</w:t>
      </w:r>
      <w:r w:rsidR="00FE2E8B" w:rsidRPr="00FE2E8B">
        <w:rPr>
          <w:rFonts w:eastAsia="Times New Roman"/>
          <w:color w:val="000000" w:themeColor="text1"/>
        </w:rPr>
        <w:t xml:space="preserve"> premiums </w:t>
      </w:r>
      <w:r w:rsidR="00FE2E8B">
        <w:rPr>
          <w:rFonts w:eastAsia="Times New Roman"/>
          <w:color w:val="000000" w:themeColor="text1"/>
        </w:rPr>
        <w:t>w</w:t>
      </w:r>
      <w:r w:rsidR="00FE2E8B" w:rsidRPr="00FE2E8B">
        <w:rPr>
          <w:rFonts w:eastAsia="Times New Roman"/>
          <w:color w:val="000000" w:themeColor="text1"/>
        </w:rPr>
        <w:t>hen the U.S. dollar declines.</w:t>
      </w:r>
    </w:p>
    <w:p w14:paraId="50E56F88" w14:textId="77777777" w:rsidR="00500348" w:rsidRDefault="00500348" w:rsidP="00DC43AD">
      <w:pPr>
        <w:spacing w:after="0" w:line="240" w:lineRule="auto"/>
        <w:rPr>
          <w:rFonts w:eastAsia="Times New Roman"/>
          <w:color w:val="000000" w:themeColor="text1"/>
        </w:rPr>
      </w:pPr>
    </w:p>
    <w:p w14:paraId="0351F48E" w14:textId="68572032" w:rsidR="00500348" w:rsidRDefault="002742E1">
      <w:pPr>
        <w:jc w:val="left"/>
        <w:rPr>
          <w:rFonts w:eastAsia="Times New Roman"/>
          <w:color w:val="000000" w:themeColor="text1"/>
        </w:rPr>
      </w:pPr>
      <w:r>
        <w:rPr>
          <w:noProof/>
        </w:rPr>
        <w:drawing>
          <wp:inline distT="0" distB="0" distL="0" distR="0" wp14:anchorId="23BC1A13" wp14:editId="016ABAEF">
            <wp:extent cx="5943600" cy="2381250"/>
            <wp:effectExtent l="0" t="0" r="0" b="0"/>
            <wp:docPr id="1165486515" name="Picture 1">
              <a:extLst xmlns:a="http://schemas.openxmlformats.org/drawingml/2006/main">
                <a:ext uri="{FF2B5EF4-FFF2-40B4-BE49-F238E27FC236}">
                  <a16:creationId xmlns:a16="http://schemas.microsoft.com/office/drawing/2014/main" id="{27F93C8F-A16D-98A4-9DAF-8C7B7F2B9D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FF2B5EF4-FFF2-40B4-BE49-F238E27FC236}">
                          <a16:creationId xmlns:a16="http://schemas.microsoft.com/office/drawing/2014/main" id="{27F93C8F-A16D-98A4-9DAF-8C7B7F2B9D8F}"/>
                        </a:ext>
                      </a:extLst>
                    </pic:cNvPr>
                    <pic:cNvPicPr>
                      <a:picLocks noChangeAspect="1"/>
                    </pic:cNvPicPr>
                  </pic:nvPicPr>
                  <pic:blipFill>
                    <a:blip r:embed="rId20"/>
                    <a:stretch>
                      <a:fillRect/>
                    </a:stretch>
                  </pic:blipFill>
                  <pic:spPr>
                    <a:xfrm>
                      <a:off x="0" y="0"/>
                      <a:ext cx="5943600" cy="2381250"/>
                    </a:xfrm>
                    <a:prstGeom prst="rect">
                      <a:avLst/>
                    </a:prstGeom>
                  </pic:spPr>
                </pic:pic>
              </a:graphicData>
            </a:graphic>
          </wp:inline>
        </w:drawing>
      </w:r>
    </w:p>
    <w:p w14:paraId="759DC66A" w14:textId="5365CC0D" w:rsidR="00FE2E8B" w:rsidRDefault="00FE2E8B">
      <w:pPr>
        <w:jc w:val="left"/>
        <w:rPr>
          <w:rFonts w:eastAsia="Times New Roman"/>
          <w:color w:val="000000" w:themeColor="text1"/>
        </w:rPr>
      </w:pPr>
      <w:r>
        <w:rPr>
          <w:rFonts w:eastAsia="Times New Roman"/>
          <w:color w:val="000000" w:themeColor="text1"/>
        </w:rPr>
        <w:br w:type="page"/>
      </w:r>
    </w:p>
    <w:p w14:paraId="360CA6BF" w14:textId="0FA0755F" w:rsidR="00D031C6" w:rsidRDefault="00D031C6" w:rsidP="00D031C6">
      <w:pPr>
        <w:pStyle w:val="Heading1"/>
      </w:pPr>
      <w:bookmarkStart w:id="7" w:name="_Toc232602957"/>
      <w:r>
        <w:t>Interconnectedness Risk</w:t>
      </w:r>
      <w:r w:rsidR="002D2B6A">
        <w:t>: Summary</w:t>
      </w:r>
      <w:bookmarkEnd w:id="7"/>
    </w:p>
    <w:p w14:paraId="1E65BBFD" w14:textId="7A73EA54" w:rsidR="00D031C6" w:rsidRDefault="00E831FE" w:rsidP="008C29C4">
      <w:pPr>
        <w:spacing w:after="0" w:line="240" w:lineRule="auto"/>
      </w:pPr>
      <w:r>
        <w:t>T</w:t>
      </w:r>
      <w:r w:rsidR="00D031C6">
        <w:t xml:space="preserve">he rising levels of interconnection between the U.S. insurance industry and other financial </w:t>
      </w:r>
      <w:r>
        <w:t>sectors</w:t>
      </w:r>
      <w:r w:rsidR="00D031C6">
        <w:t xml:space="preserve"> across the globe (i.e., </w:t>
      </w:r>
      <w:r w:rsidR="002701F0">
        <w:t>banking, capital markets</w:t>
      </w:r>
      <w:r w:rsidR="00D031C6">
        <w:t>, etc.)</w:t>
      </w:r>
      <w:r w:rsidR="00C124B1">
        <w:t xml:space="preserve"> drove the Moderate-low assessment</w:t>
      </w:r>
      <w:r w:rsidR="00735633">
        <w:t xml:space="preserve">. </w:t>
      </w:r>
      <w:r w:rsidR="00DD5FE3">
        <w:t xml:space="preserve"> </w:t>
      </w:r>
      <w:r w:rsidR="00DD78A1">
        <w:t>Additionally,</w:t>
      </w:r>
      <w:r w:rsidR="00DD5FE3">
        <w:t xml:space="preserve"> </w:t>
      </w:r>
      <w:r w:rsidR="005E7F37">
        <w:t>increasing levels</w:t>
      </w:r>
      <w:r w:rsidR="00BC0CC1">
        <w:t xml:space="preserve"> of </w:t>
      </w:r>
      <w:r w:rsidR="00DD5FE3">
        <w:t xml:space="preserve">cross border </w:t>
      </w:r>
      <w:r w:rsidR="00DD78A1">
        <w:t xml:space="preserve">reinsurance </w:t>
      </w:r>
      <w:r w:rsidR="00BC0CC1">
        <w:t xml:space="preserve">activity by private equity owned insurers </w:t>
      </w:r>
      <w:r w:rsidR="00335159">
        <w:t>and</w:t>
      </w:r>
      <w:r w:rsidR="00C60692">
        <w:t xml:space="preserve"> investment management of insurers investments</w:t>
      </w:r>
      <w:r w:rsidR="00690CEB">
        <w:t xml:space="preserve"> by</w:t>
      </w:r>
      <w:r w:rsidR="00335159">
        <w:t xml:space="preserve"> affiliated asset managers pose another point of interconnectedness.</w:t>
      </w:r>
    </w:p>
    <w:p w14:paraId="4B02CE54" w14:textId="77777777" w:rsidR="009F0C17" w:rsidRDefault="009F0C17" w:rsidP="008C29C4">
      <w:pPr>
        <w:spacing w:after="0" w:line="240" w:lineRule="auto"/>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6"/>
        <w:gridCol w:w="4664"/>
      </w:tblGrid>
      <w:tr w:rsidR="00D031C6" w14:paraId="6FE67151" w14:textId="77777777" w:rsidTr="00735588">
        <w:trPr>
          <w:trHeight w:val="331"/>
          <w:jc w:val="center"/>
        </w:trPr>
        <w:tc>
          <w:tcPr>
            <w:tcW w:w="4666" w:type="dxa"/>
            <w:shd w:val="clear" w:color="auto" w:fill="FFFF00"/>
          </w:tcPr>
          <w:p w14:paraId="17A4B9A3" w14:textId="77777777" w:rsidR="00D031C6" w:rsidRDefault="00D031C6">
            <w:pPr>
              <w:jc w:val="center"/>
            </w:pPr>
            <w:r>
              <w:t xml:space="preserve">Assessment Level: </w:t>
            </w:r>
            <w:r w:rsidRPr="001067D1">
              <w:rPr>
                <w:b/>
                <w:bCs/>
              </w:rPr>
              <w:t>Moderate-Low</w:t>
            </w:r>
          </w:p>
          <w:p w14:paraId="3FE9A124" w14:textId="77777777" w:rsidR="00402E94" w:rsidRDefault="00402E94">
            <w:pPr>
              <w:jc w:val="center"/>
            </w:pPr>
          </w:p>
        </w:tc>
        <w:tc>
          <w:tcPr>
            <w:tcW w:w="4664" w:type="dxa"/>
          </w:tcPr>
          <w:p w14:paraId="00D7BFD1" w14:textId="1DCCC35A" w:rsidR="00D031C6" w:rsidRDefault="00F02426">
            <w:pPr>
              <w:jc w:val="center"/>
            </w:pPr>
            <w:r w:rsidRPr="001002A0">
              <w:rPr>
                <w:rStyle w:val="Heading2Char"/>
                <w:noProof/>
              </w:rPr>
              <mc:AlternateContent>
                <mc:Choice Requires="wps">
                  <w:drawing>
                    <wp:anchor distT="0" distB="0" distL="114300" distR="114300" simplePos="0" relativeHeight="251658246" behindDoc="0" locked="0" layoutInCell="1" allowOverlap="1" wp14:anchorId="19500DD7" wp14:editId="465A83EE">
                      <wp:simplePos x="0" y="0"/>
                      <wp:positionH relativeFrom="column">
                        <wp:posOffset>2191992</wp:posOffset>
                      </wp:positionH>
                      <wp:positionV relativeFrom="paragraph">
                        <wp:posOffset>-44781</wp:posOffset>
                      </wp:positionV>
                      <wp:extent cx="255433" cy="410541"/>
                      <wp:effectExtent l="76200" t="0" r="30480" b="0"/>
                      <wp:wrapNone/>
                      <wp:docPr id="26" name="Arrow: Up 26"/>
                      <wp:cNvGraphicFramePr/>
                      <a:graphic xmlns:a="http://schemas.openxmlformats.org/drawingml/2006/main">
                        <a:graphicData uri="http://schemas.microsoft.com/office/word/2010/wordprocessingShape">
                          <wps:wsp>
                            <wps:cNvSpPr/>
                            <wps:spPr>
                              <a:xfrm rot="2556102">
                                <a:off x="0" y="0"/>
                                <a:ext cx="255433" cy="410541"/>
                              </a:xfrm>
                              <a:prstGeom prst="upArrow">
                                <a:avLst/>
                              </a:prstGeom>
                              <a:solidFill>
                                <a:schemeClr val="accent1"/>
                              </a:solidFill>
                              <a:ln>
                                <a:noFill/>
                              </a:ln>
                              <a:effectLst>
                                <a:softEdge rad="0"/>
                              </a:effectLst>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3F6CFFA9">
                    <v:shape id="Arrow: Up 26" style="position:absolute;margin-left:172.6pt;margin-top:-3.55pt;width:20.1pt;height:32.35pt;rotation:2791945fd;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d="f" type="#_x0000_t68" adj="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" w14:anchorId="64BDF616"/>
                  </w:pict>
                </mc:Fallback>
              </mc:AlternateContent>
            </w:r>
            <w:r w:rsidR="00D031C6">
              <w:t xml:space="preserve">Trend: </w:t>
            </w:r>
            <w:r w:rsidR="002F6FA0">
              <w:t>Increasing</w:t>
            </w:r>
          </w:p>
        </w:tc>
      </w:tr>
    </w:tbl>
    <w:p w14:paraId="04B76055" w14:textId="77777777" w:rsidR="00C124B1" w:rsidRDefault="00C124B1" w:rsidP="002F21AD">
      <w:pPr>
        <w:spacing w:after="0" w:line="240" w:lineRule="auto"/>
      </w:pPr>
    </w:p>
    <w:p w14:paraId="32846351" w14:textId="0D993EB1" w:rsidR="00C124B1" w:rsidRDefault="00C124B1" w:rsidP="002F21AD">
      <w:pPr>
        <w:spacing w:after="0" w:line="240" w:lineRule="auto"/>
      </w:pPr>
      <w:r>
        <w:t>When</w:t>
      </w:r>
      <w:r w:rsidR="00D031C6">
        <w:t xml:space="preserve"> evaluating interconnectedness, state insurance regulators are mindful that risk can accumulate across activities and thus, </w:t>
      </w:r>
      <w:r>
        <w:t>typically focus</w:t>
      </w:r>
      <w:r w:rsidR="00D031C6">
        <w:t xml:space="preserve"> on </w:t>
      </w:r>
      <w:r w:rsidR="000D6FD3">
        <w:t xml:space="preserve">significant </w:t>
      </w:r>
      <w:r w:rsidR="00D031C6">
        <w:t>counterpart</w:t>
      </w:r>
      <w:r>
        <w:t>y exposure</w:t>
      </w:r>
      <w:r w:rsidR="00D031C6">
        <w:t>.</w:t>
      </w:r>
    </w:p>
    <w:p w14:paraId="6DAD5BC5" w14:textId="77777777" w:rsidR="00C124B1" w:rsidRDefault="00C124B1" w:rsidP="002F21AD">
      <w:pPr>
        <w:spacing w:after="0" w:line="240" w:lineRule="auto"/>
      </w:pPr>
    </w:p>
    <w:p w14:paraId="725991C5" w14:textId="1BE2FA69" w:rsidR="00D031C6" w:rsidRPr="00D45CD6" w:rsidRDefault="003957AF" w:rsidP="002F21AD">
      <w:pPr>
        <w:spacing w:after="0" w:line="240" w:lineRule="auto"/>
      </w:pPr>
      <w:r>
        <w:t>Highlights</w:t>
      </w:r>
      <w:r w:rsidR="008078F4">
        <w:t xml:space="preserve"> include:</w:t>
      </w:r>
    </w:p>
    <w:p w14:paraId="2F83F870" w14:textId="77777777" w:rsidR="002F21AD" w:rsidRDefault="002F21AD" w:rsidP="002F21AD">
      <w:pPr>
        <w:spacing w:after="0" w:line="240" w:lineRule="auto"/>
        <w:ind w:left="360"/>
      </w:pPr>
    </w:p>
    <w:p w14:paraId="3AE0C154" w14:textId="2CBFA4A9" w:rsidR="002F21AD" w:rsidRPr="004A5FB0" w:rsidRDefault="004A5FB0" w:rsidP="002F21AD">
      <w:pPr>
        <w:spacing w:after="0" w:line="240" w:lineRule="auto"/>
        <w:ind w:left="360"/>
        <w:rPr>
          <w:b/>
          <w:bCs/>
        </w:rPr>
      </w:pPr>
      <w:r w:rsidRPr="004A5FB0">
        <w:rPr>
          <w:b/>
          <w:bCs/>
        </w:rPr>
        <w:t>Financial Institution Exposure</w:t>
      </w:r>
    </w:p>
    <w:p w14:paraId="37794E27" w14:textId="3629C486" w:rsidR="00851E34" w:rsidRDefault="007045F4" w:rsidP="002F21AD">
      <w:pPr>
        <w:spacing w:after="0" w:line="240" w:lineRule="auto"/>
        <w:ind w:left="360"/>
      </w:pPr>
      <w:r w:rsidRPr="007045F4">
        <w:t xml:space="preserve">Investments in financial institutions, although </w:t>
      </w:r>
      <w:r w:rsidR="00851E34" w:rsidRPr="007045F4">
        <w:t>significant,</w:t>
      </w:r>
      <w:r w:rsidRPr="007045F4">
        <w:t xml:space="preserve"> </w:t>
      </w:r>
      <w:r w:rsidR="00931AF6" w:rsidRPr="007045F4">
        <w:t>have</w:t>
      </w:r>
      <w:r w:rsidRPr="007045F4">
        <w:t xml:space="preserve"> been </w:t>
      </w:r>
      <w:r w:rsidR="00851E34" w:rsidRPr="007045F4">
        <w:t>decreasing</w:t>
      </w:r>
      <w:r w:rsidRPr="007045F4">
        <w:t xml:space="preserve"> slightly</w:t>
      </w:r>
      <w:r w:rsidR="00C07FAC" w:rsidRPr="007045F4">
        <w:t>.</w:t>
      </w:r>
      <w:r w:rsidR="00C07FAC">
        <w:t xml:space="preserve"> </w:t>
      </w:r>
      <w:r w:rsidR="00B7307F">
        <w:t xml:space="preserve"> </w:t>
      </w:r>
      <w:r w:rsidR="00102241">
        <w:t xml:space="preserve">Insurer investments in financial institutions (i.e., banks, non-affiliated insurers, etc.) within the stock and bond classes remained relatively stable from </w:t>
      </w:r>
      <w:r w:rsidR="00682B35">
        <w:t>2021</w:t>
      </w:r>
      <w:r w:rsidR="00102241">
        <w:t xml:space="preserve"> to 202</w:t>
      </w:r>
      <w:r w:rsidR="00C124B1">
        <w:t>5</w:t>
      </w:r>
      <w:r w:rsidR="00C07FAC">
        <w:t xml:space="preserve">. </w:t>
      </w:r>
      <w:r w:rsidR="00102241">
        <w:t xml:space="preserve">As a percentage of C&amp;IA, insurer investments in financial institutions totaled </w:t>
      </w:r>
      <w:r w:rsidR="00C124B1">
        <w:t>were</w:t>
      </w:r>
      <w:r w:rsidR="001118E4">
        <w:t xml:space="preserve"> 5.</w:t>
      </w:r>
      <w:r w:rsidR="008909B2">
        <w:t>4</w:t>
      </w:r>
      <w:r w:rsidR="001118E4">
        <w:t xml:space="preserve">% </w:t>
      </w:r>
      <w:r w:rsidR="00C124B1">
        <w:t>in 2025</w:t>
      </w:r>
      <w:r w:rsidR="000A1540">
        <w:t>.</w:t>
      </w:r>
    </w:p>
    <w:p w14:paraId="06A7E6F4" w14:textId="77777777" w:rsidR="000A1540" w:rsidRDefault="000A1540" w:rsidP="002F21AD">
      <w:pPr>
        <w:spacing w:after="0" w:line="240" w:lineRule="auto"/>
        <w:ind w:left="360"/>
      </w:pPr>
    </w:p>
    <w:p w14:paraId="7CBD1CB6" w14:textId="7B6513AE" w:rsidR="00824DA9" w:rsidRDefault="00D031C6" w:rsidP="002F21AD">
      <w:pPr>
        <w:spacing w:after="0" w:line="240" w:lineRule="auto"/>
        <w:ind w:left="360"/>
      </w:pPr>
      <w:r>
        <w:t>Derivatives are generally viewed as a risk mitigation tool as evidenced by 96% of derivative activity being held for hedging purposes</w:t>
      </w:r>
      <w:r w:rsidR="00C07FAC">
        <w:t xml:space="preserve">. </w:t>
      </w:r>
      <w:r w:rsidR="00824DA9">
        <w:t>The connection to bank counterparties is the primary risk for this category</w:t>
      </w:r>
      <w:r w:rsidR="00C07FAC">
        <w:t xml:space="preserve">. </w:t>
      </w:r>
      <w:r w:rsidR="00B7307F">
        <w:t xml:space="preserve"> </w:t>
      </w:r>
      <w:r w:rsidR="00824DA9">
        <w:t xml:space="preserve">This is mitigated by the use of </w:t>
      </w:r>
      <w:r w:rsidR="003C676E">
        <w:t xml:space="preserve">well capitalized </w:t>
      </w:r>
      <w:r w:rsidR="00824DA9">
        <w:t>banks</w:t>
      </w:r>
      <w:r w:rsidR="008909B2">
        <w:t xml:space="preserve"> </w:t>
      </w:r>
      <w:r w:rsidR="00946E06">
        <w:t xml:space="preserve">that are </w:t>
      </w:r>
      <w:r w:rsidR="008909B2">
        <w:t>highly</w:t>
      </w:r>
      <w:r w:rsidR="00824DA9">
        <w:t xml:space="preserve"> rated </w:t>
      </w:r>
      <w:r w:rsidR="008909B2">
        <w:t>by rating agencies</w:t>
      </w:r>
      <w:r w:rsidR="00824DA9">
        <w:t>.</w:t>
      </w:r>
    </w:p>
    <w:p w14:paraId="1B9B7E94" w14:textId="77777777" w:rsidR="004A5FB0" w:rsidRDefault="004A5FB0" w:rsidP="002F21AD">
      <w:pPr>
        <w:spacing w:after="0" w:line="240" w:lineRule="auto"/>
        <w:ind w:left="360"/>
      </w:pPr>
    </w:p>
    <w:p w14:paraId="1F6C0563" w14:textId="65D5CBEF" w:rsidR="004A5FB0" w:rsidRPr="003D6D32" w:rsidRDefault="003D6D32" w:rsidP="002F21AD">
      <w:pPr>
        <w:spacing w:after="0" w:line="240" w:lineRule="auto"/>
        <w:ind w:left="360"/>
        <w:rPr>
          <w:b/>
          <w:bCs/>
        </w:rPr>
      </w:pPr>
      <w:r w:rsidRPr="003D6D32">
        <w:rPr>
          <w:b/>
          <w:bCs/>
        </w:rPr>
        <w:t>Derivative Exposure</w:t>
      </w:r>
    </w:p>
    <w:p w14:paraId="713A15B2" w14:textId="6FB0F398" w:rsidR="00D031C6" w:rsidRDefault="00824DA9" w:rsidP="003D6D32">
      <w:pPr>
        <w:spacing w:after="0" w:line="240" w:lineRule="auto"/>
        <w:ind w:left="360"/>
      </w:pPr>
      <w:r>
        <w:t xml:space="preserve">96% of derivatives are held for hedging purposes which is consistent with prior year use of derivatives. Additional risks of derivatives </w:t>
      </w:r>
      <w:r w:rsidR="00833C18">
        <w:t>are</w:t>
      </w:r>
      <w:r>
        <w:t xml:space="preserve"> noted in the Market risk section</w:t>
      </w:r>
      <w:r w:rsidR="00C07FAC">
        <w:t>.</w:t>
      </w:r>
      <w:r w:rsidR="00B7307F">
        <w:t xml:space="preserve"> </w:t>
      </w:r>
      <w:r w:rsidR="00C07FAC">
        <w:t xml:space="preserve"> </w:t>
      </w:r>
      <w:r>
        <w:t xml:space="preserve">Hedges are mostly interest rate </w:t>
      </w:r>
      <w:r w:rsidR="00833C18">
        <w:t>hedges,</w:t>
      </w:r>
      <w:r>
        <w:t xml:space="preserve"> and the majority of market risk is the margin calls that may result if interest rates move against insurers position.</w:t>
      </w:r>
    </w:p>
    <w:p w14:paraId="2D7B3C24" w14:textId="547580A2" w:rsidR="00456F84" w:rsidRDefault="00456F84" w:rsidP="003D6D32">
      <w:pPr>
        <w:spacing w:after="0" w:line="240" w:lineRule="auto"/>
        <w:ind w:left="360"/>
      </w:pPr>
    </w:p>
    <w:p w14:paraId="1B186AC9" w14:textId="3AD4B8AB" w:rsidR="00456F84" w:rsidRDefault="00456F84" w:rsidP="003D6D32">
      <w:pPr>
        <w:spacing w:after="0" w:line="240" w:lineRule="auto"/>
        <w:ind w:left="360"/>
      </w:pPr>
    </w:p>
    <w:p w14:paraId="1FEF177F" w14:textId="40FCACD2" w:rsidR="006307AD" w:rsidRDefault="006307AD">
      <w:pPr>
        <w:jc w:val="left"/>
      </w:pPr>
      <w:r>
        <w:br w:type="page"/>
      </w:r>
    </w:p>
    <w:p w14:paraId="6BD38EB0" w14:textId="73D33AE4" w:rsidR="003D6D32" w:rsidRPr="004F6EC3" w:rsidRDefault="004F6EC3" w:rsidP="003D6D32">
      <w:pPr>
        <w:spacing w:after="0" w:line="240" w:lineRule="auto"/>
        <w:ind w:left="360"/>
        <w:rPr>
          <w:b/>
          <w:bCs/>
        </w:rPr>
      </w:pPr>
      <w:r w:rsidRPr="004F6EC3">
        <w:rPr>
          <w:b/>
          <w:bCs/>
        </w:rPr>
        <w:t>FHLB/FABN Exposure</w:t>
      </w:r>
    </w:p>
    <w:p w14:paraId="5C5F337D" w14:textId="12F986CB" w:rsidR="00D031C6" w:rsidRDefault="00D031C6" w:rsidP="00276B1C">
      <w:pPr>
        <w:spacing w:after="0" w:line="240" w:lineRule="auto"/>
        <w:ind w:left="360"/>
      </w:pPr>
      <w:r>
        <w:t xml:space="preserve">Another connection or transmission channel to the banking system </w:t>
      </w:r>
      <w:r w:rsidR="00E6786D">
        <w:t xml:space="preserve">and capital markets </w:t>
      </w:r>
      <w:r>
        <w:t xml:space="preserve">is FHLB loans </w:t>
      </w:r>
      <w:r w:rsidR="00E6786D">
        <w:t xml:space="preserve">and </w:t>
      </w:r>
      <w:r w:rsidR="00154DDF">
        <w:t>Funding Agreement Backed Notes (</w:t>
      </w:r>
      <w:r>
        <w:t>FABNs</w:t>
      </w:r>
      <w:r w:rsidR="00154DDF">
        <w:t>)</w:t>
      </w:r>
      <w:r w:rsidR="00C07FAC">
        <w:t xml:space="preserve">. </w:t>
      </w:r>
      <w:r w:rsidR="00E13906">
        <w:t xml:space="preserve"> </w:t>
      </w:r>
      <w:r w:rsidR="002812A3" w:rsidRPr="002812A3">
        <w:t xml:space="preserve">The issuance of </w:t>
      </w:r>
      <w:r w:rsidR="008909B2">
        <w:t xml:space="preserve">finding agreements that back </w:t>
      </w:r>
      <w:r w:rsidR="002812A3" w:rsidRPr="002812A3">
        <w:t>FABNs by the Life industry has a clear connection to the fixed income capital markets</w:t>
      </w:r>
      <w:r w:rsidR="00C07FAC" w:rsidRPr="002812A3">
        <w:t>.</w:t>
      </w:r>
      <w:r w:rsidR="00E13906">
        <w:t xml:space="preserve"> </w:t>
      </w:r>
      <w:r w:rsidR="00C07FAC" w:rsidRPr="002812A3">
        <w:t xml:space="preserve"> </w:t>
      </w:r>
      <w:r w:rsidR="002812A3" w:rsidRPr="002812A3">
        <w:t>That connection has increased as both FHLB and FABNs grew at a significant pace over the past few years</w:t>
      </w:r>
      <w:r w:rsidR="00C07FAC" w:rsidRPr="002812A3">
        <w:t>.</w:t>
      </w:r>
      <w:r w:rsidR="00E13906">
        <w:t xml:space="preserve"> </w:t>
      </w:r>
      <w:r w:rsidR="00C07FAC" w:rsidRPr="002812A3">
        <w:t xml:space="preserve"> </w:t>
      </w:r>
      <w:r w:rsidR="002812A3" w:rsidRPr="002812A3">
        <w:t xml:space="preserve">This exposure also represents significant operating leverage in </w:t>
      </w:r>
      <w:r w:rsidR="00D44CD7" w:rsidRPr="002812A3">
        <w:t>non-traditional</w:t>
      </w:r>
      <w:r w:rsidR="002812A3" w:rsidRPr="002812A3">
        <w:t xml:space="preserve"> insurance products for the industry, which may also have liquidity implications</w:t>
      </w:r>
      <w:r w:rsidR="00C07FAC" w:rsidRPr="00F730DA">
        <w:t>.</w:t>
      </w:r>
      <w:r w:rsidR="00C07FAC">
        <w:t xml:space="preserve"> </w:t>
      </w:r>
      <w:r w:rsidR="009305E9">
        <w:t xml:space="preserve"> </w:t>
      </w:r>
      <w:r>
        <w:t>At year-end 202</w:t>
      </w:r>
      <w:r w:rsidR="002878A0">
        <w:t>5</w:t>
      </w:r>
      <w:r>
        <w:t xml:space="preserve">, FABN </w:t>
      </w:r>
      <w:r w:rsidR="008909B2">
        <w:t>exposure</w:t>
      </w:r>
      <w:r w:rsidR="00AF63C0">
        <w:t xml:space="preserve"> </w:t>
      </w:r>
      <w:r w:rsidR="007F0AFD">
        <w:t xml:space="preserve">is approximately </w:t>
      </w:r>
      <w:r w:rsidR="008909B2">
        <w:t>5</w:t>
      </w:r>
      <w:r w:rsidR="007F0AFD">
        <w:t xml:space="preserve">% of the </w:t>
      </w:r>
      <w:r w:rsidR="00805153">
        <w:t xml:space="preserve">invested assets of </w:t>
      </w:r>
      <w:r w:rsidR="008909B2">
        <w:t>the Life industry</w:t>
      </w:r>
      <w:r w:rsidR="00C07FAC">
        <w:t xml:space="preserve">. </w:t>
      </w:r>
      <w:r w:rsidR="009305E9">
        <w:t xml:space="preserve"> </w:t>
      </w:r>
      <w:r w:rsidR="00493199">
        <w:t>T</w:t>
      </w:r>
      <w:r w:rsidR="00493199" w:rsidRPr="00493199">
        <w:t>he key risks introduced by</w:t>
      </w:r>
      <w:r w:rsidR="00276B1C">
        <w:t xml:space="preserve"> FABN</w:t>
      </w:r>
      <w:r w:rsidR="00493199" w:rsidRPr="00493199">
        <w:t xml:space="preserve"> programs are </w:t>
      </w:r>
      <w:r w:rsidR="00000B2E">
        <w:t xml:space="preserve">leverage, </w:t>
      </w:r>
      <w:r w:rsidR="00493199" w:rsidRPr="00493199">
        <w:t xml:space="preserve">credit </w:t>
      </w:r>
      <w:r w:rsidR="00C07FAC" w:rsidRPr="00493199">
        <w:t>risk,</w:t>
      </w:r>
      <w:r w:rsidR="00493199" w:rsidRPr="00493199">
        <w:t xml:space="preserve"> and</w:t>
      </w:r>
      <w:r w:rsidR="00276B1C">
        <w:t xml:space="preserve"> </w:t>
      </w:r>
      <w:r w:rsidR="00493199" w:rsidRPr="00493199">
        <w:t>rollover</w:t>
      </w:r>
      <w:r w:rsidR="00000B2E">
        <w:t>/liquidity</w:t>
      </w:r>
      <w:r w:rsidR="00493199" w:rsidRPr="00493199">
        <w:t xml:space="preserve"> risk.</w:t>
      </w:r>
      <w:r w:rsidR="00CB2213">
        <w:t xml:space="preserve">  These risks are typically mitigated by </w:t>
      </w:r>
      <w:r w:rsidR="005C07A6">
        <w:t xml:space="preserve">asset liability </w:t>
      </w:r>
      <w:r w:rsidR="008352FB">
        <w:t>management</w:t>
      </w:r>
      <w:r w:rsidR="00B27192">
        <w:t xml:space="preserve"> programs</w:t>
      </w:r>
      <w:r w:rsidR="008352FB">
        <w:t xml:space="preserve">, </w:t>
      </w:r>
      <w:r w:rsidR="002F3ED7">
        <w:t>predictab</w:t>
      </w:r>
      <w:r w:rsidR="00D609E6">
        <w:t>ility</w:t>
      </w:r>
      <w:r w:rsidR="002F3ED7">
        <w:t xml:space="preserve"> </w:t>
      </w:r>
      <w:r w:rsidR="00D609E6">
        <w:t>of these liabilities</w:t>
      </w:r>
      <w:r w:rsidR="00045232">
        <w:t xml:space="preserve"> and </w:t>
      </w:r>
      <w:r w:rsidR="00CB56D9">
        <w:t xml:space="preserve">the absence of put features in </w:t>
      </w:r>
      <w:r w:rsidR="00B27192">
        <w:t>FABNs.</w:t>
      </w:r>
    </w:p>
    <w:p w14:paraId="211851DE" w14:textId="77777777" w:rsidR="004F6EC3" w:rsidRDefault="004F6EC3" w:rsidP="002F21AD">
      <w:pPr>
        <w:spacing w:after="0" w:line="240" w:lineRule="auto"/>
        <w:ind w:left="360"/>
      </w:pPr>
    </w:p>
    <w:p w14:paraId="7B7A4491" w14:textId="06938415" w:rsidR="00F06F95" w:rsidRDefault="003B3DFB" w:rsidP="002F21AD">
      <w:pPr>
        <w:spacing w:after="0" w:line="240" w:lineRule="auto"/>
        <w:ind w:left="360"/>
      </w:pPr>
      <w:r>
        <w:rPr>
          <w:noProof/>
        </w:rPr>
        <w:drawing>
          <wp:inline distT="0" distB="0" distL="0" distR="0" wp14:anchorId="643EC7A2" wp14:editId="577D8B6B">
            <wp:extent cx="5706662" cy="4063117"/>
            <wp:effectExtent l="0" t="0" r="8890" b="13970"/>
            <wp:docPr id="1748326277" name="Chart 1">
              <a:extLst xmlns:a="http://schemas.openxmlformats.org/drawingml/2006/main">
                <a:ext uri="{FF2B5EF4-FFF2-40B4-BE49-F238E27FC236}">
                  <a16:creationId xmlns:a16="http://schemas.microsoft.com/office/drawing/2014/main" id="{36790C74-390E-8265-F260-F8B221BF27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1B56C2" w14:textId="42C4EE33" w:rsidR="008412FF" w:rsidRPr="008412FF" w:rsidRDefault="000C16B4" w:rsidP="000C16B4">
      <w:pPr>
        <w:spacing w:after="0" w:line="240" w:lineRule="auto"/>
        <w:ind w:left="360"/>
        <w:rPr>
          <w:sz w:val="20"/>
          <w:szCs w:val="20"/>
        </w:rPr>
      </w:pPr>
      <w:r>
        <w:rPr>
          <w:b/>
          <w:bCs/>
          <w:sz w:val="20"/>
          <w:szCs w:val="20"/>
        </w:rPr>
        <w:t>Source</w:t>
      </w:r>
      <w:r w:rsidR="00833C18">
        <w:rPr>
          <w:b/>
          <w:bCs/>
          <w:sz w:val="20"/>
          <w:szCs w:val="20"/>
        </w:rPr>
        <w:t>: FHLB</w:t>
      </w:r>
      <w:r w:rsidRPr="00900A77">
        <w:rPr>
          <w:sz w:val="20"/>
          <w:szCs w:val="20"/>
        </w:rPr>
        <w:t xml:space="preserve"> </w:t>
      </w:r>
      <w:r w:rsidR="00900A77">
        <w:rPr>
          <w:sz w:val="20"/>
          <w:szCs w:val="20"/>
        </w:rPr>
        <w:t>C</w:t>
      </w:r>
      <w:r w:rsidRPr="00900A77">
        <w:rPr>
          <w:sz w:val="20"/>
          <w:szCs w:val="20"/>
        </w:rPr>
        <w:t>ombined Financial Report and The Federal Reserve Bank of NY</w:t>
      </w:r>
    </w:p>
    <w:p w14:paraId="0B9ABD1F" w14:textId="015A0B18" w:rsidR="00F06F95" w:rsidRDefault="00F06F95">
      <w:pPr>
        <w:jc w:val="left"/>
      </w:pPr>
      <w:r>
        <w:br w:type="page"/>
      </w:r>
    </w:p>
    <w:p w14:paraId="2DE65DE0" w14:textId="4430CF09" w:rsidR="004F6EC3" w:rsidRPr="003343EB" w:rsidRDefault="003343EB" w:rsidP="002F21AD">
      <w:pPr>
        <w:spacing w:after="0" w:line="240" w:lineRule="auto"/>
        <w:ind w:left="360"/>
        <w:rPr>
          <w:b/>
          <w:bCs/>
        </w:rPr>
      </w:pPr>
      <w:r w:rsidRPr="00362C7C">
        <w:rPr>
          <w:b/>
        </w:rPr>
        <w:t>Reinsurance Interconnection</w:t>
      </w:r>
    </w:p>
    <w:p w14:paraId="4B473CEB" w14:textId="32F154E9" w:rsidR="00D031C6" w:rsidRDefault="00D031C6" w:rsidP="002F21AD">
      <w:pPr>
        <w:spacing w:after="0" w:line="240" w:lineRule="auto"/>
        <w:ind w:left="360"/>
      </w:pPr>
      <w:r>
        <w:t xml:space="preserve">Reinsurance represents another significant interconnection </w:t>
      </w:r>
      <w:r w:rsidR="000D1C3A">
        <w:t xml:space="preserve">to </w:t>
      </w:r>
      <w:r w:rsidR="00B31F61">
        <w:t xml:space="preserve">alien insurers and </w:t>
      </w:r>
      <w:r w:rsidR="00850D6F">
        <w:t>sovereign nations</w:t>
      </w:r>
      <w:r>
        <w:t xml:space="preserve">. </w:t>
      </w:r>
      <w:r w:rsidR="000D1C3A" w:rsidRPr="000D1C3A">
        <w:t xml:space="preserve">Total ceded </w:t>
      </w:r>
      <w:r w:rsidR="003C2272">
        <w:t xml:space="preserve">offshore reserves </w:t>
      </w:r>
      <w:r w:rsidR="000D1C3A" w:rsidRPr="000D1C3A">
        <w:t xml:space="preserve">increased </w:t>
      </w:r>
      <w:r w:rsidR="003C2272">
        <w:t>by 16</w:t>
      </w:r>
      <w:r w:rsidR="000D1C3A" w:rsidRPr="000D1C3A">
        <w:t>% or $</w:t>
      </w:r>
      <w:r w:rsidR="003C2272">
        <w:t>110</w:t>
      </w:r>
      <w:r w:rsidR="000D1C3A" w:rsidRPr="000D1C3A">
        <w:t xml:space="preserve"> billion.</w:t>
      </w:r>
      <w:r w:rsidR="00431C1F">
        <w:t xml:space="preserve">  </w:t>
      </w:r>
      <w:r w:rsidR="000D1C3A" w:rsidRPr="000D1C3A">
        <w:t xml:space="preserve">Total ceded premium increased </w:t>
      </w:r>
      <w:r w:rsidR="003C2272" w:rsidRPr="003C2272">
        <w:t>32.8% ($143</w:t>
      </w:r>
      <w:r w:rsidR="000D1C3A" w:rsidRPr="000D1C3A">
        <w:t>.4 billion</w:t>
      </w:r>
      <w:r w:rsidR="003C2272" w:rsidRPr="003C2272">
        <w:t>).</w:t>
      </w:r>
      <w:r w:rsidR="000D1C3A" w:rsidRPr="000D1C3A">
        <w:t xml:space="preserve"> The annuities line of business increased </w:t>
      </w:r>
      <w:r w:rsidR="003C2272" w:rsidRPr="003C2272">
        <w:t>28.3% ($61.4</w:t>
      </w:r>
      <w:r w:rsidR="000D1C3A" w:rsidRPr="000D1C3A">
        <w:t xml:space="preserve"> billion) to $</w:t>
      </w:r>
      <w:r w:rsidR="003C2272" w:rsidRPr="003C2272">
        <w:t>278.1</w:t>
      </w:r>
      <w:r w:rsidR="000D1C3A" w:rsidRPr="000D1C3A">
        <w:t xml:space="preserve"> billion, and the A&amp;H insurance line of business increased </w:t>
      </w:r>
      <w:r w:rsidR="003C2272" w:rsidRPr="003C2272">
        <w:t>42.1%</w:t>
      </w:r>
      <w:r w:rsidR="008D0C66">
        <w:t xml:space="preserve"> </w:t>
      </w:r>
      <w:r w:rsidR="003C2272" w:rsidRPr="003C2272">
        <w:t>($32.4 billion) to $109 billion.</w:t>
      </w:r>
      <w:r w:rsidR="000D1C3A" w:rsidRPr="000D1C3A">
        <w:t xml:space="preserve"> Life insurance ceded premium </w:t>
      </w:r>
      <w:r w:rsidR="003C2272" w:rsidRPr="003C2272">
        <w:t>increased 32.2% ($39</w:t>
      </w:r>
      <w:r w:rsidR="000D1C3A" w:rsidRPr="000D1C3A">
        <w:t>.5 billion) to $</w:t>
      </w:r>
      <w:r w:rsidR="003C2272" w:rsidRPr="003C2272">
        <w:t>162.3</w:t>
      </w:r>
      <w:r w:rsidR="000D1C3A" w:rsidRPr="000D1C3A">
        <w:t xml:space="preserve"> billion.</w:t>
      </w:r>
      <w:r w:rsidR="009305E9">
        <w:t xml:space="preserve"> </w:t>
      </w:r>
      <w:r w:rsidR="000D1C3A" w:rsidRPr="000D1C3A">
        <w:t xml:space="preserve"> Most of the change in ceded premium </w:t>
      </w:r>
      <w:r w:rsidR="003C2272" w:rsidRPr="003C2272">
        <w:t>was concentrated</w:t>
      </w:r>
      <w:r w:rsidR="000D1C3A" w:rsidRPr="000D1C3A">
        <w:t xml:space="preserve"> in </w:t>
      </w:r>
      <w:r w:rsidR="003C2272" w:rsidRPr="003C2272">
        <w:t>13</w:t>
      </w:r>
      <w:r w:rsidR="000D1C3A" w:rsidRPr="000D1C3A">
        <w:t xml:space="preserve"> companies with increases or decreases </w:t>
      </w:r>
      <w:r w:rsidR="003C2272" w:rsidRPr="003C2272">
        <w:t>o</w:t>
      </w:r>
      <w:r w:rsidR="008D0C66">
        <w:t>r</w:t>
      </w:r>
      <w:r w:rsidR="000D1C3A" w:rsidRPr="000D1C3A">
        <w:t xml:space="preserve"> more than $5 billion</w:t>
      </w:r>
      <w:r w:rsidR="00C07FAC" w:rsidRPr="000D1C3A">
        <w:t xml:space="preserve">. </w:t>
      </w:r>
      <w:r w:rsidR="000D1C3A" w:rsidRPr="000D1C3A">
        <w:t xml:space="preserve">Of the </w:t>
      </w:r>
      <w:r w:rsidR="003C2272" w:rsidRPr="003C2272">
        <w:t>719</w:t>
      </w:r>
      <w:r w:rsidR="000D1C3A" w:rsidRPr="000D1C3A">
        <w:t xml:space="preserve"> companies that reported ceded premiums, </w:t>
      </w:r>
      <w:r w:rsidR="003C2272" w:rsidRPr="003C2272">
        <w:t>88</w:t>
      </w:r>
      <w:r w:rsidR="000D1C3A" w:rsidRPr="000D1C3A">
        <w:t xml:space="preserve"> companies with </w:t>
      </w:r>
      <w:r w:rsidR="003C2272" w:rsidRPr="003C2272">
        <w:t>more than</w:t>
      </w:r>
      <w:r w:rsidR="000D1C3A" w:rsidRPr="000D1C3A">
        <w:t xml:space="preserve"> $100 million in ceded premiums reported changes of </w:t>
      </w:r>
      <w:r w:rsidR="003C2272" w:rsidRPr="003C2272">
        <w:t xml:space="preserve">more than </w:t>
      </w:r>
      <w:r w:rsidR="000D1C3A" w:rsidRPr="000D1C3A">
        <w:t xml:space="preserve">25% from </w:t>
      </w:r>
      <w:r w:rsidR="003C2272" w:rsidRPr="003C2272">
        <w:t>2024.</w:t>
      </w:r>
    </w:p>
    <w:p w14:paraId="4CB49726" w14:textId="77777777" w:rsidR="00A4110B" w:rsidRDefault="00A4110B" w:rsidP="002F21AD">
      <w:pPr>
        <w:spacing w:after="0" w:line="240" w:lineRule="auto"/>
        <w:ind w:left="360"/>
      </w:pPr>
    </w:p>
    <w:p w14:paraId="7100CD95" w14:textId="10B203BB" w:rsidR="004A45C2" w:rsidRPr="009122DF" w:rsidRDefault="004A45C2" w:rsidP="00A4110B">
      <w:pPr>
        <w:spacing w:after="0" w:line="240" w:lineRule="auto"/>
        <w:ind w:left="360"/>
      </w:pPr>
      <w:r>
        <w:t>Offshore r</w:t>
      </w:r>
      <w:r w:rsidRPr="00671D83">
        <w:t xml:space="preserve">einsurance sidecars </w:t>
      </w:r>
      <w:r>
        <w:t xml:space="preserve">and captives </w:t>
      </w:r>
      <w:r w:rsidRPr="00671D83">
        <w:t xml:space="preserve">have been commonly used in the property and casualty space to help mitigate risk, but they have </w:t>
      </w:r>
      <w:r>
        <w:t>become</w:t>
      </w:r>
      <w:r w:rsidRPr="00671D83">
        <w:t xml:space="preserve"> more prevalent in the life insurance industry </w:t>
      </w:r>
      <w:r>
        <w:t>in recent</w:t>
      </w:r>
      <w:r w:rsidRPr="00671D83">
        <w:t xml:space="preserve"> years.</w:t>
      </w:r>
      <w:r w:rsidR="00A4110B">
        <w:t xml:space="preserve">  </w:t>
      </w:r>
      <w:r w:rsidR="007437F6">
        <w:t>Captives and s</w:t>
      </w:r>
      <w:r w:rsidRPr="00490844">
        <w:t>idecars can provide additional risk capital, enhance earnings, increase underwriting capacity, and reduce risk</w:t>
      </w:r>
      <w:r>
        <w:t xml:space="preserve"> </w:t>
      </w:r>
      <w:r w:rsidRPr="00490844">
        <w:t xml:space="preserve">exposure. </w:t>
      </w:r>
      <w:r>
        <w:t>Conversely</w:t>
      </w:r>
      <w:r w:rsidRPr="00490844">
        <w:t xml:space="preserve">, </w:t>
      </w:r>
      <w:r>
        <w:t>these</w:t>
      </w:r>
      <w:r w:rsidRPr="00490844">
        <w:t xml:space="preserve"> reinsurance vehicles</w:t>
      </w:r>
      <w:r>
        <w:t>, if not adequately capitalized and supported,</w:t>
      </w:r>
      <w:r w:rsidRPr="00490844">
        <w:t xml:space="preserve"> can </w:t>
      </w:r>
      <w:r>
        <w:t>increase</w:t>
      </w:r>
      <w:r w:rsidRPr="00490844">
        <w:t xml:space="preserve"> counterparty credit risk</w:t>
      </w:r>
      <w:r>
        <w:t>,</w:t>
      </w:r>
      <w:r w:rsidRPr="00490844">
        <w:t xml:space="preserve"> thus opening the potential to negatively affect an insurer's financial stability if the sidecar performs</w:t>
      </w:r>
      <w:r>
        <w:t xml:space="preserve"> </w:t>
      </w:r>
      <w:r w:rsidRPr="00490844">
        <w:t>poorly.</w:t>
      </w:r>
    </w:p>
    <w:p w14:paraId="310D13C9" w14:textId="77777777" w:rsidR="00C163DB" w:rsidRDefault="00C163DB" w:rsidP="002F21AD">
      <w:pPr>
        <w:spacing w:after="0" w:line="240" w:lineRule="auto"/>
        <w:ind w:left="360"/>
      </w:pPr>
    </w:p>
    <w:p w14:paraId="32AB23AC" w14:textId="23E74EEB" w:rsidR="00C163DB" w:rsidRDefault="003B3DFB" w:rsidP="002F21AD">
      <w:pPr>
        <w:spacing w:after="0" w:line="240" w:lineRule="auto"/>
        <w:ind w:left="360"/>
      </w:pPr>
      <w:r>
        <w:rPr>
          <w:noProof/>
        </w:rPr>
        <w:drawing>
          <wp:inline distT="0" distB="0" distL="0" distR="0" wp14:anchorId="7BCB4231" wp14:editId="204B0809">
            <wp:extent cx="5305425" cy="2590800"/>
            <wp:effectExtent l="0" t="0" r="9525" b="0"/>
            <wp:docPr id="652806824" name="Chart 1">
              <a:extLst xmlns:a="http://schemas.openxmlformats.org/drawingml/2006/main">
                <a:ext uri="{FF2B5EF4-FFF2-40B4-BE49-F238E27FC236}">
                  <a16:creationId xmlns:a16="http://schemas.microsoft.com/office/drawing/2014/main" id="{70AE660F-C500-7678-607C-A94ED3A3C8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B21B89" w14:textId="4C9047CE" w:rsidR="009A2E7F" w:rsidRDefault="003B3DFB" w:rsidP="002F21AD">
      <w:pPr>
        <w:spacing w:after="0" w:line="240" w:lineRule="auto"/>
        <w:ind w:left="360"/>
      </w:pPr>
      <w:r>
        <w:rPr>
          <w:noProof/>
        </w:rPr>
        <w:drawing>
          <wp:inline distT="0" distB="0" distL="0" distR="0" wp14:anchorId="561F79A2" wp14:editId="5306E1E9">
            <wp:extent cx="5343525" cy="2590800"/>
            <wp:effectExtent l="0" t="0" r="9525" b="0"/>
            <wp:docPr id="225176425" name="Chart 1">
              <a:extLst xmlns:a="http://schemas.openxmlformats.org/drawingml/2006/main">
                <a:ext uri="{FF2B5EF4-FFF2-40B4-BE49-F238E27FC236}">
                  <a16:creationId xmlns:a16="http://schemas.microsoft.com/office/drawing/2014/main" id="{27555501-4B4A-141D-2D76-F496F2D6A0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1F75859" w14:textId="25975564" w:rsidR="00D031C6" w:rsidRPr="00477492" w:rsidRDefault="00477492" w:rsidP="003343EB">
      <w:pPr>
        <w:spacing w:after="0" w:line="240" w:lineRule="auto"/>
        <w:ind w:left="360"/>
        <w:rPr>
          <w:b/>
          <w:bCs/>
        </w:rPr>
      </w:pPr>
      <w:r w:rsidRPr="00477492">
        <w:rPr>
          <w:b/>
          <w:bCs/>
        </w:rPr>
        <w:t>Private Equity Interconnections</w:t>
      </w:r>
    </w:p>
    <w:p w14:paraId="435B6142" w14:textId="7497EEF1" w:rsidR="00D031C6" w:rsidRDefault="00DE6488" w:rsidP="002F21AD">
      <w:pPr>
        <w:spacing w:after="0" w:line="240" w:lineRule="auto"/>
        <w:ind w:left="360"/>
      </w:pPr>
      <w:r>
        <w:t>S</w:t>
      </w:r>
      <w:r w:rsidR="00D031C6">
        <w:t xml:space="preserve">tate insurance regulators </w:t>
      </w:r>
      <w:r w:rsidR="004854DE">
        <w:t xml:space="preserve">continue to </w:t>
      </w:r>
      <w:r w:rsidR="00C14125">
        <w:t xml:space="preserve">closely </w:t>
      </w:r>
      <w:r w:rsidR="004854DE">
        <w:t>monitor</w:t>
      </w:r>
      <w:r w:rsidR="00D031C6">
        <w:t xml:space="preserve"> the activities of insurers </w:t>
      </w:r>
      <w:r w:rsidR="003265A7">
        <w:t>owned or affilia</w:t>
      </w:r>
      <w:r w:rsidR="00ED6882">
        <w:t xml:space="preserve">ted with </w:t>
      </w:r>
      <w:r w:rsidR="00A5020C">
        <w:t xml:space="preserve">private equity firms and asset managers, </w:t>
      </w:r>
      <w:r w:rsidR="00702A14">
        <w:t xml:space="preserve">due in part </w:t>
      </w:r>
      <w:r w:rsidR="00AB4F3E">
        <w:t>to</w:t>
      </w:r>
      <w:r w:rsidR="00D031C6">
        <w:t xml:space="preserve"> the heightened potential for interconnection </w:t>
      </w:r>
      <w:r w:rsidR="00823C98">
        <w:t>with</w:t>
      </w:r>
      <w:r w:rsidR="00D031C6">
        <w:t xml:space="preserve"> capital </w:t>
      </w:r>
      <w:r w:rsidR="00C07FAC">
        <w:t>markets,</w:t>
      </w:r>
      <w:r w:rsidR="00D031C6">
        <w:t xml:space="preserve"> and other (re)-insurance companies</w:t>
      </w:r>
      <w:r w:rsidR="00C96B00">
        <w:t xml:space="preserve"> and jurisdictions</w:t>
      </w:r>
      <w:r w:rsidR="00C07FAC">
        <w:t xml:space="preserve">. </w:t>
      </w:r>
      <w:r w:rsidR="00BE072D">
        <w:t xml:space="preserve"> </w:t>
      </w:r>
      <w:r w:rsidR="00D031C6">
        <w:t xml:space="preserve">PE owned insurers’ </w:t>
      </w:r>
      <w:r w:rsidR="00051310">
        <w:t>total cash and invested assets</w:t>
      </w:r>
      <w:r w:rsidR="00D031C6">
        <w:t xml:space="preserve"> </w:t>
      </w:r>
      <w:r w:rsidR="000E79A4">
        <w:t>in</w:t>
      </w:r>
      <w:r w:rsidR="00D031C6">
        <w:t xml:space="preserve">creased to </w:t>
      </w:r>
      <w:r w:rsidR="008D0C66">
        <w:t xml:space="preserve">approximately </w:t>
      </w:r>
      <w:r w:rsidR="00D031C6">
        <w:t>$</w:t>
      </w:r>
      <w:r w:rsidR="000E79A4">
        <w:t>704</w:t>
      </w:r>
      <w:r w:rsidR="00D031C6">
        <w:t xml:space="preserve"> billion </w:t>
      </w:r>
      <w:r w:rsidR="005709BF">
        <w:t xml:space="preserve">at year end 2025, </w:t>
      </w:r>
      <w:r w:rsidR="000E79A4">
        <w:t>up</w:t>
      </w:r>
      <w:r w:rsidR="00D031C6">
        <w:t xml:space="preserve"> from $487 billion at year-end 2020.</w:t>
      </w:r>
    </w:p>
    <w:p w14:paraId="3103F01F" w14:textId="77777777" w:rsidR="009A506E" w:rsidRDefault="009A506E" w:rsidP="002F21AD">
      <w:pPr>
        <w:spacing w:after="0" w:line="240" w:lineRule="auto"/>
        <w:ind w:left="360"/>
      </w:pPr>
    </w:p>
    <w:p w14:paraId="289CF9B7" w14:textId="0ED17396" w:rsidR="00702AF4" w:rsidRDefault="00702AF4" w:rsidP="00F65698">
      <w:pPr>
        <w:spacing w:after="0" w:line="240" w:lineRule="auto"/>
        <w:ind w:left="360"/>
      </w:pPr>
      <w:r>
        <w:t>At year-end 202</w:t>
      </w:r>
      <w:r w:rsidR="00EF4284">
        <w:t>5</w:t>
      </w:r>
      <w:r>
        <w:t xml:space="preserve">, the number of private equity (PE)-owned U.S. insurers identified by the NAIC Capital Markets Bureau was </w:t>
      </w:r>
      <w:r w:rsidR="00BF092C">
        <w:t>231</w:t>
      </w:r>
      <w:r w:rsidR="004838D5">
        <w:t xml:space="preserve"> an increase from </w:t>
      </w:r>
      <w:r>
        <w:t xml:space="preserve">137 </w:t>
      </w:r>
      <w:r w:rsidR="00B920B7">
        <w:t>in 2024</w:t>
      </w:r>
      <w:r>
        <w:t>.</w:t>
      </w:r>
      <w:r w:rsidR="00F65698">
        <w:t xml:space="preserve"> </w:t>
      </w:r>
      <w:r>
        <w:t xml:space="preserve">Total cash and invested assets for the 137 PE-owned insurers at year-end 2024 </w:t>
      </w:r>
      <w:r w:rsidR="0073378B">
        <w:t>was</w:t>
      </w:r>
      <w:r w:rsidR="00737C64">
        <w:t xml:space="preserve"> approximately</w:t>
      </w:r>
      <w:r w:rsidR="0073378B">
        <w:t xml:space="preserve"> </w:t>
      </w:r>
      <w:r>
        <w:t xml:space="preserve">16% based on year-end 2024 NAIC annual statement filings to $704.3 billion, representing </w:t>
      </w:r>
      <w:r w:rsidR="0090210F">
        <w:t>12.2</w:t>
      </w:r>
      <w:r>
        <w:t xml:space="preserve">% of all U.S. </w:t>
      </w:r>
      <w:r w:rsidR="0090210F">
        <w:t xml:space="preserve">Life </w:t>
      </w:r>
      <w:r>
        <w:t>insurers’ total cash and invested assets.</w:t>
      </w:r>
    </w:p>
    <w:p w14:paraId="7C25FA48" w14:textId="77777777" w:rsidR="009A506E" w:rsidRDefault="009A506E" w:rsidP="00F65698">
      <w:pPr>
        <w:spacing w:after="0" w:line="240" w:lineRule="auto"/>
        <w:ind w:left="360"/>
      </w:pPr>
    </w:p>
    <w:p w14:paraId="0B371CDA" w14:textId="01ADE804" w:rsidR="00477492" w:rsidRDefault="00B974F5" w:rsidP="00477492">
      <w:pPr>
        <w:spacing w:after="0" w:line="240" w:lineRule="auto"/>
        <w:ind w:left="360"/>
      </w:pPr>
      <w:r w:rsidRPr="00B974F5">
        <w:t>P</w:t>
      </w:r>
      <w:r w:rsidR="004D3719">
        <w:t xml:space="preserve">rivate </w:t>
      </w:r>
      <w:r w:rsidRPr="00B974F5">
        <w:t>E</w:t>
      </w:r>
      <w:r w:rsidR="004D3719">
        <w:t>quity</w:t>
      </w:r>
      <w:r w:rsidRPr="00B974F5">
        <w:t xml:space="preserve"> owned </w:t>
      </w:r>
      <w:r w:rsidR="00241186">
        <w:t>insurer</w:t>
      </w:r>
      <w:r w:rsidR="007A5CEE">
        <w:t>s</w:t>
      </w:r>
      <w:r w:rsidR="00241186">
        <w:t xml:space="preserve"> </w:t>
      </w:r>
      <w:r w:rsidRPr="00B974F5">
        <w:t xml:space="preserve">continue to invest more heavily in </w:t>
      </w:r>
      <w:r w:rsidR="00FA262A" w:rsidRPr="00B974F5">
        <w:t>structured</w:t>
      </w:r>
      <w:r w:rsidR="00FA262A">
        <w:t xml:space="preserve"> securit</w:t>
      </w:r>
      <w:r w:rsidR="005E01C8">
        <w:t>ies</w:t>
      </w:r>
      <w:r w:rsidRPr="00B974F5">
        <w:t>, private</w:t>
      </w:r>
      <w:r w:rsidR="00241186">
        <w:t xml:space="preserve"> credit</w:t>
      </w:r>
      <w:r w:rsidRPr="00B974F5">
        <w:t>, and other non-traditional insurance assets</w:t>
      </w:r>
      <w:r w:rsidR="007A5CEE">
        <w:t>.</w:t>
      </w:r>
    </w:p>
    <w:p w14:paraId="21457BDF" w14:textId="77777777" w:rsidR="007A5CEE" w:rsidRDefault="007A5CEE" w:rsidP="00477492">
      <w:pPr>
        <w:spacing w:after="0" w:line="240" w:lineRule="auto"/>
        <w:ind w:left="360"/>
      </w:pPr>
    </w:p>
    <w:p w14:paraId="1A3306E4" w14:textId="5955D010" w:rsidR="00477492" w:rsidRPr="00F65698" w:rsidRDefault="00F65698" w:rsidP="00477492">
      <w:pPr>
        <w:spacing w:after="0" w:line="240" w:lineRule="auto"/>
        <w:ind w:left="360"/>
        <w:rPr>
          <w:b/>
          <w:bCs/>
        </w:rPr>
      </w:pPr>
      <w:r w:rsidRPr="00F65698">
        <w:rPr>
          <w:b/>
          <w:bCs/>
        </w:rPr>
        <w:t>Securities Lending and Repurchase Agreement Exposure</w:t>
      </w:r>
    </w:p>
    <w:p w14:paraId="23AEEBD5" w14:textId="00540556" w:rsidR="00D031C6" w:rsidRDefault="00D031C6" w:rsidP="002F21AD">
      <w:pPr>
        <w:spacing w:after="0" w:line="240" w:lineRule="auto"/>
        <w:ind w:left="360"/>
      </w:pPr>
      <w:r>
        <w:t xml:space="preserve">Other transmission channels </w:t>
      </w:r>
      <w:r w:rsidR="00ED0ACF">
        <w:t>to bank counterparties and the capital markets</w:t>
      </w:r>
      <w:r>
        <w:t xml:space="preserve"> include securities lending and repurchase agreement activity</w:t>
      </w:r>
      <w:r w:rsidR="00C07FAC">
        <w:t xml:space="preserve">. </w:t>
      </w:r>
      <w:r w:rsidR="00650A87" w:rsidRPr="00650A87">
        <w:t xml:space="preserve">Securities lent for U.S insurers </w:t>
      </w:r>
      <w:r w:rsidR="00EC4A8C">
        <w:t>continue to be</w:t>
      </w:r>
      <w:r w:rsidR="00EC4A8C" w:rsidRPr="00650A87">
        <w:t xml:space="preserve"> </w:t>
      </w:r>
      <w:r w:rsidR="00650A87" w:rsidRPr="00650A87">
        <w:t xml:space="preserve">consistent with historical </w:t>
      </w:r>
      <w:r w:rsidR="00C610D6">
        <w:t>averages</w:t>
      </w:r>
      <w:r w:rsidR="00650A87" w:rsidRPr="00650A87">
        <w:t xml:space="preserve">, </w:t>
      </w:r>
      <w:r w:rsidR="000D0574">
        <w:t xml:space="preserve">with life insurers </w:t>
      </w:r>
      <w:r w:rsidR="00410548">
        <w:t xml:space="preserve">continuing to </w:t>
      </w:r>
      <w:r w:rsidR="002777E5">
        <w:t>comprise the bulk of the activity</w:t>
      </w:r>
      <w:r w:rsidR="00C07FAC" w:rsidRPr="00650A87">
        <w:t xml:space="preserve">. </w:t>
      </w:r>
      <w:r w:rsidR="00650A87" w:rsidRPr="00650A87">
        <w:t xml:space="preserve">Exposure to repos and reverse </w:t>
      </w:r>
      <w:r w:rsidR="00F74BB5" w:rsidRPr="00650A87">
        <w:t>repos</w:t>
      </w:r>
      <w:r w:rsidR="00650A87" w:rsidRPr="00650A87">
        <w:t xml:space="preserve"> have traditionally been less than 1% of C&amp;IA, and th</w:t>
      </w:r>
      <w:r w:rsidR="00EC6EC6">
        <w:t>is</w:t>
      </w:r>
      <w:r w:rsidR="00650A87" w:rsidRPr="00650A87">
        <w:t xml:space="preserve"> trend continues.</w:t>
      </w:r>
    </w:p>
    <w:p w14:paraId="0704B425" w14:textId="77777777" w:rsidR="00341944" w:rsidRDefault="00341944" w:rsidP="002F21AD">
      <w:pPr>
        <w:spacing w:after="0" w:line="240" w:lineRule="auto"/>
      </w:pPr>
    </w:p>
    <w:p w14:paraId="687E25A4" w14:textId="77777777" w:rsidR="00D031C6" w:rsidRDefault="00D031C6" w:rsidP="002F21AD">
      <w:pPr>
        <w:spacing w:after="0" w:line="240" w:lineRule="auto"/>
        <w:jc w:val="left"/>
        <w:rPr>
          <w:rFonts w:eastAsiaTheme="majorEastAsia" w:cstheme="majorBidi"/>
          <w:b/>
          <w:color w:val="2F5496" w:themeColor="accent1" w:themeShade="BF"/>
          <w:sz w:val="40"/>
          <w:szCs w:val="32"/>
          <w:u w:val="single"/>
        </w:rPr>
      </w:pPr>
      <w:r>
        <w:br w:type="page"/>
      </w:r>
    </w:p>
    <w:p w14:paraId="6D994E32" w14:textId="0F658C2B" w:rsidR="00B95967" w:rsidRDefault="00B95967" w:rsidP="00CB0A24">
      <w:pPr>
        <w:pStyle w:val="Heading1"/>
      </w:pPr>
      <w:bookmarkStart w:id="8" w:name="_Toc232602958"/>
      <w:r>
        <w:t>Underwriting &amp; Profitability</w:t>
      </w:r>
      <w:r w:rsidR="00557C8F">
        <w:t xml:space="preserve"> Risk</w:t>
      </w:r>
      <w:r>
        <w:t>: Summary</w:t>
      </w:r>
      <w:bookmarkEnd w:id="8"/>
    </w:p>
    <w:p w14:paraId="0C2E8B67" w14:textId="77EC3616" w:rsidR="006A4A6D" w:rsidRDefault="00C776A8" w:rsidP="00000B2E">
      <w:pPr>
        <w:spacing w:after="0" w:line="240" w:lineRule="auto"/>
      </w:pPr>
      <w:r>
        <w:t xml:space="preserve">Although the insurance industry </w:t>
      </w:r>
      <w:r w:rsidR="00E15ADF">
        <w:t xml:space="preserve">generally </w:t>
      </w:r>
      <w:r w:rsidR="00C23570">
        <w:t>demonstrates</w:t>
      </w:r>
      <w:r>
        <w:t xml:space="preserve"> </w:t>
      </w:r>
      <w:r w:rsidR="004E2D1B">
        <w:t xml:space="preserve">resilience in underwriting and profitability, specific trends related to </w:t>
      </w:r>
      <w:r w:rsidR="000E4B2F">
        <w:t>l</w:t>
      </w:r>
      <w:r w:rsidR="004E2D1B">
        <w:t xml:space="preserve">ong-term care insurance, </w:t>
      </w:r>
      <w:r w:rsidR="00AB629F">
        <w:t>natural catastrophe exposure,</w:t>
      </w:r>
      <w:r w:rsidR="00E66CBA">
        <w:t xml:space="preserve"> and </w:t>
      </w:r>
      <w:r w:rsidR="00384D0A">
        <w:t>health sector performance</w:t>
      </w:r>
      <w:r w:rsidR="00E66CBA">
        <w:t xml:space="preserve"> </w:t>
      </w:r>
      <w:r w:rsidR="003E51FD">
        <w:t>contributed</w:t>
      </w:r>
      <w:r w:rsidR="003A3E14">
        <w:t xml:space="preserve"> to</w:t>
      </w:r>
      <w:r w:rsidR="00E66CBA">
        <w:t xml:space="preserve"> the </w:t>
      </w:r>
      <w:r w:rsidR="005D5D10">
        <w:t xml:space="preserve">overall </w:t>
      </w:r>
      <w:r w:rsidR="00BA1774">
        <w:t>moderate</w:t>
      </w:r>
      <w:r w:rsidR="008D202C">
        <w:t xml:space="preserve">-low </w:t>
      </w:r>
      <w:r w:rsidR="00E66CBA">
        <w:t>assessment</w:t>
      </w:r>
      <w:r w:rsidR="008D202C">
        <w:t xml:space="preserve">.  </w:t>
      </w:r>
      <w:r w:rsidR="00925E4E">
        <w:t xml:space="preserve">The risk is tempered by </w:t>
      </w:r>
      <w:r w:rsidR="00613633">
        <w:t>record</w:t>
      </w:r>
      <w:r w:rsidR="00925E4E">
        <w:t xml:space="preserve"> performance in certain P&amp;C lines and </w:t>
      </w:r>
      <w:r w:rsidR="00B027B1">
        <w:t xml:space="preserve">strong performance in </w:t>
      </w:r>
      <w:r w:rsidR="00925E4E">
        <w:t>certain Life segments.</w:t>
      </w:r>
    </w:p>
    <w:p w14:paraId="3CB3AF6F" w14:textId="77777777" w:rsidR="003D2A11" w:rsidRDefault="003D2A11" w:rsidP="00000B2E">
      <w:pPr>
        <w:spacing w:after="0" w:line="240" w:lineRule="auto"/>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5"/>
        <w:gridCol w:w="4665"/>
      </w:tblGrid>
      <w:tr w:rsidR="00811F3F" w14:paraId="774BFE19" w14:textId="77777777" w:rsidTr="00DE33A9">
        <w:trPr>
          <w:trHeight w:val="331"/>
          <w:jc w:val="center"/>
        </w:trPr>
        <w:tc>
          <w:tcPr>
            <w:tcW w:w="4665" w:type="dxa"/>
            <w:shd w:val="clear" w:color="auto" w:fill="FFFF00"/>
          </w:tcPr>
          <w:p w14:paraId="0EDFFC24" w14:textId="77777777" w:rsidR="00811F3F" w:rsidRDefault="00811F3F" w:rsidP="00A93743">
            <w:pPr>
              <w:jc w:val="center"/>
            </w:pPr>
            <w:r>
              <w:t xml:space="preserve">Assessment Level: </w:t>
            </w:r>
            <w:r w:rsidRPr="004D3719">
              <w:rPr>
                <w:b/>
                <w:bCs/>
              </w:rPr>
              <w:t>Moderate-Low</w:t>
            </w:r>
          </w:p>
          <w:p w14:paraId="20D6F0FA" w14:textId="77777777" w:rsidR="00472762" w:rsidRDefault="00472762" w:rsidP="00A93743">
            <w:pPr>
              <w:jc w:val="center"/>
            </w:pPr>
          </w:p>
        </w:tc>
        <w:tc>
          <w:tcPr>
            <w:tcW w:w="4665" w:type="dxa"/>
          </w:tcPr>
          <w:p w14:paraId="70E75F9D" w14:textId="2C0883F6" w:rsidR="00811F3F" w:rsidRDefault="00C718FA" w:rsidP="00A93743">
            <w:pPr>
              <w:jc w:val="center"/>
            </w:pPr>
            <w:r w:rsidRPr="001002A0">
              <w:rPr>
                <w:rStyle w:val="FooterChar"/>
                <w:noProof/>
              </w:rPr>
              <mc:AlternateContent>
                <mc:Choice Requires="wps">
                  <w:drawing>
                    <wp:anchor distT="0" distB="0" distL="114300" distR="114300" simplePos="0" relativeHeight="251658241" behindDoc="0" locked="0" layoutInCell="1" allowOverlap="1" wp14:anchorId="7E849A67" wp14:editId="318DD32E">
                      <wp:simplePos x="0" y="0"/>
                      <wp:positionH relativeFrom="column">
                        <wp:posOffset>2169959</wp:posOffset>
                      </wp:positionH>
                      <wp:positionV relativeFrom="paragraph">
                        <wp:posOffset>-62753</wp:posOffset>
                      </wp:positionV>
                      <wp:extent cx="245140" cy="487224"/>
                      <wp:effectExtent l="0" t="6668" r="0" b="0"/>
                      <wp:wrapNone/>
                      <wp:docPr id="23" name="Arrow: Up 23"/>
                      <wp:cNvGraphicFramePr/>
                      <a:graphic xmlns:a="http://schemas.openxmlformats.org/drawingml/2006/main">
                        <a:graphicData uri="http://schemas.microsoft.com/office/word/2010/wordprocessingShape">
                          <wps:wsp>
                            <wps:cNvSpPr/>
                            <wps:spPr>
                              <a:xfrm rot="5400000">
                                <a:off x="0" y="0"/>
                                <a:ext cx="245140" cy="487224"/>
                              </a:xfrm>
                              <a:prstGeom prst="upArrow">
                                <a:avLst/>
                              </a:prstGeom>
                              <a:solidFill>
                                <a:schemeClr val="accent1"/>
                              </a:solidFill>
                              <a:ln>
                                <a:noFill/>
                              </a:ln>
                              <a:effectLst/>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384AD81E">
                    <v:shape id="Arrow: Up 23" style="position:absolute;margin-left:170.85pt;margin-top:-4.95pt;width:19.3pt;height:38.3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d="f" type="#_x0000_t68" adj="5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" w14:anchorId="7F2E8179"/>
                  </w:pict>
                </mc:Fallback>
              </mc:AlternateContent>
            </w:r>
            <w:r w:rsidR="00811F3F">
              <w:t xml:space="preserve">Trend: </w:t>
            </w:r>
            <w:r w:rsidR="00550D89">
              <w:t>Stable</w:t>
            </w:r>
          </w:p>
        </w:tc>
      </w:tr>
    </w:tbl>
    <w:p w14:paraId="6A04FC4E" w14:textId="77777777" w:rsidR="002D5A35" w:rsidRDefault="002D5A35" w:rsidP="00BE7927">
      <w:pPr>
        <w:pStyle w:val="Heading2"/>
      </w:pPr>
    </w:p>
    <w:p w14:paraId="5C7CF6E1" w14:textId="77777777" w:rsidR="00BE7927" w:rsidRDefault="00BE7927" w:rsidP="00BE7927">
      <w:pPr>
        <w:pStyle w:val="Heading2"/>
      </w:pPr>
      <w:r>
        <w:t>Underwriting &amp; Profitability: Life Sector</w:t>
      </w:r>
    </w:p>
    <w:p w14:paraId="2DAF49C3" w14:textId="71038502" w:rsidR="00A72199" w:rsidRDefault="00A72199" w:rsidP="000831B8">
      <w:pPr>
        <w:spacing w:after="0" w:line="240" w:lineRule="auto"/>
      </w:pPr>
    </w:p>
    <w:p w14:paraId="2387BE8B" w14:textId="461946AA" w:rsidR="00D82300" w:rsidRDefault="003E6702" w:rsidP="003E6702">
      <w:pPr>
        <w:spacing w:after="0" w:line="240" w:lineRule="auto"/>
      </w:pPr>
      <w:r w:rsidRPr="003E6702">
        <w:t>The life insurance industry reported a 30.7% increase in overall profitability from</w:t>
      </w:r>
      <w:r>
        <w:t xml:space="preserve"> </w:t>
      </w:r>
      <w:r w:rsidRPr="003E6702">
        <w:t>year-end 2024 to $30.6 billion in 2025</w:t>
      </w:r>
      <w:r w:rsidR="007A56D5" w:rsidRPr="003E6702">
        <w:t>.</w:t>
      </w:r>
      <w:r w:rsidR="007A56D5">
        <w:t xml:space="preserve"> </w:t>
      </w:r>
      <w:r w:rsidR="009B3E3A" w:rsidRPr="009B3E3A">
        <w:t>The life industry reported a 6.0% ($86.2 billion) increase in total</w:t>
      </w:r>
      <w:r w:rsidR="009B3E3A">
        <w:t xml:space="preserve"> </w:t>
      </w:r>
      <w:r w:rsidR="009B3E3A" w:rsidRPr="009B3E3A">
        <w:t>direct written premiums and deposits to $1.5 trillion in 2025</w:t>
      </w:r>
      <w:r w:rsidR="007A56D5" w:rsidRPr="009B3E3A">
        <w:t>.</w:t>
      </w:r>
      <w:r w:rsidR="007A56D5">
        <w:t xml:space="preserve"> </w:t>
      </w:r>
      <w:r w:rsidR="009B3E3A" w:rsidRPr="009B3E3A">
        <w:t>Total net written premiums and deposits increased 2.7% ($31.3</w:t>
      </w:r>
      <w:r w:rsidR="009B3E3A">
        <w:t xml:space="preserve"> </w:t>
      </w:r>
      <w:r w:rsidR="009B3E3A" w:rsidRPr="009B3E3A">
        <w:t>billion) to $1.2 trillion</w:t>
      </w:r>
      <w:r w:rsidR="007A56D5">
        <w:t xml:space="preserve">. </w:t>
      </w:r>
      <w:r w:rsidR="00D82300" w:rsidRPr="00D82300">
        <w:t xml:space="preserve">On a net earned basis, </w:t>
      </w:r>
      <w:r w:rsidR="002B4C39" w:rsidRPr="002B4C39">
        <w:t>the industry reported a</w:t>
      </w:r>
      <w:r w:rsidR="002B4C39">
        <w:t xml:space="preserve"> </w:t>
      </w:r>
      <w:r w:rsidR="002B4C39" w:rsidRPr="002B4C39">
        <w:t>3.7% ($30.5 billion) decrease in net earned</w:t>
      </w:r>
      <w:r w:rsidR="002B4C39">
        <w:t xml:space="preserve"> </w:t>
      </w:r>
      <w:r w:rsidR="002B4C39" w:rsidRPr="002B4C39">
        <w:t>premiums to $792.9 billion</w:t>
      </w:r>
      <w:r w:rsidR="007A56D5" w:rsidRPr="002B4C39">
        <w:t>.</w:t>
      </w:r>
      <w:r w:rsidR="007A56D5" w:rsidRPr="00D82300">
        <w:t xml:space="preserve"> </w:t>
      </w:r>
      <w:r w:rsidR="00C30901" w:rsidRPr="00C30901">
        <w:t>Total net annuity considerations increased 2.0%</w:t>
      </w:r>
      <w:r w:rsidR="00C30901">
        <w:t xml:space="preserve"> </w:t>
      </w:r>
      <w:r w:rsidR="00C30901" w:rsidRPr="00C30901">
        <w:t>($8.5 billion) to $442.9 billion for 2025. The</w:t>
      </w:r>
      <w:r w:rsidR="00C30901">
        <w:t xml:space="preserve"> </w:t>
      </w:r>
      <w:r w:rsidR="00C30901" w:rsidRPr="00C30901">
        <w:t>increase was primarily driven by a 23.4% ($17.1</w:t>
      </w:r>
      <w:r w:rsidR="00C30901">
        <w:t xml:space="preserve"> </w:t>
      </w:r>
      <w:r w:rsidR="00C30901" w:rsidRPr="00C30901">
        <w:t>billion), increase in indexed annuities, a 4.8%</w:t>
      </w:r>
      <w:r w:rsidR="00C30901">
        <w:t xml:space="preserve"> </w:t>
      </w:r>
      <w:r w:rsidR="00C30901" w:rsidRPr="00C30901">
        <w:t>($5.3 billion), increase in fixed annuities, partially</w:t>
      </w:r>
      <w:r w:rsidR="00C30901">
        <w:t xml:space="preserve"> </w:t>
      </w:r>
      <w:r w:rsidR="00C30901" w:rsidRPr="00C30901">
        <w:t>offset by a 31.3% ($16.7 billion), decrease in life</w:t>
      </w:r>
      <w:r w:rsidR="00C30901">
        <w:t xml:space="preserve"> </w:t>
      </w:r>
      <w:r w:rsidR="00C30901" w:rsidRPr="00C30901">
        <w:t>contingent payout. Variable annuities with and</w:t>
      </w:r>
      <w:r w:rsidR="00C30901">
        <w:t xml:space="preserve"> </w:t>
      </w:r>
      <w:r w:rsidR="00C30901" w:rsidRPr="00C30901">
        <w:t>without guarantees accounted for 39.1% of total</w:t>
      </w:r>
      <w:r w:rsidR="00C30901">
        <w:t xml:space="preserve"> </w:t>
      </w:r>
      <w:r w:rsidR="00C30901" w:rsidRPr="00C30901">
        <w:t>annuity considerations.</w:t>
      </w:r>
      <w:r w:rsidR="00D82300" w:rsidRPr="00D82300">
        <w:t xml:space="preserve"> </w:t>
      </w:r>
    </w:p>
    <w:p w14:paraId="62E35AF2" w14:textId="77777777" w:rsidR="005E4703" w:rsidRDefault="005E4703" w:rsidP="000831B8">
      <w:pPr>
        <w:spacing w:after="0" w:line="240" w:lineRule="auto"/>
      </w:pPr>
    </w:p>
    <w:p w14:paraId="269AAA28" w14:textId="104D6E3D" w:rsidR="001C14AE" w:rsidRDefault="004F6E45" w:rsidP="004F6E45">
      <w:pPr>
        <w:spacing w:after="0" w:line="240" w:lineRule="auto"/>
      </w:pPr>
      <w:r w:rsidRPr="004F6E45">
        <w:t>The industry’s net investment yield</w:t>
      </w:r>
      <w:r>
        <w:t xml:space="preserve"> </w:t>
      </w:r>
      <w:r w:rsidRPr="004F6E45">
        <w:t>increased 0.1 percentage point to</w:t>
      </w:r>
      <w:r>
        <w:t xml:space="preserve"> </w:t>
      </w:r>
      <w:r w:rsidRPr="004F6E45">
        <w:t>4.5%</w:t>
      </w:r>
      <w:r w:rsidR="001C14AE">
        <w:t>. Following significant increases in 202</w:t>
      </w:r>
      <w:r>
        <w:t>3</w:t>
      </w:r>
      <w:r w:rsidR="001C14AE">
        <w:t xml:space="preserve"> and 202</w:t>
      </w:r>
      <w:r>
        <w:t>4</w:t>
      </w:r>
      <w:r w:rsidR="003C6344">
        <w:t>,</w:t>
      </w:r>
      <w:r w:rsidR="001C14AE">
        <w:t xml:space="preserve"> the Federal Reserve decreased the federal funds interest rate </w:t>
      </w:r>
      <w:r w:rsidR="00ED551A">
        <w:t xml:space="preserve">in 2025 </w:t>
      </w:r>
      <w:r w:rsidR="001C14AE">
        <w:t>as follows:</w:t>
      </w:r>
    </w:p>
    <w:p w14:paraId="7D2AEE74" w14:textId="77777777" w:rsidR="00A30431" w:rsidRDefault="00A30431" w:rsidP="004F6E45">
      <w:pPr>
        <w:spacing w:after="0" w:line="240" w:lineRule="auto"/>
      </w:pPr>
    </w:p>
    <w:p w14:paraId="1620E71D" w14:textId="58D7AA9B" w:rsidR="00A30431" w:rsidRPr="00A30431" w:rsidRDefault="00A30431" w:rsidP="00A30431">
      <w:pPr>
        <w:pStyle w:val="ListParagraph"/>
        <w:numPr>
          <w:ilvl w:val="0"/>
          <w:numId w:val="32"/>
        </w:numPr>
        <w:spacing w:after="0" w:line="240" w:lineRule="auto"/>
      </w:pPr>
      <w:r w:rsidRPr="00A30431">
        <w:t>September 18—to 4.25%</w:t>
      </w:r>
      <w:r>
        <w:t xml:space="preserve"> </w:t>
      </w:r>
      <w:r w:rsidRPr="00A30431">
        <w:t>from 4.50%</w:t>
      </w:r>
    </w:p>
    <w:p w14:paraId="7E861BCE" w14:textId="4D9B229C" w:rsidR="00A30431" w:rsidRPr="00A30431" w:rsidRDefault="00A30431" w:rsidP="00A30431">
      <w:pPr>
        <w:pStyle w:val="ListParagraph"/>
        <w:numPr>
          <w:ilvl w:val="0"/>
          <w:numId w:val="32"/>
        </w:numPr>
        <w:spacing w:after="0" w:line="240" w:lineRule="auto"/>
      </w:pPr>
      <w:r w:rsidRPr="00A30431">
        <w:t>October 30—to 4.00% from</w:t>
      </w:r>
      <w:r>
        <w:t xml:space="preserve"> </w:t>
      </w:r>
      <w:r w:rsidRPr="00A30431">
        <w:t>4.25%</w:t>
      </w:r>
    </w:p>
    <w:p w14:paraId="5F953020" w14:textId="2BF2C118" w:rsidR="00EA218E" w:rsidRDefault="00A30431" w:rsidP="00A30431">
      <w:pPr>
        <w:pStyle w:val="ListParagraph"/>
        <w:numPr>
          <w:ilvl w:val="0"/>
          <w:numId w:val="32"/>
        </w:numPr>
        <w:spacing w:after="0" w:line="240" w:lineRule="auto"/>
      </w:pPr>
      <w:r w:rsidRPr="00A30431">
        <w:t>December 11—to 3.75%</w:t>
      </w:r>
      <w:r>
        <w:t xml:space="preserve"> </w:t>
      </w:r>
      <w:r w:rsidRPr="00A30431">
        <w:t>from 4.00%</w:t>
      </w:r>
    </w:p>
    <w:p w14:paraId="4B07414C" w14:textId="77777777" w:rsidR="00A30431" w:rsidRDefault="00A30431" w:rsidP="00A30431">
      <w:pPr>
        <w:spacing w:after="0" w:line="240" w:lineRule="auto"/>
      </w:pPr>
    </w:p>
    <w:p w14:paraId="6D33B969" w14:textId="18C87959" w:rsidR="002571AF" w:rsidRDefault="002571AF" w:rsidP="00A30431">
      <w:pPr>
        <w:spacing w:after="0" w:line="240" w:lineRule="auto"/>
      </w:pPr>
      <w:r>
        <w:t xml:space="preserve">However, rates continue to be </w:t>
      </w:r>
      <w:r w:rsidR="00377CA3">
        <w:t xml:space="preserve">elevated above the historically low values experienced from </w:t>
      </w:r>
      <w:r w:rsidR="00C37236">
        <w:t>200</w:t>
      </w:r>
      <w:r w:rsidR="00A013D4">
        <w:t>8</w:t>
      </w:r>
      <w:r w:rsidR="00C37236">
        <w:t xml:space="preserve"> </w:t>
      </w:r>
      <w:r w:rsidR="00916163">
        <w:t>–</w:t>
      </w:r>
      <w:r w:rsidR="00C37236">
        <w:t xml:space="preserve"> 20</w:t>
      </w:r>
      <w:r w:rsidR="00916163">
        <w:t>2</w:t>
      </w:r>
      <w:r w:rsidR="00A013D4">
        <w:t>2</w:t>
      </w:r>
      <w:r w:rsidR="00916163">
        <w:t xml:space="preserve">, </w:t>
      </w:r>
      <w:r w:rsidR="00896124">
        <w:t xml:space="preserve">and demand for </w:t>
      </w:r>
      <w:r w:rsidR="00EF3511">
        <w:t xml:space="preserve">life and retirement products continues to be high, leading to </w:t>
      </w:r>
      <w:r w:rsidR="00033638">
        <w:t>solid underwriting</w:t>
      </w:r>
      <w:r w:rsidR="00EF3511">
        <w:t xml:space="preserve"> </w:t>
      </w:r>
      <w:r w:rsidR="0010684F">
        <w:t xml:space="preserve">performance for the life insurance industry overall. </w:t>
      </w:r>
    </w:p>
    <w:p w14:paraId="2F84B5EA" w14:textId="77777777" w:rsidR="0004729C" w:rsidRDefault="0004729C" w:rsidP="00A30431">
      <w:pPr>
        <w:spacing w:after="0" w:line="240" w:lineRule="auto"/>
      </w:pPr>
    </w:p>
    <w:p w14:paraId="43EDA77B" w14:textId="19DB4A1B" w:rsidR="000831B8" w:rsidRDefault="00EA218E" w:rsidP="000831B8">
      <w:pPr>
        <w:spacing w:after="0" w:line="240" w:lineRule="auto"/>
      </w:pPr>
      <w:r w:rsidRPr="00EA218E">
        <w:t xml:space="preserve">Long-term </w:t>
      </w:r>
      <w:r w:rsidR="008B0F87">
        <w:t>c</w:t>
      </w:r>
      <w:r w:rsidRPr="00EA218E">
        <w:t xml:space="preserve">are insurance </w:t>
      </w:r>
      <w:r w:rsidR="008B0F87">
        <w:t xml:space="preserve">(LTCI) </w:t>
      </w:r>
      <w:r w:rsidRPr="00EA218E">
        <w:t>continues to pose risks for many insurers</w:t>
      </w:r>
      <w:r w:rsidR="0057296A">
        <w:t xml:space="preserve">, with </w:t>
      </w:r>
      <w:r w:rsidR="00E555AA">
        <w:t>most</w:t>
      </w:r>
      <w:r w:rsidR="007E05B1">
        <w:t xml:space="preserve"> of the exposure concentrated within life insurers</w:t>
      </w:r>
      <w:r w:rsidR="007A56D5" w:rsidRPr="00EA218E">
        <w:t xml:space="preserve">. </w:t>
      </w:r>
      <w:r w:rsidR="005E45C5">
        <w:t xml:space="preserve"> </w:t>
      </w:r>
      <w:r w:rsidRPr="00EA218E">
        <w:t>The primary challenges for insurers and state insurance regulators in LTCI markets come from older issue year policies</w:t>
      </w:r>
      <w:r w:rsidR="007A56D5" w:rsidRPr="00EA218E">
        <w:t xml:space="preserve">. </w:t>
      </w:r>
      <w:r w:rsidR="005E45C5">
        <w:t xml:space="preserve"> </w:t>
      </w:r>
      <w:r w:rsidRPr="00EA218E">
        <w:t>These policies were initially priced when LTCI experience used to calculate rates was not fully developed</w:t>
      </w:r>
      <w:r w:rsidR="007A56D5" w:rsidRPr="00EA218E">
        <w:t>.</w:t>
      </w:r>
      <w:r w:rsidR="007A56D5">
        <w:t xml:space="preserve"> </w:t>
      </w:r>
      <w:r w:rsidR="005E45C5">
        <w:t xml:space="preserve"> </w:t>
      </w:r>
      <w:r w:rsidRPr="00EA218E">
        <w:t>As experience developed, it became apparent that the initial pricing assumptions for the number of policyholders qualifying for LTC benefits and the length of time claimants would remain on claim were understated</w:t>
      </w:r>
      <w:r w:rsidR="007A56D5" w:rsidRPr="00EA218E">
        <w:t xml:space="preserve">. </w:t>
      </w:r>
      <w:r w:rsidR="005E45C5">
        <w:t xml:space="preserve"> </w:t>
      </w:r>
      <w:r w:rsidRPr="00EA218E">
        <w:t>Additionally, actual policy lapse rates proved to be much lower than initially assumed, resulting in higher insurer exposure to claims payments</w:t>
      </w:r>
      <w:r w:rsidR="007A56D5" w:rsidRPr="00EA218E">
        <w:t xml:space="preserve">. </w:t>
      </w:r>
      <w:r w:rsidRPr="00EA218E">
        <w:t>Misestimation of initial pricing assumptions has made it necessary for insurers to increase LTCI rates to ensure their future solvency</w:t>
      </w:r>
      <w:r w:rsidR="008E0E8F">
        <w:t xml:space="preserve"> and to incorporate expectations </w:t>
      </w:r>
      <w:r w:rsidR="00C12743">
        <w:t xml:space="preserve">for approval of future rate increases into </w:t>
      </w:r>
      <w:r w:rsidR="009449BE">
        <w:t xml:space="preserve">reserving </w:t>
      </w:r>
      <w:r w:rsidR="00EA5217">
        <w:t>assumptions</w:t>
      </w:r>
      <w:r w:rsidRPr="00EA218E">
        <w:t>.</w:t>
      </w:r>
    </w:p>
    <w:p w14:paraId="364C633A" w14:textId="77777777" w:rsidR="004B3C62" w:rsidRDefault="004B3C62" w:rsidP="000831B8">
      <w:pPr>
        <w:spacing w:after="0" w:line="240" w:lineRule="auto"/>
      </w:pPr>
    </w:p>
    <w:p w14:paraId="101276FC" w14:textId="19D20890" w:rsidR="00E07A90" w:rsidRDefault="00E07A90">
      <w:pPr>
        <w:jc w:val="left"/>
      </w:pPr>
      <w:r>
        <w:br w:type="page"/>
      </w:r>
    </w:p>
    <w:p w14:paraId="24A1BF30" w14:textId="3F68C99A" w:rsidR="00834B6B" w:rsidRDefault="00A77A36" w:rsidP="00ED5BB9">
      <w:pPr>
        <w:spacing w:after="0" w:line="240" w:lineRule="auto"/>
        <w:jc w:val="center"/>
      </w:pPr>
      <w:r>
        <w:rPr>
          <w:noProof/>
        </w:rPr>
        <w:drawing>
          <wp:inline distT="0" distB="0" distL="0" distR="0" wp14:anchorId="320AEB84" wp14:editId="71187F88">
            <wp:extent cx="6143625" cy="3533775"/>
            <wp:effectExtent l="0" t="0" r="9525" b="9525"/>
            <wp:docPr id="963437201" name="Chart 1">
              <a:extLst xmlns:a="http://schemas.openxmlformats.org/drawingml/2006/main">
                <a:ext uri="{FF2B5EF4-FFF2-40B4-BE49-F238E27FC236}">
                  <a16:creationId xmlns:a16="http://schemas.microsoft.com/office/drawing/2014/main" id="{B822A488-04E6-09B3-6E73-0B335B8D3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71DA153" w14:textId="77777777" w:rsidR="00834B6B" w:rsidRDefault="00834B6B" w:rsidP="00ED5BB9">
      <w:pPr>
        <w:spacing w:after="0" w:line="240" w:lineRule="auto"/>
        <w:jc w:val="center"/>
      </w:pPr>
    </w:p>
    <w:p w14:paraId="2FACA92A" w14:textId="6C30619C" w:rsidR="000432EB" w:rsidRDefault="000432EB" w:rsidP="00ED5BB9">
      <w:pPr>
        <w:spacing w:after="0" w:line="240" w:lineRule="auto"/>
        <w:jc w:val="center"/>
      </w:pPr>
      <w:r>
        <w:br w:type="page"/>
      </w:r>
    </w:p>
    <w:p w14:paraId="54C74708" w14:textId="73AD84B5" w:rsidR="00BE7927" w:rsidRDefault="00BE7927" w:rsidP="000831B8">
      <w:pPr>
        <w:pStyle w:val="Heading2"/>
        <w:spacing w:line="240" w:lineRule="auto"/>
      </w:pPr>
      <w:r>
        <w:t>Underwriting &amp; Profitability: P&amp;C Sector</w:t>
      </w:r>
    </w:p>
    <w:p w14:paraId="51B3D02F" w14:textId="77777777" w:rsidR="00F066BA" w:rsidRPr="00F066BA" w:rsidRDefault="00F066BA" w:rsidP="00F066BA">
      <w:pPr>
        <w:spacing w:after="0" w:line="240" w:lineRule="auto"/>
      </w:pPr>
    </w:p>
    <w:p w14:paraId="7A466B8B" w14:textId="00F0C2A6" w:rsidR="00F066BA" w:rsidRPr="00F066BA" w:rsidRDefault="00F066BA" w:rsidP="00F066BA">
      <w:pPr>
        <w:spacing w:after="0" w:line="240" w:lineRule="auto"/>
      </w:pPr>
      <w:r w:rsidRPr="00F066BA">
        <w:t xml:space="preserve">The U.S. Property &amp; Casualty (P&amp;C) industry’s underwriting income jumped by over $40 billion </w:t>
      </w:r>
      <w:r w:rsidR="000809AA">
        <w:t xml:space="preserve">in 2025 </w:t>
      </w:r>
      <w:r w:rsidRPr="00F066BA">
        <w:t xml:space="preserve">compared to </w:t>
      </w:r>
      <w:r w:rsidR="00A828AE">
        <w:t>2024</w:t>
      </w:r>
      <w:r w:rsidRPr="00F066BA">
        <w:t xml:space="preserve"> due to a combination of strong premium growth and lower incurred losses, driven by a meaningful reduction in catastrophe losses, primarily in the second half of the year. </w:t>
      </w:r>
    </w:p>
    <w:p w14:paraId="74CB76DF" w14:textId="03B68E23" w:rsidR="00146A4A" w:rsidRDefault="00F066BA" w:rsidP="00F066BA">
      <w:pPr>
        <w:spacing w:after="0" w:line="240" w:lineRule="auto"/>
      </w:pPr>
      <w:r w:rsidRPr="00F066BA">
        <w:t>The underwriting gain was partially offset by lower investment income, driven by a significant drop in realized investment gains</w:t>
      </w:r>
      <w:r w:rsidR="003C1C7B">
        <w:t xml:space="preserve"> (</w:t>
      </w:r>
      <w:r w:rsidR="007846B0">
        <w:t xml:space="preserve">generally </w:t>
      </w:r>
      <w:r w:rsidR="003C1C7B">
        <w:t>attributed to large one-time transactions in 2024)</w:t>
      </w:r>
      <w:r w:rsidRPr="00F066BA">
        <w:t>, resulting in a 10% decline in net income compared to last year.</w:t>
      </w:r>
      <w:r w:rsidR="00BE072D">
        <w:t xml:space="preserve"> </w:t>
      </w:r>
      <w:r w:rsidRPr="00F066BA">
        <w:t xml:space="preserve"> Net income and unrealized investment gains drove an increase in policyholders’ surplus to a new high of $1.27 trillion at December 31, 2025.</w:t>
      </w:r>
    </w:p>
    <w:p w14:paraId="7A98B6D8" w14:textId="2187E0E5" w:rsidR="00F066BA" w:rsidRPr="00F066BA" w:rsidRDefault="00F066BA" w:rsidP="00F066BA">
      <w:pPr>
        <w:spacing w:after="0" w:line="240" w:lineRule="auto"/>
      </w:pPr>
      <w:r w:rsidRPr="00F066BA">
        <w:t xml:space="preserve"> </w:t>
      </w:r>
    </w:p>
    <w:p w14:paraId="6CA33C40" w14:textId="77777777" w:rsidR="00146A4A" w:rsidRDefault="00146A4A" w:rsidP="00F066BA">
      <w:pPr>
        <w:spacing w:after="0" w:line="240" w:lineRule="auto"/>
      </w:pPr>
    </w:p>
    <w:p w14:paraId="7FE6770F" w14:textId="687A65FA" w:rsidR="00125B1D" w:rsidRDefault="002735B5" w:rsidP="000831B8">
      <w:pPr>
        <w:spacing w:after="0" w:line="240" w:lineRule="auto"/>
      </w:pPr>
      <w:r>
        <w:rPr>
          <w:noProof/>
        </w:rPr>
        <w:drawing>
          <wp:inline distT="0" distB="0" distL="0" distR="0" wp14:anchorId="3AA703AF" wp14:editId="34451E93">
            <wp:extent cx="5715000" cy="2767013"/>
            <wp:effectExtent l="0" t="0" r="0" b="14605"/>
            <wp:docPr id="185583817" name="Chart 1">
              <a:extLst xmlns:a="http://schemas.openxmlformats.org/drawingml/2006/main">
                <a:ext uri="{FF2B5EF4-FFF2-40B4-BE49-F238E27FC236}">
                  <a16:creationId xmlns:a16="http://schemas.microsoft.com/office/drawing/2014/main" id="{E5D45C10-E83D-BE0E-BE01-3042317F7A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AF039CB" w14:textId="77777777" w:rsidR="00125B1D" w:rsidRDefault="00125B1D" w:rsidP="000831B8">
      <w:pPr>
        <w:spacing w:after="0" w:line="240" w:lineRule="auto"/>
      </w:pPr>
    </w:p>
    <w:p w14:paraId="1E2520DC" w14:textId="4256782A" w:rsidR="006877FD" w:rsidRDefault="00C91CA0" w:rsidP="000831B8">
      <w:pPr>
        <w:spacing w:after="0" w:line="240" w:lineRule="auto"/>
      </w:pPr>
      <w:r w:rsidRPr="00C91CA0">
        <w:t xml:space="preserve">The U.S. P&amp;C industry </w:t>
      </w:r>
      <w:r>
        <w:t>had</w:t>
      </w:r>
      <w:r w:rsidRPr="00C91CA0">
        <w:t xml:space="preserve"> its strongest underwriting performance in over two decades, </w:t>
      </w:r>
      <w:r>
        <w:t>due</w:t>
      </w:r>
      <w:r w:rsidRPr="00C91CA0">
        <w:t xml:space="preserve"> to improved pricing and lower claims costs on property lines</w:t>
      </w:r>
      <w:r w:rsidR="007A56D5" w:rsidRPr="00C91CA0">
        <w:t xml:space="preserve">. </w:t>
      </w:r>
      <w:r w:rsidRPr="00C91CA0">
        <w:t>Premiums grew 8-10% annually over the last four years and while premiums increased at a lesser pace this year, lower insured losses from natural disasters and favorable prior year reserve development helped boost underwriting profits</w:t>
      </w:r>
      <w:r w:rsidR="007A56D5" w:rsidRPr="00C91CA0">
        <w:t xml:space="preserve">. </w:t>
      </w:r>
      <w:r w:rsidRPr="00C91CA0">
        <w:t xml:space="preserve">Overall, net premium earned increased 5.5% while net losses and LAE decreased 1.4%, the first decrease in well over a decade, leading to a 4.7-point improvement in the net loss ratio to 66.5%. The expense ratio remained nearly flat at 25.8% as the 4.1% increase in net premiums written was outpaced by a 6.4% increase in other underwriting expenses incurred. </w:t>
      </w:r>
      <w:r w:rsidR="00444BDE">
        <w:t xml:space="preserve"> </w:t>
      </w:r>
      <w:r w:rsidRPr="00C91CA0">
        <w:t>Overall, the combined ratio improved 4.0</w:t>
      </w:r>
      <w:r w:rsidR="00715781">
        <w:t xml:space="preserve"> </w:t>
      </w:r>
      <w:r w:rsidRPr="00C91CA0">
        <w:t>points to 92.9%.</w:t>
      </w:r>
    </w:p>
    <w:p w14:paraId="30846BD4" w14:textId="77777777" w:rsidR="0096558D" w:rsidRDefault="0096558D" w:rsidP="000831B8">
      <w:pPr>
        <w:spacing w:after="0" w:line="240" w:lineRule="auto"/>
      </w:pPr>
    </w:p>
    <w:p w14:paraId="512DA0C6" w14:textId="77777777" w:rsidR="001D2939" w:rsidRDefault="001D2939" w:rsidP="001D2939">
      <w:pPr>
        <w:spacing w:after="0" w:line="240" w:lineRule="auto"/>
      </w:pPr>
      <w:r w:rsidRPr="00F066BA">
        <w:t>Despite the positive results in 2025, the industry faces several headwinds in 2026. Slower premium growth could begin to tighten profit margins, challenges with social inflation continue to impact reserve adequacy within commercial liability lines, and continued losses from severe convective storms remain a volatile challenge for property underwriters.</w:t>
      </w:r>
    </w:p>
    <w:p w14:paraId="00B3216E" w14:textId="77777777" w:rsidR="009F762E" w:rsidRDefault="009F762E" w:rsidP="000831B8">
      <w:pPr>
        <w:spacing w:after="0" w:line="240" w:lineRule="auto"/>
      </w:pPr>
    </w:p>
    <w:p w14:paraId="5249A594" w14:textId="157E1ADD" w:rsidR="00E32410" w:rsidRDefault="00E32410">
      <w:pPr>
        <w:jc w:val="left"/>
      </w:pPr>
      <w:r>
        <w:br w:type="page"/>
      </w:r>
    </w:p>
    <w:p w14:paraId="21D95D17" w14:textId="3B3056B7" w:rsidR="00E32410" w:rsidRPr="00E32410" w:rsidRDefault="00E32410" w:rsidP="000831B8">
      <w:pPr>
        <w:spacing w:after="0" w:line="240" w:lineRule="auto"/>
        <w:rPr>
          <w:b/>
          <w:bCs/>
          <w:sz w:val="24"/>
          <w:szCs w:val="24"/>
        </w:rPr>
      </w:pPr>
      <w:r w:rsidRPr="00E32410">
        <w:rPr>
          <w:b/>
          <w:bCs/>
          <w:sz w:val="24"/>
          <w:szCs w:val="24"/>
        </w:rPr>
        <w:t>Social Inflation</w:t>
      </w:r>
    </w:p>
    <w:p w14:paraId="4989FA77" w14:textId="0783FF3E" w:rsidR="00647DF7" w:rsidRDefault="00647DF7" w:rsidP="00647DF7">
      <w:pPr>
        <w:spacing w:after="0" w:line="240" w:lineRule="auto"/>
      </w:pPr>
      <w:r>
        <w:t>In addition to the ongoing development of asbestos and environmental claims, new exposures are emerging with the potential to result in casualty catastrophes or latent catastrophes</w:t>
      </w:r>
      <w:r w:rsidR="007A56D5">
        <w:t xml:space="preserve">. </w:t>
      </w:r>
      <w:r>
        <w:t>Of particular concern in this area is “Social Inflation,” which is used to describe the potential for rising costs of insurance claims resulting from increased litigation, broader definitions of liability, more plaintiff-friendly legal decisions, and larger compensatory jury awards.</w:t>
      </w:r>
    </w:p>
    <w:p w14:paraId="43318AC0" w14:textId="77777777" w:rsidR="00E32410" w:rsidRDefault="00E32410" w:rsidP="00647DF7">
      <w:pPr>
        <w:spacing w:after="0" w:line="240" w:lineRule="auto"/>
      </w:pPr>
    </w:p>
    <w:p w14:paraId="205776AA" w14:textId="2C8D58D1" w:rsidR="00647DF7" w:rsidRDefault="00647DF7" w:rsidP="00647DF7">
      <w:pPr>
        <w:spacing w:after="0" w:line="240" w:lineRule="auto"/>
      </w:pPr>
      <w:r>
        <w:t>Over the past decade, such factors have accounted for 57% of the increase in liability claims in the US. Since 2020, the number of nuclear verdicts (defined as awards over USD 10 million) in the U</w:t>
      </w:r>
      <w:r w:rsidR="005815D5">
        <w:t>.</w:t>
      </w:r>
      <w:r>
        <w:t>S</w:t>
      </w:r>
      <w:r w:rsidR="005815D5">
        <w:t>.</w:t>
      </w:r>
      <w:r>
        <w:t xml:space="preserve"> have more than quadrupled, while the median verdict value has more than doubled to USD 51 million</w:t>
      </w:r>
      <w:r w:rsidR="007A56D5">
        <w:t xml:space="preserve">. </w:t>
      </w:r>
      <w:r>
        <w:t>Due in part to higher litigation awards, US liability lines exposed to bodily injury claims saw profitability deteriorate over the five years to 2024, with cumulative underwriting losses mounting to USD 43 billion</w:t>
      </w:r>
      <w:r w:rsidR="007A56D5">
        <w:t xml:space="preserve">. </w:t>
      </w:r>
      <w:r>
        <w:t>In 2024, the average award in cases against a corporate defendant in the US rose to USD 65.7 million, up from USD 41.7 million in 2023, according to data from LexisNexis, as reported by the Financial Times.</w:t>
      </w:r>
    </w:p>
    <w:p w14:paraId="47587FA6" w14:textId="77777777" w:rsidR="002E021D" w:rsidRDefault="002E021D" w:rsidP="00647DF7">
      <w:pPr>
        <w:spacing w:after="0" w:line="240" w:lineRule="auto"/>
      </w:pPr>
    </w:p>
    <w:p w14:paraId="66F2EEF4" w14:textId="78C1D411" w:rsidR="002E021D" w:rsidRDefault="00784A0C" w:rsidP="00647DF7">
      <w:pPr>
        <w:spacing w:after="0" w:line="240" w:lineRule="auto"/>
      </w:pPr>
      <w:r>
        <w:t xml:space="preserve">Not only does social inflation </w:t>
      </w:r>
      <w:r w:rsidR="00F80307">
        <w:t>impact losses for insurers, it is also a driver of</w:t>
      </w:r>
      <w:r w:rsidR="00512C55">
        <w:t xml:space="preserve"> increased premiums and the high cost of insurance</w:t>
      </w:r>
      <w:r w:rsidR="00346A9E">
        <w:t xml:space="preserve">-auto in particular.  </w:t>
      </w:r>
      <w:r w:rsidR="00480230">
        <w:t>M</w:t>
      </w:r>
      <w:r w:rsidR="002E021D">
        <w:t xml:space="preserve">any states have </w:t>
      </w:r>
      <w:r w:rsidR="00A16676">
        <w:t xml:space="preserve">implemented or are in the process of </w:t>
      </w:r>
      <w:r w:rsidR="00317397">
        <w:t>implementing</w:t>
      </w:r>
      <w:r w:rsidR="00825E92">
        <w:t xml:space="preserve"> tort reform</w:t>
      </w:r>
      <w:r w:rsidR="00317397">
        <w:t xml:space="preserve"> measures</w:t>
      </w:r>
      <w:r w:rsidR="00825E92">
        <w:t xml:space="preserve"> in an effort to </w:t>
      </w:r>
      <w:r w:rsidR="00BD6DD0">
        <w:t xml:space="preserve">mitigate large </w:t>
      </w:r>
      <w:r w:rsidR="00A16676">
        <w:t>verdicts.</w:t>
      </w:r>
    </w:p>
    <w:p w14:paraId="20F2FF7E" w14:textId="77777777" w:rsidR="000432EB" w:rsidRDefault="000432EB" w:rsidP="00647DF7">
      <w:pPr>
        <w:spacing w:after="0" w:line="240" w:lineRule="auto"/>
        <w:rPr>
          <w:b/>
          <w:bCs/>
        </w:rPr>
      </w:pPr>
    </w:p>
    <w:p w14:paraId="115DFDA5" w14:textId="39D36EA1" w:rsidR="006B44F0" w:rsidRDefault="00456F84" w:rsidP="0060624B">
      <w:pPr>
        <w:spacing w:after="0" w:line="240" w:lineRule="auto"/>
        <w:jc w:val="center"/>
        <w:rPr>
          <w:b/>
          <w:bCs/>
        </w:rPr>
      </w:pPr>
      <w:r>
        <w:rPr>
          <w:b/>
          <w:bCs/>
          <w:noProof/>
        </w:rPr>
        <w:drawing>
          <wp:inline distT="0" distB="0" distL="0" distR="0" wp14:anchorId="50C8B909" wp14:editId="44BC3F3D">
            <wp:extent cx="4194175" cy="4438015"/>
            <wp:effectExtent l="0" t="0" r="0" b="635"/>
            <wp:docPr id="19604152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194175" cy="4438015"/>
                    </a:xfrm>
                    <a:prstGeom prst="rect">
                      <a:avLst/>
                    </a:prstGeom>
                    <a:noFill/>
                  </pic:spPr>
                </pic:pic>
              </a:graphicData>
            </a:graphic>
          </wp:inline>
        </w:drawing>
      </w:r>
    </w:p>
    <w:p w14:paraId="4F7538AC" w14:textId="557C584B" w:rsidR="006B44F0" w:rsidRPr="00362C7C" w:rsidRDefault="00C50AE1" w:rsidP="00647DF7">
      <w:pPr>
        <w:spacing w:after="0" w:line="240" w:lineRule="auto"/>
        <w:rPr>
          <w:sz w:val="20"/>
          <w:szCs w:val="20"/>
          <w:lang w:val="fr-CA"/>
        </w:rPr>
      </w:pPr>
      <w:r w:rsidRPr="00362C7C">
        <w:rPr>
          <w:b/>
          <w:lang w:val="fr-CA"/>
        </w:rPr>
        <w:t xml:space="preserve">Source: </w:t>
      </w:r>
      <w:r w:rsidR="00D04343">
        <w:rPr>
          <w:b/>
          <w:lang w:val="fr-CA"/>
        </w:rPr>
        <w:t xml:space="preserve"> </w:t>
      </w:r>
      <w:hyperlink r:id="rId27" w:history="1">
        <w:r w:rsidR="00E83319" w:rsidRPr="00D04343">
          <w:rPr>
            <w:rStyle w:val="Hyperlink"/>
            <w:sz w:val="20"/>
            <w:szCs w:val="20"/>
            <w:lang w:val="fr-CA"/>
          </w:rPr>
          <w:t>https://marathonstrategies.com/report/corporate-verdicts-go-thermonuclear-2025-edition/</w:t>
        </w:r>
      </w:hyperlink>
    </w:p>
    <w:p w14:paraId="5656E00C" w14:textId="1D421533" w:rsidR="00975748" w:rsidRPr="00362C7C" w:rsidRDefault="00975748">
      <w:pPr>
        <w:jc w:val="left"/>
        <w:rPr>
          <w:b/>
          <w:sz w:val="24"/>
          <w:szCs w:val="24"/>
          <w:lang w:val="fr-CA"/>
        </w:rPr>
      </w:pPr>
      <w:r w:rsidRPr="00362C7C">
        <w:rPr>
          <w:b/>
          <w:sz w:val="24"/>
          <w:szCs w:val="24"/>
          <w:lang w:val="fr-CA"/>
        </w:rPr>
        <w:br w:type="page"/>
      </w:r>
    </w:p>
    <w:p w14:paraId="39DA246B" w14:textId="4CC25580" w:rsidR="007829A0" w:rsidRPr="000432EB" w:rsidRDefault="007829A0" w:rsidP="00647DF7">
      <w:pPr>
        <w:spacing w:after="0" w:line="240" w:lineRule="auto"/>
        <w:rPr>
          <w:b/>
          <w:bCs/>
          <w:sz w:val="24"/>
          <w:szCs w:val="24"/>
        </w:rPr>
      </w:pPr>
      <w:r w:rsidRPr="000432EB">
        <w:rPr>
          <w:b/>
          <w:bCs/>
          <w:sz w:val="24"/>
          <w:szCs w:val="24"/>
        </w:rPr>
        <w:t>Natural Catas</w:t>
      </w:r>
      <w:r w:rsidR="00EA1DF4" w:rsidRPr="000432EB">
        <w:rPr>
          <w:b/>
          <w:bCs/>
          <w:sz w:val="24"/>
          <w:szCs w:val="24"/>
        </w:rPr>
        <w:t>trophes</w:t>
      </w:r>
    </w:p>
    <w:p w14:paraId="20B0EE28" w14:textId="14A74E40" w:rsidR="00ED45CB" w:rsidRDefault="00ED45CB" w:rsidP="00647DF7">
      <w:pPr>
        <w:spacing w:after="0" w:line="240" w:lineRule="auto"/>
      </w:pPr>
      <w:r w:rsidRPr="00ED45CB">
        <w:t>Insured losses from natural disasters in the U.S amounted to roughly $100 billion</w:t>
      </w:r>
      <w:r w:rsidR="00C95626">
        <w:t xml:space="preserve"> in 2025</w:t>
      </w:r>
      <w:r w:rsidRPr="00ED45CB">
        <w:t xml:space="preserve">, slightly lower than </w:t>
      </w:r>
      <w:r w:rsidR="00C95626">
        <w:t>the prior year</w:t>
      </w:r>
      <w:r w:rsidR="007A56D5" w:rsidRPr="00ED45CB">
        <w:t xml:space="preserve">. </w:t>
      </w:r>
      <w:r w:rsidR="00CF049E">
        <w:t xml:space="preserve">Losses in </w:t>
      </w:r>
      <w:r w:rsidRPr="00ED45CB">
        <w:t xml:space="preserve">2025 </w:t>
      </w:r>
      <w:r w:rsidR="007441C0">
        <w:t>were</w:t>
      </w:r>
      <w:r w:rsidRPr="00ED45CB">
        <w:t xml:space="preserve"> different than prior years i</w:t>
      </w:r>
      <w:r w:rsidR="007441C0">
        <w:t>n</w:t>
      </w:r>
      <w:r w:rsidRPr="00ED45CB">
        <w:t xml:space="preserve"> that </w:t>
      </w:r>
      <w:r w:rsidR="00511632">
        <w:t>they</w:t>
      </w:r>
      <w:r w:rsidR="00511632" w:rsidRPr="00ED45CB">
        <w:t xml:space="preserve"> </w:t>
      </w:r>
      <w:r w:rsidRPr="00ED45CB">
        <w:t>were driven by wildfires and severe storms rather than tropical cyclone activity</w:t>
      </w:r>
      <w:r w:rsidR="00511632">
        <w:t>,</w:t>
      </w:r>
      <w:r w:rsidRPr="00ED45CB">
        <w:t xml:space="preserve"> as no hurricanes made landfall in the </w:t>
      </w:r>
      <w:r w:rsidR="007A56D5" w:rsidRPr="00ED45CB">
        <w:t>U.S.</w:t>
      </w:r>
      <w:r w:rsidR="00DA6DFA">
        <w:t xml:space="preserve"> </w:t>
      </w:r>
      <w:r w:rsidR="007A56D5" w:rsidRPr="00ED45CB">
        <w:t xml:space="preserve"> </w:t>
      </w:r>
      <w:r w:rsidRPr="00ED45CB">
        <w:t>The Palisades and Eaton Wildfires in California</w:t>
      </w:r>
      <w:r w:rsidR="00C86742">
        <w:t>,</w:t>
      </w:r>
      <w:r w:rsidRPr="00ED45CB">
        <w:t xml:space="preserve"> which occurred in the first quarter </w:t>
      </w:r>
      <w:r w:rsidR="00DA6DFA">
        <w:t xml:space="preserve">of 2025 </w:t>
      </w:r>
      <w:r w:rsidRPr="00ED45CB">
        <w:t xml:space="preserve">were the costliest wildfires in world history and accounted for nearly half of </w:t>
      </w:r>
      <w:r w:rsidR="006B511E">
        <w:t xml:space="preserve">all </w:t>
      </w:r>
      <w:r w:rsidR="002022EC" w:rsidRPr="00ED45CB">
        <w:t>catastrophic</w:t>
      </w:r>
      <w:r w:rsidR="00E6087D">
        <w:t xml:space="preserve"> </w:t>
      </w:r>
      <w:r w:rsidRPr="00ED45CB">
        <w:t>losses</w:t>
      </w:r>
      <w:r w:rsidR="002022EC" w:rsidRPr="00ED45CB">
        <w:t xml:space="preserve"> </w:t>
      </w:r>
      <w:r w:rsidR="003B0194">
        <w:t>incurred</w:t>
      </w:r>
      <w:r w:rsidRPr="00ED45CB">
        <w:t xml:space="preserve">. </w:t>
      </w:r>
      <w:r w:rsidR="003B0194">
        <w:t>L</w:t>
      </w:r>
      <w:r w:rsidRPr="00ED45CB">
        <w:t xml:space="preserve">osses from severe convective storms totaled roughly $50 billion for the third year in a row, becoming the most common and destructive natural catastrophe in the U.S. </w:t>
      </w:r>
    </w:p>
    <w:p w14:paraId="14FB79DB" w14:textId="77777777" w:rsidR="00ED45CB" w:rsidRDefault="00ED45CB" w:rsidP="00647DF7">
      <w:pPr>
        <w:spacing w:after="0" w:line="240" w:lineRule="auto"/>
      </w:pPr>
    </w:p>
    <w:p w14:paraId="12B5BF72" w14:textId="1AB4F539" w:rsidR="00EA1DF4" w:rsidRDefault="00E44FE7" w:rsidP="00647DF7">
      <w:pPr>
        <w:spacing w:after="0" w:line="240" w:lineRule="auto"/>
      </w:pPr>
      <w:r>
        <w:t xml:space="preserve">The Overall assessment of </w:t>
      </w:r>
      <w:r w:rsidR="00223EAE">
        <w:t xml:space="preserve">Natural Catastrophe Risk, </w:t>
      </w:r>
      <w:r w:rsidR="006A0116">
        <w:t>primarily</w:t>
      </w:r>
      <w:r w:rsidR="00FE3950">
        <w:t xml:space="preserve"> </w:t>
      </w:r>
      <w:r w:rsidR="006A0116">
        <w:t>impacting</w:t>
      </w:r>
      <w:r w:rsidR="00FE3950">
        <w:t xml:space="preserve"> </w:t>
      </w:r>
      <w:r w:rsidR="004E4201">
        <w:t>property insurers</w:t>
      </w:r>
      <w:r w:rsidR="006A0116">
        <w:t>, is Moderate-High</w:t>
      </w:r>
      <w:r w:rsidR="007A56D5">
        <w:t xml:space="preserve">. </w:t>
      </w:r>
      <w:r w:rsidR="004E4201">
        <w:t>See separate Natural Catastrophe Risk Dashboard and Report for further details</w:t>
      </w:r>
      <w:r w:rsidR="007A56D5">
        <w:t xml:space="preserve">. </w:t>
      </w:r>
      <w:r w:rsidR="007441C0">
        <w:t>The results of the Nat</w:t>
      </w:r>
      <w:r w:rsidR="00AE6070">
        <w:t>ural</w:t>
      </w:r>
      <w:r w:rsidR="007441C0">
        <w:t xml:space="preserve"> Cat</w:t>
      </w:r>
      <w:r w:rsidR="00AE6070">
        <w:t>astrophe</w:t>
      </w:r>
      <w:r w:rsidR="007441C0">
        <w:t xml:space="preserve"> Risk Dashboard feed into this Macroprudential Risk Assessment as part of overall U.S. Insurance Macroprudential Supervision.</w:t>
      </w:r>
    </w:p>
    <w:p w14:paraId="6AC326BB" w14:textId="0A5D4A4A" w:rsidR="00DA42DE" w:rsidRDefault="000212D8" w:rsidP="00647DF7">
      <w:pPr>
        <w:spacing w:after="0" w:line="240" w:lineRule="auto"/>
      </w:pPr>
      <w:r>
        <w:t>There is a public version of the Natural Catastrophe Risk Dashboard</w:t>
      </w:r>
      <w:r w:rsidR="00576931">
        <w:t xml:space="preserve"> report</w:t>
      </w:r>
      <w:r w:rsidR="00DA42DE">
        <w:t>, which</w:t>
      </w:r>
      <w:r w:rsidR="00576931">
        <w:t xml:space="preserve"> may be found here:  </w:t>
      </w:r>
    </w:p>
    <w:p w14:paraId="6BAC43EF" w14:textId="427337FA" w:rsidR="000212D8" w:rsidRDefault="00576931" w:rsidP="00647DF7">
      <w:pPr>
        <w:spacing w:after="0" w:line="240" w:lineRule="auto"/>
      </w:pPr>
      <w:hyperlink r:id="rId28" w:history="1">
        <w:r w:rsidRPr="00E00577">
          <w:rPr>
            <w:rStyle w:val="Hyperlink"/>
          </w:rPr>
          <w:t>https://content.naic.org/sites/default/files/natural-catastrophe-risk-dashboard-report-final.pdf</w:t>
        </w:r>
      </w:hyperlink>
    </w:p>
    <w:p w14:paraId="437F138B" w14:textId="77777777" w:rsidR="001F5DB2" w:rsidRDefault="001F5DB2" w:rsidP="00647DF7">
      <w:pPr>
        <w:spacing w:after="0" w:line="240" w:lineRule="auto"/>
      </w:pPr>
    </w:p>
    <w:p w14:paraId="4CF853C4" w14:textId="1386F9AA" w:rsidR="001F5DB2" w:rsidRDefault="00F70C67" w:rsidP="00647DF7">
      <w:pPr>
        <w:spacing w:after="0" w:line="240" w:lineRule="auto"/>
      </w:pPr>
      <w:r>
        <w:t xml:space="preserve">There is also a </w:t>
      </w:r>
      <w:r w:rsidR="007E1831">
        <w:t>detailed</w:t>
      </w:r>
      <w:r w:rsidR="00052D74">
        <w:t xml:space="preserve"> </w:t>
      </w:r>
      <w:r>
        <w:t>Natural Catastrophe Risk Dashboard</w:t>
      </w:r>
      <w:r w:rsidR="007E1831">
        <w:t>, which is regulator only.</w:t>
      </w:r>
    </w:p>
    <w:p w14:paraId="1EDB6ADE" w14:textId="77777777" w:rsidR="0096558D" w:rsidRDefault="0096558D" w:rsidP="00647DF7">
      <w:pPr>
        <w:spacing w:after="0" w:line="240" w:lineRule="auto"/>
      </w:pPr>
    </w:p>
    <w:p w14:paraId="1D0B590E" w14:textId="2E137C8C" w:rsidR="0096558D" w:rsidRPr="0096558D" w:rsidRDefault="0096558D" w:rsidP="00647DF7">
      <w:pPr>
        <w:spacing w:after="0" w:line="240" w:lineRule="auto"/>
        <w:rPr>
          <w:b/>
          <w:bCs/>
        </w:rPr>
      </w:pPr>
      <w:r w:rsidRPr="0096558D">
        <w:rPr>
          <w:b/>
          <w:bCs/>
        </w:rPr>
        <w:t>Reserves</w:t>
      </w:r>
    </w:p>
    <w:p w14:paraId="00418D8F" w14:textId="77777777" w:rsidR="00AB13FC" w:rsidRDefault="00AB13FC" w:rsidP="00AB13FC">
      <w:pPr>
        <w:spacing w:after="0" w:line="240" w:lineRule="auto"/>
      </w:pPr>
      <w:r w:rsidRPr="001256B9">
        <w:t>Total Loss and LAE reserves increased 5.1% to $1.03 trillion and was comprised of $869.2 billion unpaid losses and $162.9 billion unpaid LAE. Reserve leverage improved 4.8</w:t>
      </w:r>
      <w:r>
        <w:t xml:space="preserve"> </w:t>
      </w:r>
      <w:r w:rsidRPr="001256B9">
        <w:t>points to 81.5% due to the increase in policyholders’ surplus.</w:t>
      </w:r>
    </w:p>
    <w:p w14:paraId="31045C2A" w14:textId="77777777" w:rsidR="004B3C62" w:rsidRDefault="004B3C62" w:rsidP="00AB13FC">
      <w:pPr>
        <w:spacing w:after="0" w:line="240" w:lineRule="auto"/>
      </w:pPr>
    </w:p>
    <w:p w14:paraId="0BD2DF4A" w14:textId="11C4CD41" w:rsidR="0096558D" w:rsidRDefault="0096558D" w:rsidP="0096558D">
      <w:pPr>
        <w:spacing w:after="0" w:line="240" w:lineRule="auto"/>
      </w:pPr>
      <w:r w:rsidRPr="009F762E">
        <w:t>The industry benefited significantly from prior-year reserve releases</w:t>
      </w:r>
      <w:r w:rsidR="007A56D5" w:rsidRPr="009F762E">
        <w:t>.</w:t>
      </w:r>
      <w:r w:rsidR="007A56D5">
        <w:t xml:space="preserve"> </w:t>
      </w:r>
      <w:r w:rsidRPr="009F762E">
        <w:t>There was a one-year redundancy of $20.0 billion, and a two-year redundancy of $13.5 billion</w:t>
      </w:r>
      <w:r w:rsidR="007A56D5" w:rsidRPr="009F762E">
        <w:t>.</w:t>
      </w:r>
      <w:r w:rsidR="007A56D5">
        <w:t xml:space="preserve"> </w:t>
      </w:r>
      <w:r w:rsidRPr="009F762E">
        <w:t>This followed several years of diminishing prior year reserve releases which stemmed primarily from adverse development in the commercial liability lines, driven by economic and social inflation</w:t>
      </w:r>
      <w:r w:rsidR="007A56D5" w:rsidRPr="009F762E">
        <w:t xml:space="preserve">. </w:t>
      </w:r>
      <w:r w:rsidRPr="009F762E">
        <w:t xml:space="preserve">Workers’ compensation reserves continued to develop favorably; however, </w:t>
      </w:r>
      <w:r w:rsidR="00E92E80">
        <w:t xml:space="preserve">most of </w:t>
      </w:r>
      <w:r w:rsidRPr="009F762E">
        <w:t>the turnaround can be attributed to the personal lines of business which, together accounted for $15.9 billion in favorable development.</w:t>
      </w:r>
    </w:p>
    <w:p w14:paraId="0E3B164A" w14:textId="77777777" w:rsidR="0096558D" w:rsidRDefault="0096558D" w:rsidP="00647DF7">
      <w:pPr>
        <w:spacing w:after="0" w:line="240" w:lineRule="auto"/>
      </w:pPr>
    </w:p>
    <w:p w14:paraId="42830330" w14:textId="2292AAC8" w:rsidR="000C5283" w:rsidRDefault="000C5283">
      <w:pPr>
        <w:jc w:val="left"/>
      </w:pPr>
      <w:r>
        <w:br w:type="page"/>
      </w:r>
    </w:p>
    <w:p w14:paraId="28981040" w14:textId="540EB369" w:rsidR="00C8029F" w:rsidRDefault="00C8029F" w:rsidP="000831B8">
      <w:pPr>
        <w:pStyle w:val="Heading2"/>
        <w:spacing w:line="240" w:lineRule="auto"/>
      </w:pPr>
      <w:r>
        <w:t>Underwriting &amp; Profitability:</w:t>
      </w:r>
      <w:r w:rsidR="009652EF">
        <w:t xml:space="preserve"> </w:t>
      </w:r>
      <w:r>
        <w:t xml:space="preserve"> Health Sector</w:t>
      </w:r>
    </w:p>
    <w:p w14:paraId="313DE4AD" w14:textId="77777777" w:rsidR="007441C0" w:rsidRPr="007441C0" w:rsidRDefault="007441C0" w:rsidP="007441C0">
      <w:pPr>
        <w:spacing w:after="0" w:line="240" w:lineRule="auto"/>
      </w:pPr>
    </w:p>
    <w:p w14:paraId="126980DC" w14:textId="7A4295DC" w:rsidR="00456F84" w:rsidRDefault="004233ED" w:rsidP="000831B8">
      <w:pPr>
        <w:spacing w:after="0" w:line="240" w:lineRule="auto"/>
      </w:pPr>
      <w:r>
        <w:t xml:space="preserve">The health insurance industry profitability dropped considerably </w:t>
      </w:r>
      <w:r w:rsidR="007441C0" w:rsidRPr="007441C0">
        <w:t>for the second year in a row</w:t>
      </w:r>
      <w:r>
        <w:t xml:space="preserve"> with net earnings dropping from $</w:t>
      </w:r>
      <w:r w:rsidR="007441C0" w:rsidRPr="007441C0">
        <w:t>9.3</w:t>
      </w:r>
      <w:r>
        <w:t xml:space="preserve"> billion to </w:t>
      </w:r>
      <w:r w:rsidR="007441C0" w:rsidRPr="007441C0">
        <w:t>$6</w:t>
      </w:r>
      <w:r>
        <w:t xml:space="preserve"> billion and a profit margin dropping from </w:t>
      </w:r>
      <w:r w:rsidR="007441C0" w:rsidRPr="007441C0">
        <w:t>0.8</w:t>
      </w:r>
      <w:r>
        <w:t>% to just 0.</w:t>
      </w:r>
      <w:r w:rsidR="007441C0" w:rsidRPr="007441C0">
        <w:t>4</w:t>
      </w:r>
      <w:r>
        <w:t>%. The combined ratio increased to 100.</w:t>
      </w:r>
      <w:r w:rsidR="007441C0" w:rsidRPr="007441C0">
        <w:t>6% in 2025 compared to 100.1 % in 2024</w:t>
      </w:r>
      <w:r w:rsidR="007A56D5" w:rsidRPr="007441C0">
        <w:t>.</w:t>
      </w:r>
      <w:r w:rsidR="007A56D5">
        <w:t xml:space="preserve"> </w:t>
      </w:r>
      <w:r w:rsidR="00B2616F">
        <w:t>The</w:t>
      </w:r>
      <w:r w:rsidR="003A715D">
        <w:t xml:space="preserve">se </w:t>
      </w:r>
      <w:r w:rsidR="00422779">
        <w:t>negative</w:t>
      </w:r>
      <w:r w:rsidR="003A715D">
        <w:t xml:space="preserve"> trends drove the Moderate-low </w:t>
      </w:r>
      <w:r w:rsidR="009172E4">
        <w:t>Underwriting risk assessment.</w:t>
      </w:r>
    </w:p>
    <w:p w14:paraId="3DF0393D" w14:textId="77777777" w:rsidR="007441C0" w:rsidRDefault="007441C0" w:rsidP="007441C0">
      <w:pPr>
        <w:spacing w:after="0" w:line="240" w:lineRule="auto"/>
      </w:pPr>
    </w:p>
    <w:p w14:paraId="36AF6CD9" w14:textId="7B150F61" w:rsidR="007441C0" w:rsidRDefault="00990473" w:rsidP="007441C0">
      <w:pPr>
        <w:spacing w:after="0" w:line="240" w:lineRule="auto"/>
      </w:pPr>
      <w:r>
        <w:t xml:space="preserve">In spite of </w:t>
      </w:r>
      <w:r w:rsidR="00B94E70">
        <w:t xml:space="preserve">the declining performance, </w:t>
      </w:r>
      <w:r w:rsidR="00D04EE9">
        <w:t>t</w:t>
      </w:r>
      <w:r w:rsidR="007441C0" w:rsidRPr="007441C0">
        <w:t xml:space="preserve">he industry </w:t>
      </w:r>
      <w:r w:rsidR="007441C0">
        <w:t>was</w:t>
      </w:r>
      <w:r w:rsidR="007441C0" w:rsidRPr="007441C0">
        <w:t xml:space="preserve"> </w:t>
      </w:r>
      <w:r w:rsidR="00D04EE9">
        <w:t xml:space="preserve">still </w:t>
      </w:r>
      <w:r w:rsidR="007441C0" w:rsidRPr="007441C0">
        <w:t xml:space="preserve">profitable </w:t>
      </w:r>
      <w:r w:rsidR="00D04EE9">
        <w:t>overall</w:t>
      </w:r>
      <w:r w:rsidR="007441C0" w:rsidRPr="007441C0">
        <w:t xml:space="preserve"> as investment income of $14.8 billion (6.6% increase </w:t>
      </w:r>
      <w:r w:rsidR="00316AF0" w:rsidRPr="007441C0">
        <w:t>year over year</w:t>
      </w:r>
      <w:r w:rsidR="007441C0" w:rsidRPr="007441C0">
        <w:t>) helped offset an $8.1 billion net underwriting loss (negative 526.7% year-over-year)</w:t>
      </w:r>
      <w:r w:rsidR="007A56D5" w:rsidRPr="007441C0">
        <w:t xml:space="preserve">. </w:t>
      </w:r>
      <w:r w:rsidR="007441C0" w:rsidRPr="007441C0">
        <w:t>Adjusted cash flow from operations was negative $3.4 billion, a figure that marks the lowest point in at least the past decade and the second year in a row of negative adjusted cash flow from operations.</w:t>
      </w:r>
    </w:p>
    <w:p w14:paraId="2396BCC6" w14:textId="77777777" w:rsidR="00846C22" w:rsidRDefault="00846C22" w:rsidP="007441C0">
      <w:pPr>
        <w:spacing w:after="0" w:line="240" w:lineRule="auto"/>
      </w:pPr>
    </w:p>
    <w:p w14:paraId="438991E4" w14:textId="0C8B1F82" w:rsidR="00846C22" w:rsidRDefault="00846C22" w:rsidP="007441C0">
      <w:pPr>
        <w:spacing w:after="0" w:line="240" w:lineRule="auto"/>
      </w:pPr>
      <w:r w:rsidRPr="00846C22">
        <w:t>The considerable decrease in cash flow is due primarily to continued high utilization with a 14.8% ($155 billion) increase in benefits and loss-related payments, while only growing net earned premiums by 13.2% ($153 billion).</w:t>
      </w:r>
    </w:p>
    <w:p w14:paraId="46CC2A7C" w14:textId="77777777" w:rsidR="00806DA4" w:rsidRDefault="00806DA4" w:rsidP="007441C0">
      <w:pPr>
        <w:spacing w:after="0" w:line="240" w:lineRule="auto"/>
      </w:pPr>
    </w:p>
    <w:p w14:paraId="2A013C51" w14:textId="1E65A7D8" w:rsidR="004002B9" w:rsidRPr="00362C7C" w:rsidRDefault="004002B9" w:rsidP="00362C7C">
      <w:pPr>
        <w:spacing w:after="0" w:line="240" w:lineRule="auto"/>
        <w:jc w:val="center"/>
        <w:rPr>
          <w:b/>
          <w:bCs/>
        </w:rPr>
      </w:pPr>
      <w:r w:rsidRPr="00362C7C">
        <w:rPr>
          <w:b/>
          <w:bCs/>
          <w:color w:val="0070C0"/>
        </w:rPr>
        <w:t xml:space="preserve">Health Underwriting </w:t>
      </w:r>
      <w:r w:rsidR="00B6525D" w:rsidRPr="00362C7C">
        <w:rPr>
          <w:b/>
          <w:bCs/>
          <w:color w:val="0070C0"/>
        </w:rPr>
        <w:t>Performance</w:t>
      </w:r>
    </w:p>
    <w:p w14:paraId="53A51908" w14:textId="77777777" w:rsidR="007441C0" w:rsidRDefault="007441C0" w:rsidP="007441C0">
      <w:pPr>
        <w:spacing w:after="0" w:line="240" w:lineRule="auto"/>
      </w:pPr>
    </w:p>
    <w:p w14:paraId="6984E4B6" w14:textId="4F7976A9" w:rsidR="000159BD" w:rsidRDefault="00863855" w:rsidP="007441C0">
      <w:pPr>
        <w:spacing w:after="0" w:line="240" w:lineRule="auto"/>
      </w:pPr>
      <w:r w:rsidRPr="00863855">
        <w:rPr>
          <w:rFonts w:ascii="Aptos" w:eastAsia="Times New Roman" w:hAnsi="Aptos" w:cs="Arial"/>
          <w:noProof/>
          <w:color w:val="000000"/>
        </w:rPr>
        <w:drawing>
          <wp:inline distT="0" distB="0" distL="0" distR="0" wp14:anchorId="01CA1427" wp14:editId="4C4EFC3A">
            <wp:extent cx="5943600" cy="3288503"/>
            <wp:effectExtent l="0" t="0" r="0" b="7620"/>
            <wp:docPr id="11294268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r:link="rId30" cstate="email">
                      <a:extLst>
                        <a:ext uri="{28A0092B-C50C-407E-A947-70E740481C1C}">
                          <a14:useLocalDpi xmlns:a14="http://schemas.microsoft.com/office/drawing/2010/main" val="0"/>
                        </a:ext>
                      </a:extLst>
                    </a:blip>
                    <a:srcRect/>
                    <a:stretch>
                      <a:fillRect/>
                    </a:stretch>
                  </pic:blipFill>
                  <pic:spPr bwMode="auto">
                    <a:xfrm>
                      <a:off x="0" y="0"/>
                      <a:ext cx="5943600" cy="3288503"/>
                    </a:xfrm>
                    <a:prstGeom prst="rect">
                      <a:avLst/>
                    </a:prstGeom>
                    <a:noFill/>
                    <a:ln>
                      <a:noFill/>
                    </a:ln>
                  </pic:spPr>
                </pic:pic>
              </a:graphicData>
            </a:graphic>
          </wp:inline>
        </w:drawing>
      </w:r>
    </w:p>
    <w:p w14:paraId="1BB5C6EC" w14:textId="5578483F" w:rsidR="000159BD" w:rsidRDefault="00E929FB" w:rsidP="007441C0">
      <w:pPr>
        <w:spacing w:after="0" w:line="240" w:lineRule="auto"/>
      </w:pPr>
      <w:r w:rsidRPr="00E929FB">
        <w:rPr>
          <w:b/>
          <w:bCs/>
        </w:rPr>
        <w:t>Note:</w:t>
      </w:r>
      <w:r w:rsidRPr="00E929FB">
        <w:t xml:space="preserve"> </w:t>
      </w:r>
      <w:r>
        <w:t xml:space="preserve"> </w:t>
      </w:r>
      <w:r w:rsidRPr="00E929FB">
        <w:t>Aggregate results include only health entities who file annual statements with the NAIC. Figures reflect filings received as of April 6, 2026, and may change due to additional filings or amendments.</w:t>
      </w:r>
    </w:p>
    <w:p w14:paraId="449D4BFF" w14:textId="77777777" w:rsidR="009652EF" w:rsidRDefault="009652EF" w:rsidP="007441C0">
      <w:pPr>
        <w:spacing w:after="0" w:line="240" w:lineRule="auto"/>
      </w:pPr>
    </w:p>
    <w:p w14:paraId="062A0A27" w14:textId="77777777" w:rsidR="009652EF" w:rsidRDefault="009652EF" w:rsidP="007441C0">
      <w:pPr>
        <w:spacing w:after="0" w:line="240" w:lineRule="auto"/>
      </w:pPr>
    </w:p>
    <w:p w14:paraId="05BFFD73" w14:textId="54287EEA" w:rsidR="0048066F" w:rsidRDefault="0048066F">
      <w:pPr>
        <w:jc w:val="left"/>
      </w:pPr>
      <w:r>
        <w:br w:type="page"/>
      </w:r>
    </w:p>
    <w:p w14:paraId="3099AC34" w14:textId="77777777" w:rsidR="009652EF" w:rsidRDefault="009652EF" w:rsidP="007441C0">
      <w:pPr>
        <w:spacing w:after="0" w:line="240" w:lineRule="auto"/>
      </w:pPr>
    </w:p>
    <w:p w14:paraId="0E40F1A7" w14:textId="52EBDABD" w:rsidR="006B76BD" w:rsidRDefault="002735B5" w:rsidP="000831B8">
      <w:pPr>
        <w:spacing w:after="0" w:line="240" w:lineRule="auto"/>
      </w:pPr>
      <w:r>
        <w:rPr>
          <w:noProof/>
        </w:rPr>
        <w:drawing>
          <wp:inline distT="0" distB="0" distL="0" distR="0" wp14:anchorId="3D335B81" wp14:editId="25E31F8D">
            <wp:extent cx="5943600" cy="2579370"/>
            <wp:effectExtent l="0" t="0" r="0" b="11430"/>
            <wp:docPr id="1722696847" name="Chart 1">
              <a:extLst xmlns:a="http://schemas.openxmlformats.org/drawingml/2006/main">
                <a:ext uri="{FF2B5EF4-FFF2-40B4-BE49-F238E27FC236}">
                  <a16:creationId xmlns:a16="http://schemas.microsoft.com/office/drawing/2014/main" id="{F671DB80-3B39-E366-8741-8ECF7BA77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2210F25" w14:textId="77777777" w:rsidR="00863855" w:rsidRDefault="00863855" w:rsidP="000831B8">
      <w:pPr>
        <w:spacing w:after="0" w:line="240" w:lineRule="auto"/>
      </w:pPr>
    </w:p>
    <w:p w14:paraId="150347CD" w14:textId="77777777" w:rsidR="00863855" w:rsidRDefault="00863855" w:rsidP="000831B8">
      <w:pPr>
        <w:spacing w:after="0" w:line="240" w:lineRule="auto"/>
      </w:pPr>
    </w:p>
    <w:p w14:paraId="2D16DE22" w14:textId="0669BD11" w:rsidR="004233ED" w:rsidRDefault="004233ED">
      <w:pPr>
        <w:jc w:val="left"/>
      </w:pPr>
      <w:r>
        <w:br w:type="page"/>
      </w:r>
    </w:p>
    <w:p w14:paraId="42DAEC94" w14:textId="12700E86" w:rsidR="004D62F2" w:rsidRDefault="004D62F2" w:rsidP="004D62F2">
      <w:pPr>
        <w:pStyle w:val="Heading1"/>
      </w:pPr>
      <w:bookmarkStart w:id="9" w:name="_Toc232602959"/>
      <w:r>
        <w:t>Market</w:t>
      </w:r>
      <w:r w:rsidR="001E64FD">
        <w:t xml:space="preserve"> Risk</w:t>
      </w:r>
      <w:r>
        <w:t xml:space="preserve">: </w:t>
      </w:r>
      <w:r w:rsidR="0048066F">
        <w:t xml:space="preserve"> </w:t>
      </w:r>
      <w:r>
        <w:t>Summary</w:t>
      </w:r>
      <w:bookmarkEnd w:id="9"/>
    </w:p>
    <w:p w14:paraId="5AAB12A1" w14:textId="0F1F6807" w:rsidR="004D62F2" w:rsidRDefault="0057074B" w:rsidP="00CF17DD">
      <w:r>
        <w:t>Significant</w:t>
      </w:r>
      <w:r w:rsidR="00CF17DD">
        <w:t xml:space="preserve"> common stock</w:t>
      </w:r>
      <w:r>
        <w:t>,</w:t>
      </w:r>
      <w:r w:rsidR="00CF17DD">
        <w:t xml:space="preserve"> </w:t>
      </w:r>
      <w:r w:rsidR="00F25D2F">
        <w:t xml:space="preserve">Level </w:t>
      </w:r>
      <w:r w:rsidR="00267A72">
        <w:t>3 assets, level 3 assets</w:t>
      </w:r>
      <w:r w:rsidR="00896E27">
        <w:t>,</w:t>
      </w:r>
      <w:r w:rsidR="00267A72">
        <w:t xml:space="preserve"> </w:t>
      </w:r>
      <w:r>
        <w:t xml:space="preserve">Schedule </w:t>
      </w:r>
      <w:r w:rsidR="00CF17DD">
        <w:t xml:space="preserve">BA </w:t>
      </w:r>
      <w:r w:rsidR="007A56D5">
        <w:t>assets,</w:t>
      </w:r>
      <w:r w:rsidR="00CF17DD">
        <w:t xml:space="preserve"> </w:t>
      </w:r>
      <w:r w:rsidR="001C3CE3">
        <w:t xml:space="preserve">and derivative </w:t>
      </w:r>
      <w:r w:rsidR="00CF17DD">
        <w:t xml:space="preserve">exposure </w:t>
      </w:r>
      <w:r w:rsidR="001C3CE3">
        <w:t>were key drivers</w:t>
      </w:r>
      <w:r w:rsidR="00CF17DD">
        <w:t xml:space="preserve"> </w:t>
      </w:r>
      <w:r w:rsidR="00F863C5">
        <w:t>in determining the moderate-low assessment</w:t>
      </w:r>
      <w:r w:rsidR="00052D74">
        <w:t xml:space="preserve">.  </w:t>
      </w:r>
      <w:r w:rsidR="00DE1019">
        <w:t>level 3 a</w:t>
      </w:r>
      <w:r w:rsidR="003939D1">
        <w:t xml:space="preserve">ssets continued growth and </w:t>
      </w:r>
      <w:r w:rsidR="00896E27">
        <w:t>significant percentage of insu</w:t>
      </w:r>
      <w:r w:rsidR="0008422C">
        <w:t>rers investments was observed</w:t>
      </w:r>
      <w:r w:rsidR="00195A30">
        <w:t>.</w:t>
      </w:r>
      <w:r w:rsidR="007B1D44">
        <w:t xml:space="preserve">  Although equity market</w:t>
      </w:r>
      <w:r w:rsidR="00F8373A">
        <w:t>s</w:t>
      </w:r>
      <w:r w:rsidR="007B1D44">
        <w:t xml:space="preserve"> continue to experience significant growth</w:t>
      </w:r>
      <w:r w:rsidR="0082096B">
        <w:t xml:space="preserve">, the risk of an </w:t>
      </w:r>
      <w:r w:rsidR="00675294">
        <w:t>immediate downturn always exist</w:t>
      </w:r>
      <w:r w:rsidR="004976EC">
        <w:t>s</w:t>
      </w:r>
      <w:r w:rsidR="00675294">
        <w:t xml:space="preserve"> and therefore could be </w:t>
      </w:r>
      <w:r w:rsidR="004976EC">
        <w:t>significant risk to insurers as their allocation to equities is significant.</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5"/>
        <w:gridCol w:w="4665"/>
      </w:tblGrid>
      <w:tr w:rsidR="002C0A79" w14:paraId="4EFF98B9" w14:textId="77777777" w:rsidTr="00B40B45">
        <w:trPr>
          <w:trHeight w:val="331"/>
          <w:jc w:val="center"/>
        </w:trPr>
        <w:tc>
          <w:tcPr>
            <w:tcW w:w="4665" w:type="dxa"/>
            <w:shd w:val="clear" w:color="auto" w:fill="FFFF00"/>
          </w:tcPr>
          <w:p w14:paraId="5F3C6873" w14:textId="77777777" w:rsidR="002C0A79" w:rsidRDefault="002C0A79" w:rsidP="00A93743">
            <w:pPr>
              <w:jc w:val="center"/>
            </w:pPr>
            <w:r>
              <w:t xml:space="preserve">Assessment Level: </w:t>
            </w:r>
            <w:r w:rsidRPr="009652EF">
              <w:rPr>
                <w:b/>
                <w:bCs/>
              </w:rPr>
              <w:t>Moderate-Low</w:t>
            </w:r>
          </w:p>
          <w:p w14:paraId="08959097" w14:textId="77777777" w:rsidR="007C1C0A" w:rsidRDefault="007C1C0A" w:rsidP="00A93743">
            <w:pPr>
              <w:jc w:val="center"/>
            </w:pPr>
          </w:p>
        </w:tc>
        <w:tc>
          <w:tcPr>
            <w:tcW w:w="4665" w:type="dxa"/>
          </w:tcPr>
          <w:p w14:paraId="6CD8AA06" w14:textId="1F139DFB" w:rsidR="002C0A79" w:rsidRDefault="00E72531" w:rsidP="00A93743">
            <w:pPr>
              <w:jc w:val="center"/>
            </w:pPr>
            <w:r w:rsidRPr="001002A0">
              <w:rPr>
                <w:rStyle w:val="HeaderChar"/>
                <w:noProof/>
              </w:rPr>
              <mc:AlternateContent>
                <mc:Choice Requires="wps">
                  <w:drawing>
                    <wp:anchor distT="0" distB="0" distL="114300" distR="114300" simplePos="0" relativeHeight="251658242" behindDoc="0" locked="0" layoutInCell="1" allowOverlap="1" wp14:anchorId="3EA2CC74" wp14:editId="2AEE9913">
                      <wp:simplePos x="0" y="0"/>
                      <wp:positionH relativeFrom="column">
                        <wp:posOffset>2006103</wp:posOffset>
                      </wp:positionH>
                      <wp:positionV relativeFrom="paragraph">
                        <wp:posOffset>-44533</wp:posOffset>
                      </wp:positionV>
                      <wp:extent cx="247012" cy="394331"/>
                      <wp:effectExtent l="57150" t="0" r="20320" b="6350"/>
                      <wp:wrapNone/>
                      <wp:docPr id="24" name="Arrow: Up 24"/>
                      <wp:cNvGraphicFramePr/>
                      <a:graphic xmlns:a="http://schemas.openxmlformats.org/drawingml/2006/main">
                        <a:graphicData uri="http://schemas.microsoft.com/office/word/2010/wordprocessingShape">
                          <wps:wsp>
                            <wps:cNvSpPr/>
                            <wps:spPr>
                              <a:xfrm rot="2187280">
                                <a:off x="0" y="0"/>
                                <a:ext cx="247012" cy="394331"/>
                              </a:xfrm>
                              <a:prstGeom prst="upArrow">
                                <a:avLst/>
                              </a:prstGeom>
                              <a:solidFill>
                                <a:schemeClr val="accent1"/>
                              </a:solidFill>
                              <a:ln>
                                <a:noFill/>
                              </a:ln>
                              <a:effectLst/>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5065BE69">
                    <v:shape id="Arrow: Up 24" style="position:absolute;margin-left:157.95pt;margin-top:-3.5pt;width:19.45pt;height:31.05pt;rotation:2389093fd;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d="f" type="#_x0000_t68" adj="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" w14:anchorId="38E009AC"/>
                  </w:pict>
                </mc:Fallback>
              </mc:AlternateContent>
            </w:r>
            <w:r w:rsidR="002C0A79">
              <w:t>Trend: Increasing</w:t>
            </w:r>
          </w:p>
        </w:tc>
      </w:tr>
    </w:tbl>
    <w:p w14:paraId="79ED8518" w14:textId="77777777" w:rsidR="004B3278" w:rsidRDefault="004B3278" w:rsidP="00B40B45">
      <w:pPr>
        <w:pStyle w:val="Heading2"/>
      </w:pPr>
    </w:p>
    <w:p w14:paraId="1DBD8BA7" w14:textId="73D2D2CA" w:rsidR="00B40B45" w:rsidRDefault="00B40B45" w:rsidP="00B40B45">
      <w:pPr>
        <w:pStyle w:val="Heading2"/>
      </w:pPr>
      <w:r>
        <w:t>Market Risk: Common Stock Exposure</w:t>
      </w:r>
    </w:p>
    <w:p w14:paraId="7094910F" w14:textId="4F873AB3" w:rsidR="00AE0336" w:rsidRDefault="00AE0336" w:rsidP="00AE0336">
      <w:r>
        <w:t xml:space="preserve">Common stocks remained the second-largest asset class in the U.S. insurance industry’s portfolio, </w:t>
      </w:r>
      <w:r w:rsidR="00E72531">
        <w:t>increasing</w:t>
      </w:r>
      <w:r>
        <w:t xml:space="preserve"> by nearly 1</w:t>
      </w:r>
      <w:r w:rsidR="00E72531">
        <w:t>1</w:t>
      </w:r>
      <w:r>
        <w:t>% to $1.</w:t>
      </w:r>
      <w:r w:rsidR="00E72531">
        <w:t>3</w:t>
      </w:r>
      <w:r>
        <w:t xml:space="preserve"> trillion at year-end 202</w:t>
      </w:r>
      <w:r w:rsidR="00E72531">
        <w:t>5</w:t>
      </w:r>
      <w:r w:rsidR="007A56D5">
        <w:t xml:space="preserve">. </w:t>
      </w:r>
      <w:r w:rsidR="00E72531">
        <w:t>Common stock as a percentage</w:t>
      </w:r>
      <w:r>
        <w:t xml:space="preserve"> of total cash and invested assets </w:t>
      </w:r>
      <w:r w:rsidR="00E72531">
        <w:t>increased</w:t>
      </w:r>
      <w:r>
        <w:t xml:space="preserve"> </w:t>
      </w:r>
      <w:r w:rsidR="00E72531">
        <w:t>by about 50 b.p.</w:t>
      </w:r>
      <w:r>
        <w:t xml:space="preserve"> to 13.</w:t>
      </w:r>
      <w:r w:rsidR="00E72531">
        <w:t>6</w:t>
      </w:r>
      <w:r>
        <w:t>% from 13.</w:t>
      </w:r>
      <w:r w:rsidR="00E72531">
        <w:t>1</w:t>
      </w:r>
      <w:r>
        <w:t>% in 20</w:t>
      </w:r>
      <w:r w:rsidR="00E72531">
        <w:t>25</w:t>
      </w:r>
      <w:r>
        <w:t>.</w:t>
      </w:r>
    </w:p>
    <w:p w14:paraId="5A0062FB" w14:textId="1A1686C5" w:rsidR="00A5250F" w:rsidRDefault="00A5250F" w:rsidP="00AE0336">
      <w:r>
        <w:t>The VIX index ended the year at 14.95, indicating lower than average equity volatility.</w:t>
      </w:r>
    </w:p>
    <w:p w14:paraId="560ADDC8" w14:textId="77400A82" w:rsidR="00AE0336" w:rsidRDefault="00AE0336" w:rsidP="00AE0336">
      <w:r>
        <w:t xml:space="preserve">U.S. insurers’ unaffiliated publicly traded common stock holdings experienced a weighted average </w:t>
      </w:r>
      <w:r w:rsidR="00E72531">
        <w:t>12</w:t>
      </w:r>
      <w:r>
        <w:t>% increase in value in 202</w:t>
      </w:r>
      <w:r w:rsidR="00E72531">
        <w:t>5</w:t>
      </w:r>
      <w:r>
        <w:t xml:space="preserve">, slightly underperforming the Standard &amp; Poor’s 500 index’s (S&amp;P 500) </w:t>
      </w:r>
      <w:r w:rsidR="00926E45">
        <w:t>17</w:t>
      </w:r>
      <w:r>
        <w:t>% return over the same period.</w:t>
      </w:r>
    </w:p>
    <w:p w14:paraId="5A489FC7" w14:textId="2E652FB6" w:rsidR="007B6525" w:rsidRDefault="007B6525" w:rsidP="00C50A54">
      <w:pPr>
        <w:pStyle w:val="ListParagraph"/>
        <w:ind w:left="0"/>
        <w:jc w:val="center"/>
      </w:pPr>
    </w:p>
    <w:p w14:paraId="2AB70A60" w14:textId="50275D9F" w:rsidR="00C50A54" w:rsidRDefault="00130284">
      <w:pPr>
        <w:jc w:val="left"/>
      </w:pPr>
      <w:r>
        <w:rPr>
          <w:noProof/>
        </w:rPr>
        <w:drawing>
          <wp:inline distT="0" distB="0" distL="0" distR="0" wp14:anchorId="113F70C2" wp14:editId="3F3D1BC3">
            <wp:extent cx="6372225" cy="3600450"/>
            <wp:effectExtent l="0" t="0" r="9525" b="0"/>
            <wp:docPr id="1009595579" name="Chart 1">
              <a:extLst xmlns:a="http://schemas.openxmlformats.org/drawingml/2006/main">
                <a:ext uri="{FF2B5EF4-FFF2-40B4-BE49-F238E27FC236}">
                  <a16:creationId xmlns:a16="http://schemas.microsoft.com/office/drawing/2014/main" id="{DFC376C6-52E7-754F-EBB7-8320ACC1D1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C50A54">
        <w:br w:type="page"/>
      </w:r>
    </w:p>
    <w:p w14:paraId="70C45A0C" w14:textId="77777777" w:rsidR="007B6525" w:rsidRDefault="007B6525" w:rsidP="00BD089D">
      <w:pPr>
        <w:pStyle w:val="Heading2"/>
      </w:pPr>
    </w:p>
    <w:p w14:paraId="12F29E03" w14:textId="2F2670DB" w:rsidR="004D62F2" w:rsidRDefault="004D62F2" w:rsidP="00BD089D">
      <w:pPr>
        <w:pStyle w:val="Heading2"/>
      </w:pPr>
      <w:r>
        <w:t>Market Risk</w:t>
      </w:r>
      <w:r w:rsidR="00993F78">
        <w:t>:</w:t>
      </w:r>
      <w:r>
        <w:t xml:space="preserve"> Bond Exposure</w:t>
      </w:r>
      <w:r w:rsidRPr="004D71E4">
        <w:rPr>
          <w:noProof/>
        </w:rPr>
        <w:t xml:space="preserve"> </w:t>
      </w:r>
    </w:p>
    <w:p w14:paraId="3502BCC6" w14:textId="465DA4D2" w:rsidR="008761F3" w:rsidRDefault="008761F3" w:rsidP="005E75CF">
      <w:pPr>
        <w:pStyle w:val="ListParagraph"/>
        <w:ind w:left="90"/>
      </w:pPr>
      <w:r w:rsidRPr="008761F3">
        <w:t>Bonds continued to represent the largest asset class of insurers, accounting for 60% of total cash and invested assets at year-end 202</w:t>
      </w:r>
      <w:r w:rsidR="00926E45">
        <w:t>5</w:t>
      </w:r>
      <w:r w:rsidRPr="008761F3">
        <w:t xml:space="preserve">, </w:t>
      </w:r>
      <w:r w:rsidR="00926E45">
        <w:t>flat</w:t>
      </w:r>
      <w:r w:rsidRPr="008761F3">
        <w:t xml:space="preserve"> from year-end 202</w:t>
      </w:r>
      <w:r w:rsidR="00926E45">
        <w:t>4</w:t>
      </w:r>
      <w:r w:rsidR="007A56D5" w:rsidRPr="008761F3">
        <w:t xml:space="preserve">. </w:t>
      </w:r>
      <w:r w:rsidR="006D0530">
        <w:t xml:space="preserve"> </w:t>
      </w:r>
      <w:r w:rsidRPr="008761F3">
        <w:t xml:space="preserve">Over the longer term, insurers’ bond allocations have gradually declined from around 70% at year-end 2010, </w:t>
      </w:r>
      <w:r w:rsidR="00750018">
        <w:t>most</w:t>
      </w:r>
      <w:r w:rsidR="00212AEB">
        <w:t xml:space="preserve"> </w:t>
      </w:r>
      <w:r w:rsidR="00750018">
        <w:t>likely</w:t>
      </w:r>
      <w:r w:rsidR="00212AEB">
        <w:t xml:space="preserve"> due to</w:t>
      </w:r>
      <w:r w:rsidRPr="008761F3">
        <w:t xml:space="preserve"> companies s</w:t>
      </w:r>
      <w:r w:rsidR="00212AEB">
        <w:t>eeking</w:t>
      </w:r>
      <w:r w:rsidRPr="008761F3">
        <w:t xml:space="preserve"> higher returns in other asset classes amid a prolonged </w:t>
      </w:r>
      <w:r w:rsidR="00715781" w:rsidRPr="008761F3">
        <w:t>low-interest rate</w:t>
      </w:r>
      <w:r w:rsidRPr="008761F3">
        <w:t xml:space="preserve"> environment</w:t>
      </w:r>
      <w:r w:rsidR="00750018">
        <w:t xml:space="preserve"> that existed at the time</w:t>
      </w:r>
      <w:r w:rsidRPr="008761F3">
        <w:t>.</w:t>
      </w:r>
    </w:p>
    <w:p w14:paraId="1E9FDDB2" w14:textId="77777777" w:rsidR="005E75CF" w:rsidRPr="008761F3" w:rsidRDefault="005E75CF" w:rsidP="005E75CF">
      <w:pPr>
        <w:pStyle w:val="ListParagraph"/>
        <w:ind w:left="90"/>
      </w:pPr>
    </w:p>
    <w:p w14:paraId="726AF3A6" w14:textId="5C2230C9" w:rsidR="00A5250F" w:rsidRDefault="00A5250F" w:rsidP="005E75CF">
      <w:pPr>
        <w:pStyle w:val="ListParagraph"/>
        <w:ind w:left="90"/>
      </w:pPr>
      <w:r>
        <w:t xml:space="preserve">The YLDVOL index was approximately 64 at year end, almost half </w:t>
      </w:r>
      <w:r w:rsidR="00D13474">
        <w:t xml:space="preserve">of what </w:t>
      </w:r>
      <w:r>
        <w:t>it was in 2022, indicating lower than average expected rate volatility.</w:t>
      </w:r>
    </w:p>
    <w:p w14:paraId="1B405A02" w14:textId="77777777" w:rsidR="00A5250F" w:rsidRPr="008761F3" w:rsidRDefault="00A5250F" w:rsidP="005E75CF">
      <w:pPr>
        <w:pStyle w:val="ListParagraph"/>
        <w:ind w:left="90"/>
      </w:pPr>
    </w:p>
    <w:p w14:paraId="3EE431FB" w14:textId="6DE2CE81" w:rsidR="00F35724" w:rsidRDefault="008761F3" w:rsidP="00F35724">
      <w:pPr>
        <w:pStyle w:val="ListParagraph"/>
        <w:ind w:left="90"/>
      </w:pPr>
      <w:r w:rsidRPr="008761F3">
        <w:t>The U.S. insurance industry’s exposure to bonds totaled $5.</w:t>
      </w:r>
      <w:r w:rsidR="00926E45">
        <w:t>7</w:t>
      </w:r>
      <w:r w:rsidRPr="008761F3">
        <w:t xml:space="preserve"> trillion as of year-end 202</w:t>
      </w:r>
      <w:r w:rsidR="00926E45">
        <w:t>5</w:t>
      </w:r>
      <w:r w:rsidRPr="008761F3">
        <w:t xml:space="preserve">, an increase of </w:t>
      </w:r>
      <w:r w:rsidR="00926E45">
        <w:t>5.6</w:t>
      </w:r>
      <w:r w:rsidRPr="008761F3">
        <w:t>% compared to the prior year</w:t>
      </w:r>
      <w:r w:rsidR="007A56D5" w:rsidRPr="008761F3">
        <w:t xml:space="preserve">. </w:t>
      </w:r>
      <w:r w:rsidRPr="008761F3">
        <w:t>Corporate bonds remained by far the largest bond type in U.S. insurer investment portfolios. The second and third largest bond types were asset-backed securities (ABS) and other structured securities and municipal bonds</w:t>
      </w:r>
      <w:r w:rsidR="00A5250F">
        <w:t>.</w:t>
      </w:r>
    </w:p>
    <w:p w14:paraId="1D5D0740" w14:textId="77777777" w:rsidR="00882076" w:rsidRDefault="00882076" w:rsidP="00F35724">
      <w:pPr>
        <w:pStyle w:val="ListParagraph"/>
        <w:ind w:left="90"/>
      </w:pPr>
    </w:p>
    <w:p w14:paraId="39AC78D9" w14:textId="6B260E12" w:rsidR="004D62F2" w:rsidRDefault="00CB6CC8" w:rsidP="00F35724">
      <w:pPr>
        <w:pStyle w:val="ListParagraph"/>
        <w:ind w:left="90"/>
      </w:pPr>
      <w:r>
        <w:rPr>
          <w:noProof/>
        </w:rPr>
        <w:drawing>
          <wp:inline distT="0" distB="0" distL="0" distR="0" wp14:anchorId="2DF6BA5B" wp14:editId="498C354B">
            <wp:extent cx="6019800" cy="3590925"/>
            <wp:effectExtent l="0" t="0" r="0" b="9525"/>
            <wp:docPr id="1855036153" name="Chart 1">
              <a:extLst xmlns:a="http://schemas.openxmlformats.org/drawingml/2006/main">
                <a:ext uri="{FF2B5EF4-FFF2-40B4-BE49-F238E27FC236}">
                  <a16:creationId xmlns:a16="http://schemas.microsoft.com/office/drawing/2014/main" id="{C2835477-1B32-42A8-9A2B-F3E25CE048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07D036F" w14:textId="003B8978" w:rsidR="004D62F2" w:rsidRPr="00011FA9" w:rsidRDefault="004D62F2" w:rsidP="00C76E01">
      <w:pPr>
        <w:pStyle w:val="ListParagraph"/>
        <w:ind w:left="0"/>
        <w:jc w:val="center"/>
        <w:rPr>
          <w:color w:val="FF0000"/>
        </w:rPr>
      </w:pPr>
    </w:p>
    <w:p w14:paraId="2CB1FBDB" w14:textId="1579D492" w:rsidR="005526D4" w:rsidRDefault="0035209F" w:rsidP="009E565F">
      <w:pPr>
        <w:pStyle w:val="Heading2"/>
      </w:pPr>
      <w:r>
        <w:br w:type="page"/>
      </w:r>
      <w:r w:rsidR="009E565F">
        <w:t xml:space="preserve">Market </w:t>
      </w:r>
      <w:r w:rsidR="008460FB">
        <w:t>Risk</w:t>
      </w:r>
      <w:r w:rsidR="00993F78">
        <w:t>:</w:t>
      </w:r>
      <w:r w:rsidR="009E565F">
        <w:t xml:space="preserve"> </w:t>
      </w:r>
      <w:r w:rsidR="00283066">
        <w:t xml:space="preserve">Derivative &amp; </w:t>
      </w:r>
      <w:r w:rsidR="003E0CDC">
        <w:t xml:space="preserve">Other </w:t>
      </w:r>
      <w:r w:rsidR="00283066">
        <w:t>Asset</w:t>
      </w:r>
      <w:r w:rsidR="005526D4">
        <w:t xml:space="preserve"> Exposures</w:t>
      </w:r>
    </w:p>
    <w:p w14:paraId="25528EAB" w14:textId="3C798799" w:rsidR="00011FA9" w:rsidRDefault="0045351D" w:rsidP="00DE6F8A">
      <w:pPr>
        <w:ind w:left="360"/>
        <w:rPr>
          <w:noProof/>
        </w:rPr>
      </w:pPr>
      <w:r w:rsidRPr="0045351D">
        <w:rPr>
          <w:noProof/>
        </w:rPr>
        <w:t>96% of derivatives are held for hedging purposes which is consistent with prior year use of derivatives. Additional risks of derivatives is noted in the interconnectedness dashboard.  Hedges are mostly interest rate hedges and the majority of market risk is the margin calls that may result if interest rates move against insurers position.</w:t>
      </w:r>
      <w:r w:rsidR="0018023B">
        <w:rPr>
          <w:noProof/>
        </w:rPr>
        <w:t xml:space="preserve"> </w:t>
      </w:r>
    </w:p>
    <w:p w14:paraId="066935D3" w14:textId="7625A7D1" w:rsidR="00B149D1" w:rsidRDefault="00B149D1" w:rsidP="008A0E2A">
      <w:pPr>
        <w:ind w:left="360"/>
        <w:rPr>
          <w:noProof/>
        </w:rPr>
      </w:pPr>
      <w:r w:rsidRPr="00B149D1">
        <w:rPr>
          <w:noProof/>
        </w:rPr>
        <w:t>Schedule BA assets, or other long-term investments, accounted for the fourth largest asset category within the U.S. insurance industry's investment portfolio, comprising 7</w:t>
      </w:r>
      <w:r w:rsidR="00AF24E9">
        <w:rPr>
          <w:noProof/>
        </w:rPr>
        <w:t>.1</w:t>
      </w:r>
      <w:r w:rsidRPr="00B149D1">
        <w:rPr>
          <w:noProof/>
        </w:rPr>
        <w:t xml:space="preserve">% of total cash and invested assets as of year-end 2025. </w:t>
      </w:r>
      <w:r w:rsidR="00C53BA4">
        <w:rPr>
          <w:noProof/>
        </w:rPr>
        <w:t xml:space="preserve"> </w:t>
      </w:r>
      <w:r w:rsidRPr="00B149D1">
        <w:rPr>
          <w:noProof/>
        </w:rPr>
        <w:t>Insurers held $6</w:t>
      </w:r>
      <w:r w:rsidR="00CB37D3">
        <w:rPr>
          <w:noProof/>
        </w:rPr>
        <w:t>42</w:t>
      </w:r>
      <w:r w:rsidRPr="00B149D1">
        <w:rPr>
          <w:noProof/>
        </w:rPr>
        <w:t xml:space="preserve"> billion in Schedule BA assets, a</w:t>
      </w:r>
      <w:r w:rsidR="00F763E0">
        <w:rPr>
          <w:noProof/>
        </w:rPr>
        <w:t xml:space="preserve"> sifnificant</w:t>
      </w:r>
      <w:r w:rsidRPr="00B149D1">
        <w:rPr>
          <w:noProof/>
        </w:rPr>
        <w:t xml:space="preserve"> increase of 10.</w:t>
      </w:r>
      <w:r w:rsidR="00C62DE0">
        <w:rPr>
          <w:noProof/>
        </w:rPr>
        <w:t>4</w:t>
      </w:r>
      <w:r w:rsidRPr="00B149D1">
        <w:rPr>
          <w:noProof/>
        </w:rPr>
        <w:t>% from the prior year.</w:t>
      </w:r>
      <w:r w:rsidR="007D6C28" w:rsidRPr="007D6C28">
        <w:t xml:space="preserve"> </w:t>
      </w:r>
      <w:r w:rsidR="007D6C28" w:rsidRPr="007D6C28">
        <w:rPr>
          <w:noProof/>
        </w:rPr>
        <w:t xml:space="preserve">Valuation and volatility in private equity and hedge fund invesments </w:t>
      </w:r>
      <w:r w:rsidR="0018023B">
        <w:rPr>
          <w:noProof/>
        </w:rPr>
        <w:t>were key drivers of the market risk</w:t>
      </w:r>
      <w:r w:rsidR="007D6C28" w:rsidRPr="007D6C28">
        <w:rPr>
          <w:noProof/>
        </w:rPr>
        <w:t xml:space="preserve"> Mod-low assessment.  </w:t>
      </w:r>
    </w:p>
    <w:p w14:paraId="6286E72E" w14:textId="77777777" w:rsidR="00B149D1" w:rsidRDefault="00B149D1" w:rsidP="008A0E2A">
      <w:pPr>
        <w:ind w:left="360"/>
        <w:rPr>
          <w:noProof/>
        </w:rPr>
      </w:pPr>
      <w:r w:rsidRPr="00B149D1">
        <w:rPr>
          <w:noProof/>
        </w:rPr>
        <w:t>The NAIC’s implementation of the principles</w:t>
      </w:r>
      <w:r>
        <w:rPr>
          <w:noProof/>
        </w:rPr>
        <w:t xml:space="preserve"> </w:t>
      </w:r>
      <w:r w:rsidRPr="00B149D1">
        <w:rPr>
          <w:noProof/>
        </w:rPr>
        <w:t>based bond definition on Jan</w:t>
      </w:r>
      <w:r>
        <w:rPr>
          <w:noProof/>
        </w:rPr>
        <w:t>uary</w:t>
      </w:r>
      <w:r w:rsidRPr="00B149D1">
        <w:rPr>
          <w:noProof/>
        </w:rPr>
        <w:t xml:space="preserve"> 1, 2025 possibly contributed to some of this growth as certain investments that no longer met the revised bond criteria may have been reclassified to be reported in Schedule BA instead of Schedule D. Life insurers were the largest holders of Schedule BA assets at year-end 2025, accounting for 65% of the industry’s exposur</w:t>
      </w:r>
      <w:r>
        <w:rPr>
          <w:noProof/>
        </w:rPr>
        <w:t>e.</w:t>
      </w:r>
    </w:p>
    <w:p w14:paraId="6F25AC76" w14:textId="53014917" w:rsidR="00F067A2" w:rsidRDefault="00F067A2" w:rsidP="008A0E2A">
      <w:pPr>
        <w:ind w:left="360"/>
        <w:rPr>
          <w:noProof/>
        </w:rPr>
      </w:pPr>
      <w:r>
        <w:rPr>
          <w:noProof/>
        </w:rPr>
        <w:drawing>
          <wp:inline distT="0" distB="0" distL="0" distR="0" wp14:anchorId="735DC7D3" wp14:editId="0A2E1B28">
            <wp:extent cx="5857875" cy="2238375"/>
            <wp:effectExtent l="0" t="0" r="9525" b="9525"/>
            <wp:docPr id="1720023578" name="Chart 1">
              <a:extLst xmlns:a="http://schemas.openxmlformats.org/drawingml/2006/main">
                <a:ext uri="{FF2B5EF4-FFF2-40B4-BE49-F238E27FC236}">
                  <a16:creationId xmlns:a16="http://schemas.microsoft.com/office/drawing/2014/main" id="{FCAE33C8-8B59-67BA-8E13-DB24F94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8B7961A" w14:textId="5C451487" w:rsidR="000F04EE" w:rsidRDefault="00F067A2" w:rsidP="00F067A2">
      <w:pPr>
        <w:ind w:left="360"/>
        <w:rPr>
          <w:noProof/>
        </w:rPr>
      </w:pPr>
      <w:r>
        <w:rPr>
          <w:noProof/>
        </w:rPr>
        <w:drawing>
          <wp:inline distT="0" distB="0" distL="0" distR="0" wp14:anchorId="61316B2A" wp14:editId="08C46B88">
            <wp:extent cx="5848350" cy="2276475"/>
            <wp:effectExtent l="0" t="0" r="0" b="9525"/>
            <wp:docPr id="1090871513" name="Chart 1">
              <a:extLst xmlns:a="http://schemas.openxmlformats.org/drawingml/2006/main">
                <a:ext uri="{FF2B5EF4-FFF2-40B4-BE49-F238E27FC236}">
                  <a16:creationId xmlns:a16="http://schemas.microsoft.com/office/drawing/2014/main" id="{CF33DAA8-ED43-DA83-7A09-FF9DD1062E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AFDCD8B" w14:textId="77777777" w:rsidR="00DA4F17" w:rsidRDefault="00DA4F17" w:rsidP="00F067A2">
      <w:pPr>
        <w:ind w:left="360"/>
        <w:rPr>
          <w:noProof/>
        </w:rPr>
      </w:pPr>
    </w:p>
    <w:p w14:paraId="79ED50C9" w14:textId="77777777" w:rsidR="00DA4F17" w:rsidRDefault="00DA4F17" w:rsidP="00DA4F17">
      <w:pPr>
        <w:spacing w:after="0" w:line="240" w:lineRule="auto"/>
        <w:rPr>
          <w:b/>
          <w:bCs/>
        </w:rPr>
      </w:pPr>
    </w:p>
    <w:p w14:paraId="0AD9B54D" w14:textId="194151D6" w:rsidR="00DA4F17" w:rsidRPr="0048066F" w:rsidRDefault="00DA4F17" w:rsidP="00DA4F17">
      <w:pPr>
        <w:spacing w:after="0" w:line="240" w:lineRule="auto"/>
        <w:rPr>
          <w:b/>
          <w:bCs/>
          <w:sz w:val="24"/>
          <w:szCs w:val="24"/>
        </w:rPr>
      </w:pPr>
      <w:r w:rsidRPr="0048066F">
        <w:rPr>
          <w:b/>
          <w:bCs/>
          <w:sz w:val="24"/>
          <w:szCs w:val="24"/>
        </w:rPr>
        <w:t>Level 3 Assets</w:t>
      </w:r>
    </w:p>
    <w:p w14:paraId="5D0D0856" w14:textId="2BAAB736" w:rsidR="00DA4F17" w:rsidRDefault="00DA4F17" w:rsidP="00DA4F17">
      <w:pPr>
        <w:spacing w:after="0" w:line="240" w:lineRule="auto"/>
      </w:pPr>
      <w:r w:rsidRPr="008F436E">
        <w:t>Level III asset exposure continues modest growth, currently at 1</w:t>
      </w:r>
      <w:r>
        <w:t>7</w:t>
      </w:r>
      <w:r w:rsidRPr="008F436E">
        <w:t xml:space="preserve">% of </w:t>
      </w:r>
      <w:r>
        <w:t>cash and invested assets</w:t>
      </w:r>
      <w:r w:rsidRPr="008F436E">
        <w:t>, which is significant</w:t>
      </w:r>
      <w:r w:rsidR="007A56D5" w:rsidRPr="008F436E">
        <w:t xml:space="preserve">. </w:t>
      </w:r>
      <w:r w:rsidRPr="008F436E">
        <w:t>Level III concentration may contribute to valuation and liquidity risk</w:t>
      </w:r>
      <w:r w:rsidR="007A56D5" w:rsidRPr="008F436E">
        <w:t xml:space="preserve">. </w:t>
      </w:r>
      <w:r>
        <w:t xml:space="preserve">This is a new risk indicator in the market risk </w:t>
      </w:r>
      <w:r w:rsidR="00715781">
        <w:t>category,</w:t>
      </w:r>
      <w:r>
        <w:t xml:space="preserve"> and the exposure will continue to be monitored</w:t>
      </w:r>
      <w:r w:rsidR="007A56D5">
        <w:t xml:space="preserve">. </w:t>
      </w:r>
      <w:r w:rsidRPr="00362C7C">
        <w:t>The Invested Assets Task Force has this topic on their agenda to analyze and research the exposure later in 2026.</w:t>
      </w:r>
    </w:p>
    <w:p w14:paraId="00DDB1B2" w14:textId="07247920" w:rsidR="00DA4F17" w:rsidRDefault="00DA4F17">
      <w:pPr>
        <w:jc w:val="left"/>
        <w:rPr>
          <w:noProof/>
        </w:rPr>
      </w:pPr>
      <w:r>
        <w:rPr>
          <w:noProof/>
        </w:rPr>
        <w:br w:type="page"/>
      </w:r>
    </w:p>
    <w:p w14:paraId="4CA55352" w14:textId="76540C8D" w:rsidR="001242D0" w:rsidRDefault="001242D0" w:rsidP="003C4380">
      <w:pPr>
        <w:pStyle w:val="Heading1"/>
        <w:ind w:left="2880"/>
        <w:jc w:val="both"/>
      </w:pPr>
      <w:bookmarkStart w:id="10" w:name="_Toc232602960"/>
      <w:r>
        <w:t>Credit</w:t>
      </w:r>
      <w:r w:rsidR="009F48C3">
        <w:t xml:space="preserve"> Risk</w:t>
      </w:r>
      <w:r>
        <w:t>: Summary</w:t>
      </w:r>
      <w:bookmarkEnd w:id="10"/>
    </w:p>
    <w:p w14:paraId="56B91DBB" w14:textId="414B95CA" w:rsidR="00161CB2" w:rsidRDefault="00446F8E" w:rsidP="00880BB1">
      <w:r>
        <w:t>Overall bond credit quality remai</w:t>
      </w:r>
      <w:r w:rsidR="00322A5B">
        <w:t xml:space="preserve">ns high with </w:t>
      </w:r>
      <w:r w:rsidR="0066687D">
        <w:t xml:space="preserve">an </w:t>
      </w:r>
      <w:r w:rsidR="00322A5B">
        <w:t>average credit rating of A+</w:t>
      </w:r>
      <w:r w:rsidR="007A56D5">
        <w:t xml:space="preserve">. </w:t>
      </w:r>
      <w:r w:rsidR="00D13474">
        <w:t xml:space="preserve"> </w:t>
      </w:r>
      <w:r w:rsidR="00CD1AAE">
        <w:t xml:space="preserve">The </w:t>
      </w:r>
      <w:r w:rsidR="00DF248B">
        <w:t>significant</w:t>
      </w:r>
      <w:r w:rsidR="00CD1AAE">
        <w:t xml:space="preserve"> allocation to </w:t>
      </w:r>
      <w:r w:rsidR="00B04B5A">
        <w:t xml:space="preserve">private credit, </w:t>
      </w:r>
      <w:r w:rsidR="00A72D53">
        <w:t xml:space="preserve">structured securities and </w:t>
      </w:r>
      <w:r w:rsidR="00B04B5A">
        <w:t>mortgages</w:t>
      </w:r>
      <w:r w:rsidR="00422FB2">
        <w:t xml:space="preserve"> </w:t>
      </w:r>
      <w:r w:rsidR="00C1111D">
        <w:t xml:space="preserve">drove the </w:t>
      </w:r>
      <w:r w:rsidR="00A72D53">
        <w:t>Moderate-</w:t>
      </w:r>
      <w:r w:rsidR="00B04B5A">
        <w:t>High</w:t>
      </w:r>
      <w:r w:rsidR="00C1111D">
        <w:t xml:space="preserve"> risk assessment</w:t>
      </w:r>
      <w:r w:rsidR="002E6DD6">
        <w:t xml:space="preserve">, along with increased exposure to </w:t>
      </w:r>
      <w:r w:rsidR="00B432D7">
        <w:t>reinsurance credit risk</w:t>
      </w:r>
      <w:r w:rsidR="007A56D5">
        <w:t xml:space="preserve">. </w:t>
      </w:r>
      <w:r w:rsidR="00D13474">
        <w:t xml:space="preserve"> </w:t>
      </w:r>
      <w:r w:rsidR="00B04B5A">
        <w:t xml:space="preserve">This was tempered by the overall high credit quality </w:t>
      </w:r>
      <w:r w:rsidR="004027A9">
        <w:t xml:space="preserve">bond portfolio </w:t>
      </w:r>
      <w:r w:rsidR="00B04B5A">
        <w:t>and decreasing allocation to structured securities.</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6"/>
        <w:gridCol w:w="4664"/>
      </w:tblGrid>
      <w:tr w:rsidR="002C0A79" w14:paraId="66B7C22C" w14:textId="77777777" w:rsidTr="00B04B5A">
        <w:trPr>
          <w:trHeight w:val="331"/>
          <w:jc w:val="center"/>
        </w:trPr>
        <w:tc>
          <w:tcPr>
            <w:tcW w:w="4666" w:type="dxa"/>
            <w:shd w:val="clear" w:color="auto" w:fill="FFC000"/>
          </w:tcPr>
          <w:p w14:paraId="67B59668" w14:textId="3C17926C" w:rsidR="002C0A79" w:rsidRDefault="002C0A79" w:rsidP="00A93743">
            <w:pPr>
              <w:jc w:val="center"/>
            </w:pPr>
            <w:r>
              <w:t xml:space="preserve">Assessment Level: </w:t>
            </w:r>
            <w:r w:rsidR="002C5E92" w:rsidRPr="005A5FBA">
              <w:rPr>
                <w:b/>
                <w:bCs/>
              </w:rPr>
              <w:t>Moderate-</w:t>
            </w:r>
            <w:r w:rsidR="00B04B5A" w:rsidRPr="005A5FBA">
              <w:rPr>
                <w:b/>
                <w:bCs/>
              </w:rPr>
              <w:t>High</w:t>
            </w:r>
          </w:p>
          <w:p w14:paraId="2792A906" w14:textId="77777777" w:rsidR="007C1C0A" w:rsidRDefault="007C1C0A" w:rsidP="00A93743">
            <w:pPr>
              <w:jc w:val="center"/>
            </w:pPr>
          </w:p>
        </w:tc>
        <w:tc>
          <w:tcPr>
            <w:tcW w:w="4664" w:type="dxa"/>
          </w:tcPr>
          <w:p w14:paraId="406B12A9" w14:textId="7BEFE015" w:rsidR="002C0A79" w:rsidRDefault="003B1DF5" w:rsidP="00A93743">
            <w:pPr>
              <w:jc w:val="center"/>
            </w:pPr>
            <w:r w:rsidRPr="001002A0">
              <w:rPr>
                <w:rStyle w:val="HeaderChar"/>
                <w:noProof/>
              </w:rPr>
              <mc:AlternateContent>
                <mc:Choice Requires="wps">
                  <w:drawing>
                    <wp:anchor distT="0" distB="0" distL="114300" distR="114300" simplePos="0" relativeHeight="251658243" behindDoc="0" locked="0" layoutInCell="1" allowOverlap="1" wp14:anchorId="561156D6" wp14:editId="2AC45B0B">
                      <wp:simplePos x="0" y="0"/>
                      <wp:positionH relativeFrom="column">
                        <wp:posOffset>1948320</wp:posOffset>
                      </wp:positionH>
                      <wp:positionV relativeFrom="paragraph">
                        <wp:posOffset>-16794</wp:posOffset>
                      </wp:positionV>
                      <wp:extent cx="163066" cy="347604"/>
                      <wp:effectExtent l="57150" t="0" r="46990" b="0"/>
                      <wp:wrapNone/>
                      <wp:docPr id="25" name="Arrow: Up 25"/>
                      <wp:cNvGraphicFramePr/>
                      <a:graphic xmlns:a="http://schemas.openxmlformats.org/drawingml/2006/main">
                        <a:graphicData uri="http://schemas.microsoft.com/office/word/2010/wordprocessingShape">
                          <wps:wsp>
                            <wps:cNvSpPr/>
                            <wps:spPr>
                              <a:xfrm rot="2187280">
                                <a:off x="0" y="0"/>
                                <a:ext cx="163066" cy="347604"/>
                              </a:xfrm>
                              <a:prstGeom prst="upArrow">
                                <a:avLst/>
                              </a:prstGeom>
                              <a:solidFill>
                                <a:schemeClr val="accent1"/>
                              </a:solidFill>
                              <a:ln>
                                <a:noFill/>
                              </a:ln>
                              <a:effectLst/>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4A00B85">
                    <v:shape id="Arrow: Up 25" style="position:absolute;margin-left:153.4pt;margin-top:-1.3pt;width:12.85pt;height:27.35pt;rotation:2389093fd;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d="f" type="#_x0000_t68" adj="5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" w14:anchorId="0AC73866"/>
                  </w:pict>
                </mc:Fallback>
              </mc:AlternateContent>
            </w:r>
            <w:r w:rsidR="002C0A79">
              <w:t>Trend: Increasing</w:t>
            </w:r>
          </w:p>
        </w:tc>
      </w:tr>
    </w:tbl>
    <w:p w14:paraId="0FD131DB" w14:textId="7D7A4514" w:rsidR="00F81FE8" w:rsidRDefault="001242D0" w:rsidP="003E2BAD">
      <w:pPr>
        <w:pStyle w:val="Heading2"/>
      </w:pPr>
      <w:r>
        <w:t>Credit</w:t>
      </w:r>
      <w:r w:rsidR="000C7BB4">
        <w:t xml:space="preserve">: Bond </w:t>
      </w:r>
      <w:r w:rsidR="00021372">
        <w:t xml:space="preserve">Credit </w:t>
      </w:r>
      <w:r w:rsidR="000C7BB4">
        <w:t>Quality</w:t>
      </w:r>
    </w:p>
    <w:p w14:paraId="0EF78D1E" w14:textId="3E01ABDC" w:rsidR="00967E50" w:rsidRDefault="00967E50" w:rsidP="000D7738">
      <w:pPr>
        <w:rPr>
          <w:noProof/>
        </w:rPr>
      </w:pPr>
      <w:r w:rsidRPr="00967E50">
        <w:rPr>
          <w:noProof/>
        </w:rPr>
        <w:t xml:space="preserve">The share of bonds in the U.S. insurance industry’s investment portfolio </w:t>
      </w:r>
      <w:r w:rsidR="00DF248B">
        <w:rPr>
          <w:noProof/>
        </w:rPr>
        <w:t>was flat at approzimately</w:t>
      </w:r>
      <w:r w:rsidRPr="00967E50">
        <w:rPr>
          <w:noProof/>
        </w:rPr>
        <w:t xml:space="preserve"> 60% at year-end 202</w:t>
      </w:r>
      <w:r w:rsidR="00DF248B">
        <w:rPr>
          <w:noProof/>
        </w:rPr>
        <w:t>5.</w:t>
      </w:r>
    </w:p>
    <w:p w14:paraId="3011879C" w14:textId="585DF8F4" w:rsidR="00503A2B" w:rsidRDefault="00B04B5A" w:rsidP="000D7738">
      <w:pPr>
        <w:rPr>
          <w:noProof/>
        </w:rPr>
      </w:pPr>
      <w:r>
        <w:rPr>
          <w:noProof/>
        </w:rPr>
        <w:t xml:space="preserve">Private Credit remains at the forefront of the most </w:t>
      </w:r>
      <w:r w:rsidR="00503A2B">
        <w:rPr>
          <w:noProof/>
        </w:rPr>
        <w:t xml:space="preserve">significant credit risk.  However, defining and measuring the expsoure remains a challenge.  But no matter how you define it, it appears to be a significant risk for the insurance industry.  Using private letter ratings (PLRs) as a proxy for the exposure results in an allocation of approximately 8% of bonds being </w:t>
      </w:r>
      <w:r w:rsidR="00EF51FE">
        <w:rPr>
          <w:noProof/>
        </w:rPr>
        <w:t>supported by</w:t>
      </w:r>
      <w:r w:rsidR="00503A2B">
        <w:rPr>
          <w:noProof/>
        </w:rPr>
        <w:t xml:space="preserve"> PLRs.</w:t>
      </w:r>
    </w:p>
    <w:p w14:paraId="49ED74F7" w14:textId="3F3003E0" w:rsidR="00967E50" w:rsidRDefault="00967E50" w:rsidP="000D7738">
      <w:pPr>
        <w:rPr>
          <w:noProof/>
        </w:rPr>
      </w:pPr>
      <w:r w:rsidRPr="00967E50">
        <w:rPr>
          <w:noProof/>
        </w:rPr>
        <w:t>RMBS,</w:t>
      </w:r>
      <w:r w:rsidR="00DF248B">
        <w:rPr>
          <w:noProof/>
        </w:rPr>
        <w:t>CMBS</w:t>
      </w:r>
      <w:r w:rsidRPr="00967E50">
        <w:rPr>
          <w:noProof/>
        </w:rPr>
        <w:t xml:space="preserve"> and </w:t>
      </w:r>
      <w:r w:rsidR="00DF248B">
        <w:rPr>
          <w:noProof/>
        </w:rPr>
        <w:t>other LBASS</w:t>
      </w:r>
      <w:r w:rsidRPr="00967E50">
        <w:rPr>
          <w:noProof/>
        </w:rPr>
        <w:t xml:space="preserve">, </w:t>
      </w:r>
      <w:r w:rsidR="00DF248B">
        <w:rPr>
          <w:noProof/>
        </w:rPr>
        <w:t>decreased</w:t>
      </w:r>
      <w:r w:rsidRPr="00967E50">
        <w:rPr>
          <w:noProof/>
        </w:rPr>
        <w:t xml:space="preserve"> </w:t>
      </w:r>
      <w:r w:rsidR="00DF248B">
        <w:rPr>
          <w:noProof/>
        </w:rPr>
        <w:t>in exposure from 16.5% to 14.6% of bonds in 2025.</w:t>
      </w:r>
      <w:r w:rsidR="00B04B5A">
        <w:rPr>
          <w:noProof/>
        </w:rPr>
        <w:t xml:space="preserve">  CLOs were flat at approximately 5% of bonds.</w:t>
      </w:r>
    </w:p>
    <w:p w14:paraId="123A50AD" w14:textId="3235EE40" w:rsidR="00B04B5A" w:rsidRDefault="00B04B5A" w:rsidP="000D7738">
      <w:pPr>
        <w:rPr>
          <w:noProof/>
        </w:rPr>
      </w:pPr>
      <w:r>
        <w:rPr>
          <w:noProof/>
        </w:rPr>
        <w:t>Allocation to mortagages remained flat at about 9% of cash and invested assets.  Howev</w:t>
      </w:r>
      <w:r w:rsidR="00007707">
        <w:rPr>
          <w:noProof/>
        </w:rPr>
        <w:t>e</w:t>
      </w:r>
      <w:r>
        <w:rPr>
          <w:noProof/>
        </w:rPr>
        <w:t>r, the allocation to residential mortgages increased.</w:t>
      </w:r>
    </w:p>
    <w:p w14:paraId="08BB82F9" w14:textId="36A2147A" w:rsidR="00967E50" w:rsidRDefault="00967E50" w:rsidP="000D7738">
      <w:pPr>
        <w:rPr>
          <w:noProof/>
        </w:rPr>
      </w:pPr>
      <w:r w:rsidRPr="00967E50">
        <w:rPr>
          <w:noProof/>
        </w:rPr>
        <w:t>Below-investment-grade bonds, or those with reported NAIC 3</w:t>
      </w:r>
      <w:r w:rsidR="003419EB">
        <w:rPr>
          <w:noProof/>
        </w:rPr>
        <w:t xml:space="preserve">-6 </w:t>
      </w:r>
      <w:r w:rsidRPr="00967E50">
        <w:rPr>
          <w:noProof/>
        </w:rPr>
        <w:t xml:space="preserve"> designations, declined to 4.</w:t>
      </w:r>
      <w:r w:rsidR="00DF248B">
        <w:rPr>
          <w:noProof/>
        </w:rPr>
        <w:t>7</w:t>
      </w:r>
      <w:r w:rsidRPr="00967E50">
        <w:rPr>
          <w:noProof/>
        </w:rPr>
        <w:t>% of total bond exposure, down from a peak of 6.1% in 2020</w:t>
      </w:r>
      <w:r w:rsidR="00B04B5A">
        <w:rPr>
          <w:noProof/>
        </w:rPr>
        <w:t xml:space="preserve">, </w:t>
      </w:r>
      <w:r w:rsidR="009E059D">
        <w:rPr>
          <w:noProof/>
        </w:rPr>
        <w:t xml:space="preserve">representing </w:t>
      </w:r>
      <w:r w:rsidR="00B04B5A">
        <w:rPr>
          <w:noProof/>
        </w:rPr>
        <w:t>a positive development in terms of credit risk</w:t>
      </w:r>
      <w:r w:rsidRPr="00967E50">
        <w:rPr>
          <w:noProof/>
        </w:rPr>
        <w:t>.</w:t>
      </w:r>
    </w:p>
    <w:p w14:paraId="55638DD8" w14:textId="3E6067EA" w:rsidR="00B979B8" w:rsidRDefault="00512241" w:rsidP="00777E79">
      <w:r>
        <w:rPr>
          <w:noProof/>
        </w:rPr>
        <w:drawing>
          <wp:inline distT="0" distB="0" distL="0" distR="0" wp14:anchorId="137F60DD" wp14:editId="4ECB1733">
            <wp:extent cx="6534150" cy="2886075"/>
            <wp:effectExtent l="0" t="0" r="0" b="0"/>
            <wp:docPr id="946443319" name="Chart 1">
              <a:extLst xmlns:a="http://schemas.openxmlformats.org/drawingml/2006/main">
                <a:ext uri="{FF2B5EF4-FFF2-40B4-BE49-F238E27FC236}">
                  <a16:creationId xmlns:a16="http://schemas.microsoft.com/office/drawing/2014/main" id="{7719497B-E824-4A03-ABE2-B500370C97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22EE821" w14:textId="62097025" w:rsidR="00F54464" w:rsidRDefault="00F54464">
      <w:pPr>
        <w:jc w:val="left"/>
      </w:pPr>
      <w:r>
        <w:br w:type="page"/>
      </w:r>
    </w:p>
    <w:p w14:paraId="4889E238" w14:textId="47E864C0" w:rsidR="00B0093F" w:rsidRDefault="00B54B72" w:rsidP="00B0093F">
      <w:pPr>
        <w:pStyle w:val="Heading2"/>
        <w:spacing w:line="240" w:lineRule="auto"/>
      </w:pPr>
      <w:r>
        <w:t>Private</w:t>
      </w:r>
      <w:r w:rsidR="00B0093F">
        <w:t xml:space="preserve"> Credit</w:t>
      </w:r>
      <w:r w:rsidR="00DB5159">
        <w:t xml:space="preserve"> Market</w:t>
      </w:r>
    </w:p>
    <w:p w14:paraId="2D6D127C" w14:textId="77777777" w:rsidR="00C82D76" w:rsidRPr="00C82D76" w:rsidRDefault="00C82D76" w:rsidP="00C82D76">
      <w:pPr>
        <w:pStyle w:val="Heading2"/>
        <w:spacing w:line="240" w:lineRule="auto"/>
        <w:jc w:val="left"/>
        <w:rPr>
          <w:color w:val="auto"/>
          <w:sz w:val="22"/>
          <w:szCs w:val="22"/>
        </w:rPr>
      </w:pPr>
    </w:p>
    <w:p w14:paraId="3B9393E7" w14:textId="2CD7EB71" w:rsidR="00C82D76" w:rsidRPr="00A72D53" w:rsidRDefault="00C82D76" w:rsidP="00A72D53">
      <w:r w:rsidRPr="00A72D53">
        <w:t>Private credit funds have experienced substantial growth in recent years, with AUM now of a comparable size to U.S. high yield corporate bond and leveraged loan markets</w:t>
      </w:r>
      <w:r w:rsidR="007A56D5" w:rsidRPr="00A72D53">
        <w:t xml:space="preserve">. </w:t>
      </w:r>
      <w:r w:rsidR="000C153F" w:rsidRPr="00A72D53">
        <w:t>Insurers</w:t>
      </w:r>
      <w:r w:rsidR="009E4007" w:rsidRPr="00A72D53">
        <w:t xml:space="preserve"> have </w:t>
      </w:r>
      <w:r w:rsidR="00D27B8D" w:rsidRPr="00A72D53">
        <w:t>significant exposure to private credit</w:t>
      </w:r>
      <w:r w:rsidR="007A56D5" w:rsidRPr="00A72D53">
        <w:t xml:space="preserve">. </w:t>
      </w:r>
      <w:r w:rsidR="000C153F" w:rsidRPr="00A72D53">
        <w:t xml:space="preserve">However, lending to private credit funds is </w:t>
      </w:r>
      <w:r w:rsidR="001654C8">
        <w:t>difficult</w:t>
      </w:r>
      <w:r w:rsidR="000C153F" w:rsidRPr="00A72D53">
        <w:t xml:space="preserve"> to accurately measure due to limited data availability, </w:t>
      </w:r>
      <w:r w:rsidR="00503A2B">
        <w:t>al</w:t>
      </w:r>
      <w:r w:rsidR="000C153F" w:rsidRPr="00A72D53">
        <w:t xml:space="preserve">though there have been recent efforts to improve </w:t>
      </w:r>
      <w:r w:rsidR="002E3B8B" w:rsidRPr="00A72D53">
        <w:t>insurers’</w:t>
      </w:r>
      <w:r w:rsidR="007D0D48" w:rsidRPr="00A72D53">
        <w:t xml:space="preserve"> reporting</w:t>
      </w:r>
      <w:r w:rsidR="007A56D5" w:rsidRPr="00A72D53">
        <w:t>.</w:t>
      </w:r>
      <w:r w:rsidR="007D0D48" w:rsidRPr="00A72D53">
        <w:t xml:space="preserve"> </w:t>
      </w:r>
      <w:r w:rsidR="00AF4540" w:rsidRPr="00A72D53">
        <w:t>Competition between direct lenders and broadly syndicated leveraged loans (BSL) was observed in 2025, which resulted in tighter spreads</w:t>
      </w:r>
      <w:r w:rsidR="007A56D5" w:rsidRPr="00A72D53">
        <w:t xml:space="preserve">. </w:t>
      </w:r>
      <w:r w:rsidR="00AF4540" w:rsidRPr="00A72D53">
        <w:t>With strong investor demand and rapid growth of private credit, there have been concerns that increased competition for deals could spur managers to offer more relaxed structural terms, including covenant-lite loans, or choose riskier deals.</w:t>
      </w:r>
    </w:p>
    <w:p w14:paraId="660A8161" w14:textId="72702989" w:rsidR="001F06C0" w:rsidRDefault="00517D33" w:rsidP="001F06C0">
      <w:r>
        <w:t>Starting i</w:t>
      </w:r>
      <w:r w:rsidR="001F06C0">
        <w:t xml:space="preserve">n the third quarter of 2025, many private credit funds, </w:t>
      </w:r>
      <w:r w:rsidR="00E86FED">
        <w:t xml:space="preserve">of </w:t>
      </w:r>
      <w:r w:rsidR="001F06C0">
        <w:t xml:space="preserve">which insurers are investors, </w:t>
      </w:r>
      <w:r w:rsidR="001E0775">
        <w:t xml:space="preserve">have </w:t>
      </w:r>
      <w:r w:rsidR="001F06C0">
        <w:t>experienced significant redemption requests.  Many of the requests exceeded the funds</w:t>
      </w:r>
      <w:r w:rsidR="00310FEC">
        <w:t>’</w:t>
      </w:r>
      <w:r w:rsidR="001F06C0">
        <w:t xml:space="preserve"> 5% redemption limits.  This caused some concern in the private credit fund market and the overall private credit market.  </w:t>
      </w:r>
    </w:p>
    <w:p w14:paraId="03EA2172" w14:textId="71FBE485" w:rsidR="00503A2B" w:rsidRPr="00A72D53" w:rsidRDefault="00503A2B" w:rsidP="00A72D53">
      <w:r>
        <w:t xml:space="preserve">The </w:t>
      </w:r>
      <w:r w:rsidR="002E3B8B">
        <w:t>chart below</w:t>
      </w:r>
      <w:r>
        <w:t xml:space="preserve"> is the estimated size of the </w:t>
      </w:r>
      <w:r w:rsidR="00DB5159">
        <w:t>total private credit funds market in North America</w:t>
      </w:r>
      <w:r w:rsidR="002744B4">
        <w:t xml:space="preserve">.  </w:t>
      </w:r>
      <w:r w:rsidR="001C08F0">
        <w:t>Dry powder represent</w:t>
      </w:r>
      <w:r w:rsidR="00087291">
        <w:t>s</w:t>
      </w:r>
      <w:r w:rsidR="001C08F0">
        <w:t xml:space="preserve"> investors’ unfunded </w:t>
      </w:r>
      <w:r w:rsidR="00114ADB">
        <w:t xml:space="preserve">or contingent </w:t>
      </w:r>
      <w:r w:rsidR="001C08F0">
        <w:t xml:space="preserve">commitments </w:t>
      </w:r>
      <w:r w:rsidR="00BC34D9">
        <w:t xml:space="preserve">to make additional </w:t>
      </w:r>
      <w:r w:rsidR="00114ADB">
        <w:t>investments</w:t>
      </w:r>
      <w:r w:rsidR="00BC34D9">
        <w:t xml:space="preserve"> into the private </w:t>
      </w:r>
      <w:r w:rsidR="00114ADB">
        <w:t>credit</w:t>
      </w:r>
      <w:r w:rsidR="00BC34D9">
        <w:t xml:space="preserve"> funds.  </w:t>
      </w:r>
      <w:r w:rsidR="00087291">
        <w:t xml:space="preserve">Insurers do report contingent commitments in the Annual </w:t>
      </w:r>
      <w:r w:rsidR="005623B8">
        <w:t>S</w:t>
      </w:r>
      <w:r w:rsidR="00087291">
        <w:t>tate</w:t>
      </w:r>
      <w:r w:rsidR="00D53952">
        <w:t xml:space="preserve">ment, however </w:t>
      </w:r>
      <w:r w:rsidR="008C33DA">
        <w:t xml:space="preserve">commitments </w:t>
      </w:r>
      <w:r w:rsidR="0047300D">
        <w:t>to fund private credit investments is not separately identified.</w:t>
      </w:r>
    </w:p>
    <w:p w14:paraId="79EA7469" w14:textId="77777777" w:rsidR="00B0093F" w:rsidRPr="00AD3059" w:rsidRDefault="00B0093F" w:rsidP="00B0093F">
      <w:pPr>
        <w:pStyle w:val="Heading2"/>
        <w:spacing w:line="240" w:lineRule="auto"/>
        <w:jc w:val="left"/>
        <w:rPr>
          <w:rFonts w:cstheme="minorHAnsi"/>
          <w:color w:val="auto"/>
          <w:sz w:val="22"/>
          <w:szCs w:val="22"/>
        </w:rPr>
      </w:pPr>
    </w:p>
    <w:p w14:paraId="172014F2" w14:textId="6583C00B" w:rsidR="000C153F" w:rsidRPr="00AD3059" w:rsidRDefault="00625BCC" w:rsidP="000C153F">
      <w:pPr>
        <w:rPr>
          <w:rFonts w:cstheme="minorHAnsi"/>
        </w:rPr>
      </w:pPr>
      <w:r w:rsidRPr="00AD3059">
        <w:rPr>
          <w:rFonts w:cstheme="minorHAnsi"/>
          <w:noProof/>
        </w:rPr>
        <w:drawing>
          <wp:inline distT="0" distB="0" distL="0" distR="0" wp14:anchorId="22BA3A34" wp14:editId="39EE5176">
            <wp:extent cx="5943600" cy="3550920"/>
            <wp:effectExtent l="0" t="0" r="0" b="0"/>
            <wp:docPr id="143817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550920"/>
                    </a:xfrm>
                    <a:prstGeom prst="rect">
                      <a:avLst/>
                    </a:prstGeom>
                    <a:noFill/>
                    <a:ln>
                      <a:noFill/>
                    </a:ln>
                  </pic:spPr>
                </pic:pic>
              </a:graphicData>
            </a:graphic>
          </wp:inline>
        </w:drawing>
      </w:r>
    </w:p>
    <w:p w14:paraId="0AE8AB67" w14:textId="766CB0E8" w:rsidR="00DB5159" w:rsidRPr="00DB5159" w:rsidRDefault="00DB5159" w:rsidP="000C153F">
      <w:pPr>
        <w:rPr>
          <w:rFonts w:cstheme="minorHAnsi"/>
          <w:b/>
          <w:bCs/>
        </w:rPr>
      </w:pPr>
      <w:r w:rsidRPr="00220649">
        <w:rPr>
          <w:rFonts w:cstheme="minorHAnsi"/>
          <w:b/>
          <w:bCs/>
        </w:rPr>
        <w:t>Source</w:t>
      </w:r>
      <w:r w:rsidR="002E3B8B" w:rsidRPr="00220649">
        <w:rPr>
          <w:rFonts w:cstheme="minorHAnsi"/>
          <w:b/>
          <w:bCs/>
        </w:rPr>
        <w:t>:</w:t>
      </w:r>
      <w:r w:rsidR="002E3B8B" w:rsidRPr="00DB5159">
        <w:rPr>
          <w:rFonts w:cstheme="minorHAnsi"/>
          <w:b/>
          <w:bCs/>
        </w:rPr>
        <w:t xml:space="preserve"> </w:t>
      </w:r>
      <w:proofErr w:type="spellStart"/>
      <w:r w:rsidR="002E3B8B" w:rsidRPr="00DB5159">
        <w:rPr>
          <w:rFonts w:cstheme="minorHAnsi"/>
          <w:b/>
          <w:bCs/>
        </w:rPr>
        <w:t>Preqin</w:t>
      </w:r>
      <w:proofErr w:type="spellEnd"/>
    </w:p>
    <w:p w14:paraId="65DDDD04" w14:textId="6BB63930" w:rsidR="00B0093F" w:rsidRDefault="00355A4F">
      <w:pPr>
        <w:jc w:val="left"/>
        <w:rPr>
          <w:rFonts w:eastAsiaTheme="majorEastAsia" w:cstheme="majorBidi"/>
          <w:color w:val="2F5496" w:themeColor="accent1" w:themeShade="BF"/>
        </w:rPr>
      </w:pPr>
      <w:r>
        <w:br w:type="page"/>
      </w:r>
    </w:p>
    <w:p w14:paraId="48BCD6FB" w14:textId="77777777" w:rsidR="00B0093F" w:rsidRPr="00B0093F" w:rsidRDefault="00B0093F" w:rsidP="00B0093F">
      <w:pPr>
        <w:pStyle w:val="Heading2"/>
        <w:spacing w:line="240" w:lineRule="auto"/>
        <w:jc w:val="left"/>
        <w:rPr>
          <w:sz w:val="22"/>
          <w:szCs w:val="22"/>
        </w:rPr>
      </w:pPr>
    </w:p>
    <w:p w14:paraId="0E2A1079" w14:textId="0662F222" w:rsidR="00507103" w:rsidRDefault="00042B4F" w:rsidP="003E2BAD">
      <w:pPr>
        <w:pStyle w:val="Heading2"/>
      </w:pPr>
      <w:r>
        <w:t xml:space="preserve">Credit: </w:t>
      </w:r>
      <w:r w:rsidR="00503A2B">
        <w:t>Foreign Bond</w:t>
      </w:r>
      <w:r w:rsidR="009F2494">
        <w:t xml:space="preserve"> Exposures</w:t>
      </w:r>
    </w:p>
    <w:p w14:paraId="3BFF91A1" w14:textId="68492593" w:rsidR="00661E42" w:rsidRDefault="008C36A0" w:rsidP="00507103">
      <w:r>
        <w:t xml:space="preserve">Other assets are also subject to credit </w:t>
      </w:r>
      <w:r w:rsidR="00503A2B">
        <w:t>risk</w:t>
      </w:r>
      <w:r>
        <w:t xml:space="preserve"> monitoring by </w:t>
      </w:r>
      <w:r w:rsidR="00932A0B">
        <w:t xml:space="preserve">state insurance </w:t>
      </w:r>
      <w:r>
        <w:t>regulators</w:t>
      </w:r>
      <w:r w:rsidR="00ED1345">
        <w:t xml:space="preserve"> including the subset of bonds that are either of sovereign or foreign entities.</w:t>
      </w:r>
      <w:r w:rsidR="00CC2F49">
        <w:t xml:space="preserve"> </w:t>
      </w:r>
      <w:r w:rsidR="00E34CF0">
        <w:t>Additional observations include:</w:t>
      </w:r>
    </w:p>
    <w:p w14:paraId="7851CF9B" w14:textId="1A7BFA85" w:rsidR="00A04CDD" w:rsidRDefault="00A04CDD" w:rsidP="00CF614F">
      <w:r w:rsidRPr="00A04CDD">
        <w:t xml:space="preserve">Sovereign/Foreign Bond Exposure and risk remains </w:t>
      </w:r>
      <w:r w:rsidR="001A58EB" w:rsidRPr="00A04CDD">
        <w:t>low,</w:t>
      </w:r>
      <w:r w:rsidRPr="00A04CDD">
        <w:t xml:space="preserve"> comprising </w:t>
      </w:r>
      <w:r w:rsidR="00503A2B">
        <w:t>only 2.</w:t>
      </w:r>
      <w:r w:rsidRPr="00A04CDD">
        <w:t>3% of C&amp;</w:t>
      </w:r>
      <w:r w:rsidR="002E3B8B" w:rsidRPr="00A04CDD">
        <w:t xml:space="preserve">IA. </w:t>
      </w:r>
      <w:r w:rsidRPr="00A04CDD">
        <w:t xml:space="preserve">Nonetheless </w:t>
      </w:r>
      <w:r w:rsidR="008237E6">
        <w:t xml:space="preserve">it </w:t>
      </w:r>
      <w:r w:rsidRPr="00A04CDD">
        <w:t>continue</w:t>
      </w:r>
      <w:r w:rsidR="008237E6">
        <w:t>s</w:t>
      </w:r>
      <w:r w:rsidRPr="00A04CDD">
        <w:t xml:space="preserve"> to </w:t>
      </w:r>
      <w:r w:rsidR="008237E6">
        <w:t xml:space="preserve">be </w:t>
      </w:r>
      <w:r w:rsidRPr="00A04CDD">
        <w:t>track</w:t>
      </w:r>
      <w:r w:rsidR="008237E6">
        <w:t>ed</w:t>
      </w:r>
      <w:r w:rsidRPr="00A04CDD">
        <w:t xml:space="preserve"> and monitor</w:t>
      </w:r>
      <w:r w:rsidR="008237E6">
        <w:t>ed</w:t>
      </w:r>
      <w:r w:rsidRPr="00A04CDD">
        <w:t>.</w:t>
      </w:r>
    </w:p>
    <w:p w14:paraId="3BD2C003" w14:textId="31749B4E" w:rsidR="005767E0" w:rsidRPr="006F782C" w:rsidRDefault="005767E0" w:rsidP="006F782C">
      <w:pPr>
        <w:pStyle w:val="Heading2"/>
      </w:pPr>
      <w:r w:rsidRPr="006F782C">
        <w:t xml:space="preserve">Reinsurer Credit </w:t>
      </w:r>
      <w:r w:rsidR="004F4285" w:rsidRPr="006F782C">
        <w:t>R</w:t>
      </w:r>
      <w:r w:rsidR="00023F2D" w:rsidRPr="006F782C">
        <w:t>isk</w:t>
      </w:r>
    </w:p>
    <w:p w14:paraId="2CE0844E" w14:textId="48CC040F" w:rsidR="00C47717" w:rsidRDefault="00DB5159" w:rsidP="006F782C">
      <w:r>
        <w:t>One</w:t>
      </w:r>
      <w:r w:rsidR="00C47717">
        <w:t xml:space="preserve"> measure of reinsurer credit risk</w:t>
      </w:r>
      <w:r w:rsidR="00B01D24">
        <w:t xml:space="preserve"> </w:t>
      </w:r>
      <w:r w:rsidR="00516ED9">
        <w:t>is to assess</w:t>
      </w:r>
      <w:r w:rsidR="00B01D24">
        <w:t xml:space="preserve"> </w:t>
      </w:r>
      <w:r w:rsidR="00012AC2">
        <w:t xml:space="preserve">the exposure to reinsurers </w:t>
      </w:r>
      <w:r w:rsidR="0040086F">
        <w:t xml:space="preserve">located in a sovereign </w:t>
      </w:r>
      <w:r w:rsidR="002F5BDA">
        <w:t>nation</w:t>
      </w:r>
      <w:r w:rsidR="002E3B8B">
        <w:t xml:space="preserve">. </w:t>
      </w:r>
      <w:r w:rsidR="00942006">
        <w:t>In 202</w:t>
      </w:r>
      <w:r>
        <w:t>5</w:t>
      </w:r>
      <w:r w:rsidR="00516ED9">
        <w:t>,</w:t>
      </w:r>
      <w:r w:rsidR="003B0CF1">
        <w:t xml:space="preserve"> Life insurer</w:t>
      </w:r>
      <w:r w:rsidR="00662AC4">
        <w:t>s</w:t>
      </w:r>
      <w:r>
        <w:t>,</w:t>
      </w:r>
      <w:r w:rsidR="003B0CF1">
        <w:t xml:space="preserve"> </w:t>
      </w:r>
      <w:r w:rsidR="00964E29" w:rsidRPr="00DB5159">
        <w:t>includ</w:t>
      </w:r>
      <w:r w:rsidR="00964E29">
        <w:t>ing</w:t>
      </w:r>
      <w:r w:rsidRPr="00DB5159">
        <w:t xml:space="preserve"> separate accounts</w:t>
      </w:r>
      <w:r w:rsidR="00964E29">
        <w:t>,</w:t>
      </w:r>
      <w:r w:rsidR="003B0CF1">
        <w:t xml:space="preserve"> ceded </w:t>
      </w:r>
      <w:r w:rsidRPr="00DB5159">
        <w:t>48.6% offshore and 51.4% onshore</w:t>
      </w:r>
      <w:r w:rsidR="003B0CF1">
        <w:t xml:space="preserve"> </w:t>
      </w:r>
      <w:r w:rsidR="00662AC4">
        <w:t xml:space="preserve">Approximately </w:t>
      </w:r>
      <w:r w:rsidR="00964E29">
        <w:t>46</w:t>
      </w:r>
      <w:r w:rsidR="00662AC4">
        <w:t xml:space="preserve">% of </w:t>
      </w:r>
      <w:r w:rsidR="00964E29">
        <w:t>reserve credit</w:t>
      </w:r>
      <w:r w:rsidR="00662AC4">
        <w:t xml:space="preserve"> was ceded to </w:t>
      </w:r>
      <w:r w:rsidR="004425C0">
        <w:t>Bermuda</w:t>
      </w:r>
      <w:r w:rsidR="002E3B8B">
        <w:t xml:space="preserve">. </w:t>
      </w:r>
      <w:r w:rsidR="00381DDF">
        <w:t xml:space="preserve">Bermuda’s sovereign rating </w:t>
      </w:r>
      <w:r w:rsidR="009A4454">
        <w:t xml:space="preserve">is A+-LT, stable by S&amp;P; </w:t>
      </w:r>
      <w:r w:rsidR="005D4B65">
        <w:t>A2, Stable by Moody’s</w:t>
      </w:r>
      <w:r w:rsidR="002E3B8B">
        <w:t xml:space="preserve">. </w:t>
      </w:r>
      <w:r w:rsidR="00EF0C63">
        <w:t>The second highest nation</w:t>
      </w:r>
      <w:r w:rsidR="009D4C1E">
        <w:t>al</w:t>
      </w:r>
      <w:r w:rsidR="00EF0C63">
        <w:t xml:space="preserve"> </w:t>
      </w:r>
      <w:r w:rsidR="00964E29">
        <w:t>reserve credit</w:t>
      </w:r>
      <w:r w:rsidR="00EF0C63">
        <w:t xml:space="preserve"> was ceded to </w:t>
      </w:r>
      <w:r w:rsidR="0046622B">
        <w:t xml:space="preserve">the </w:t>
      </w:r>
      <w:r w:rsidR="00964E29">
        <w:t>Cayman</w:t>
      </w:r>
      <w:r w:rsidR="0046622B">
        <w:t xml:space="preserve"> Islands, which has an A</w:t>
      </w:r>
      <w:r w:rsidR="003F339D">
        <w:t>a</w:t>
      </w:r>
      <w:r w:rsidR="006D53CB">
        <w:t>3</w:t>
      </w:r>
      <w:r w:rsidR="00E65183">
        <w:t xml:space="preserve">, stable </w:t>
      </w:r>
      <w:r w:rsidR="006750C7">
        <w:t xml:space="preserve">sovereign rating </w:t>
      </w:r>
      <w:r w:rsidR="00E65183">
        <w:t>by Moody’s</w:t>
      </w:r>
      <w:r w:rsidR="00964E29">
        <w:t xml:space="preserve">. </w:t>
      </w:r>
      <w:r w:rsidR="00537C55">
        <w:t>Fourth</w:t>
      </w:r>
      <w:r w:rsidR="00964E29">
        <w:t xml:space="preserve"> </w:t>
      </w:r>
      <w:r w:rsidR="00EF0C63">
        <w:t>is Barba</w:t>
      </w:r>
      <w:r w:rsidR="004B6B48">
        <w:t>dos, which has a B+ Sovereign rating by S&amp;P</w:t>
      </w:r>
      <w:r w:rsidR="001363FE">
        <w:t xml:space="preserve"> and </w:t>
      </w:r>
      <w:r w:rsidR="00DC6316">
        <w:t>a B2 from Moody’s</w:t>
      </w:r>
      <w:r w:rsidR="002E3B8B">
        <w:t xml:space="preserve">. </w:t>
      </w:r>
      <w:r w:rsidR="001E680D">
        <w:t xml:space="preserve">The risk was </w:t>
      </w:r>
      <w:r w:rsidR="00BA7970">
        <w:t>assessed</w:t>
      </w:r>
      <w:r w:rsidR="001E680D">
        <w:t xml:space="preserve"> as </w:t>
      </w:r>
      <w:r w:rsidR="00BA7970">
        <w:t>M</w:t>
      </w:r>
      <w:r w:rsidR="001E680D">
        <w:t>oderate-low due to these ratings.</w:t>
      </w:r>
    </w:p>
    <w:p w14:paraId="5053F6A5" w14:textId="51D0023B" w:rsidR="00E0397C" w:rsidRDefault="008F1812">
      <w:pPr>
        <w:jc w:val="left"/>
      </w:pPr>
      <w:r>
        <w:rPr>
          <w:noProof/>
        </w:rPr>
        <w:drawing>
          <wp:inline distT="0" distB="0" distL="0" distR="0" wp14:anchorId="7283AEF1" wp14:editId="0E109513">
            <wp:extent cx="5943600" cy="3329305"/>
            <wp:effectExtent l="0" t="0" r="0" b="4445"/>
            <wp:docPr id="1129582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943600" cy="3329305"/>
                    </a:xfrm>
                    <a:prstGeom prst="rect">
                      <a:avLst/>
                    </a:prstGeom>
                    <a:noFill/>
                    <a:ln>
                      <a:noFill/>
                    </a:ln>
                  </pic:spPr>
                </pic:pic>
              </a:graphicData>
            </a:graphic>
          </wp:inline>
        </w:drawing>
      </w:r>
    </w:p>
    <w:p w14:paraId="26919BC9" w14:textId="77777777" w:rsidR="00E0397C" w:rsidRDefault="00E0397C">
      <w:pPr>
        <w:jc w:val="left"/>
      </w:pPr>
    </w:p>
    <w:p w14:paraId="352A0958" w14:textId="4E7DD455" w:rsidR="00194B55" w:rsidRPr="00C47717" w:rsidRDefault="00817362" w:rsidP="006F782C">
      <w:r>
        <w:t xml:space="preserve">P&amp;C insurers ceded approximately 44% </w:t>
      </w:r>
      <w:r w:rsidR="00EC69FE">
        <w:t xml:space="preserve">of all </w:t>
      </w:r>
      <w:r w:rsidR="00A20777">
        <w:t xml:space="preserve">reinsurance </w:t>
      </w:r>
      <w:r w:rsidR="00EC69FE">
        <w:t>premiums in 202</w:t>
      </w:r>
      <w:r w:rsidR="00DB5159">
        <w:t>5</w:t>
      </w:r>
      <w:r w:rsidR="00397240">
        <w:t xml:space="preserve"> to sovereign nations </w:t>
      </w:r>
      <w:r w:rsidR="00C17630">
        <w:t xml:space="preserve">but </w:t>
      </w:r>
      <w:r w:rsidR="00397240">
        <w:t xml:space="preserve">is more diversified </w:t>
      </w:r>
      <w:r w:rsidR="00A015DF">
        <w:t>in terms of the amounts and the number of countries</w:t>
      </w:r>
      <w:r w:rsidR="00BA7970">
        <w:t xml:space="preserve"> leading to a Low risk assessment.</w:t>
      </w:r>
    </w:p>
    <w:p w14:paraId="0130A9F1" w14:textId="64982510" w:rsidR="00C1343B" w:rsidRDefault="00C1343B">
      <w:pPr>
        <w:jc w:val="left"/>
      </w:pPr>
      <w:r>
        <w:br w:type="page"/>
      </w:r>
    </w:p>
    <w:p w14:paraId="2A6AB2FC" w14:textId="457725FE" w:rsidR="00161CB2" w:rsidRDefault="00161CB2" w:rsidP="00161CB2">
      <w:pPr>
        <w:pStyle w:val="Heading1"/>
      </w:pPr>
      <w:bookmarkStart w:id="11" w:name="_Toc232602961"/>
      <w:r>
        <w:t>Liquidity</w:t>
      </w:r>
      <w:r w:rsidR="00AC0713">
        <w:t xml:space="preserve"> Risk</w:t>
      </w:r>
      <w:r>
        <w:t>: Summary</w:t>
      </w:r>
      <w:bookmarkEnd w:id="11"/>
    </w:p>
    <w:p w14:paraId="6608B4CF" w14:textId="0D328EAE" w:rsidR="00C47882" w:rsidRDefault="00D45DEA" w:rsidP="00161CB2">
      <w:r>
        <w:t xml:space="preserve">While </w:t>
      </w:r>
      <w:r w:rsidR="00810A07">
        <w:t xml:space="preserve">industry </w:t>
      </w:r>
      <w:r w:rsidR="00A83B4A">
        <w:t xml:space="preserve">holdings of less liquid, private and complex assets continue to </w:t>
      </w:r>
      <w:r w:rsidR="00FF15BA">
        <w:t>increase</w:t>
      </w:r>
      <w:r w:rsidR="00C67B49">
        <w:t xml:space="preserve"> as discussed above</w:t>
      </w:r>
      <w:r w:rsidR="00FF15BA">
        <w:t>, o</w:t>
      </w:r>
      <w:r w:rsidR="008B2906">
        <w:t>verall industry allocation to cash and short-term investments is the highest it has been in the last five years at 6.6% of total industry cash and invested assets</w:t>
      </w:r>
      <w:r w:rsidR="002E3B8B">
        <w:t xml:space="preserve">. </w:t>
      </w:r>
      <w:r w:rsidR="008B2906">
        <w:t>Industry allocation to U.S. Government securities is also the highest it has been in the last five years at 4.4% of total industry cash and invested assets</w:t>
      </w:r>
      <w:r w:rsidR="002E3B8B">
        <w:t xml:space="preserve">. </w:t>
      </w:r>
      <w:r w:rsidR="00C47882">
        <w:t>Property and Life liquidity and cash flow ratios are also at their highest (favorable) levels in years</w:t>
      </w:r>
      <w:r w:rsidR="002E3B8B">
        <w:t xml:space="preserve">. </w:t>
      </w:r>
      <w:r w:rsidR="00C47882">
        <w:t>These favorable risk indicators drove the Low risk assessment</w:t>
      </w:r>
      <w:r w:rsidR="002E3B8B">
        <w:t xml:space="preserve">. </w:t>
      </w:r>
    </w:p>
    <w:p w14:paraId="7FD661B1" w14:textId="59AD2EAE" w:rsidR="00161CB2" w:rsidRDefault="008F59BD" w:rsidP="00161CB2">
      <w:r>
        <w:t>However, it should be noted that t</w:t>
      </w:r>
      <w:r w:rsidR="00C47882">
        <w:t>he Health industry indicators are not as favorable</w:t>
      </w:r>
      <w:r>
        <w:t>,</w:t>
      </w:r>
      <w:r w:rsidR="00C47882">
        <w:t xml:space="preserve"> </w:t>
      </w:r>
      <w:r>
        <w:t>as</w:t>
      </w:r>
      <w:r w:rsidR="00C47882">
        <w:t xml:space="preserve"> discussed in the Health section below.</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6"/>
        <w:gridCol w:w="4664"/>
      </w:tblGrid>
      <w:tr w:rsidR="00722F85" w14:paraId="779890D9" w14:textId="77777777" w:rsidTr="00DE33A9">
        <w:trPr>
          <w:trHeight w:val="331"/>
          <w:jc w:val="center"/>
        </w:trPr>
        <w:tc>
          <w:tcPr>
            <w:tcW w:w="4666" w:type="dxa"/>
            <w:shd w:val="clear" w:color="auto" w:fill="00B050"/>
          </w:tcPr>
          <w:p w14:paraId="1CF9EFE1" w14:textId="77777777" w:rsidR="00722F85" w:rsidRDefault="00722F85" w:rsidP="00A93743">
            <w:pPr>
              <w:jc w:val="center"/>
            </w:pPr>
            <w:r>
              <w:t xml:space="preserve">Assessment Level: </w:t>
            </w:r>
            <w:r w:rsidRPr="005A5FBA">
              <w:rPr>
                <w:b/>
                <w:bCs/>
              </w:rPr>
              <w:t>Low</w:t>
            </w:r>
          </w:p>
          <w:p w14:paraId="2B503527" w14:textId="77777777" w:rsidR="00096C8B" w:rsidRDefault="00096C8B" w:rsidP="00A93743">
            <w:pPr>
              <w:jc w:val="center"/>
            </w:pPr>
          </w:p>
        </w:tc>
        <w:tc>
          <w:tcPr>
            <w:tcW w:w="4664" w:type="dxa"/>
          </w:tcPr>
          <w:p w14:paraId="3F13D9D5" w14:textId="47A529B3" w:rsidR="00722F85" w:rsidRDefault="00722F85" w:rsidP="00A93743">
            <w:pPr>
              <w:jc w:val="center"/>
            </w:pPr>
            <w:r>
              <w:t>Trend: Stable</w:t>
            </w:r>
            <w:r w:rsidR="00F060BB" w:rsidRPr="001002A0">
              <w:rPr>
                <w:rStyle w:val="CommentReference"/>
                <w:noProof/>
              </w:rPr>
              <mc:AlternateContent>
                <mc:Choice Requires="wps">
                  <w:drawing>
                    <wp:anchor distT="0" distB="0" distL="114300" distR="114300" simplePos="0" relativeHeight="251658245" behindDoc="0" locked="1" layoutInCell="1" allowOverlap="1" wp14:anchorId="263D964A" wp14:editId="2D33A3DE">
                      <wp:simplePos x="0" y="0"/>
                      <wp:positionH relativeFrom="column">
                        <wp:posOffset>2165350</wp:posOffset>
                      </wp:positionH>
                      <wp:positionV relativeFrom="paragraph">
                        <wp:posOffset>-112395</wp:posOffset>
                      </wp:positionV>
                      <wp:extent cx="257175" cy="562610"/>
                      <wp:effectExtent l="0" t="317" r="0" b="9208"/>
                      <wp:wrapNone/>
                      <wp:docPr id="32" name="Arrow: Up 32"/>
                      <wp:cNvGraphicFramePr/>
                      <a:graphic xmlns:a="http://schemas.openxmlformats.org/drawingml/2006/main">
                        <a:graphicData uri="http://schemas.microsoft.com/office/word/2010/wordprocessingShape">
                          <wps:wsp>
                            <wps:cNvSpPr/>
                            <wps:spPr>
                              <a:xfrm rot="5400000">
                                <a:off x="0" y="0"/>
                                <a:ext cx="257175" cy="562610"/>
                              </a:xfrm>
                              <a:prstGeom prst="upArrow">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4F6498F7">
                    <v:shape id="Arrow: Up 32" style="position:absolute;margin-left:170.5pt;margin-top:-8.85pt;width:20.25pt;height:44.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d="f" type="#_x0000_t68" adj="4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" w14:anchorId="1B7F423A">
                      <w10:anchorlock/>
                    </v:shape>
                  </w:pict>
                </mc:Fallback>
              </mc:AlternateContent>
            </w:r>
            <w:r w:rsidR="00F060BB" w:rsidRPr="001002A0">
              <w:rPr>
                <w:rStyle w:val="CommentReference"/>
                <w:noProof/>
              </w:rPr>
              <mc:AlternateContent>
                <mc:Choice Requires="wps">
                  <w:drawing>
                    <wp:anchor distT="0" distB="0" distL="114300" distR="114300" simplePos="0" relativeHeight="251658244" behindDoc="0" locked="1" layoutInCell="1" allowOverlap="1" wp14:anchorId="74E22784" wp14:editId="1FB253AB">
                      <wp:simplePos x="0" y="0"/>
                      <wp:positionH relativeFrom="column">
                        <wp:posOffset>-318</wp:posOffset>
                      </wp:positionH>
                      <wp:positionV relativeFrom="paragraph">
                        <wp:posOffset>1588</wp:posOffset>
                      </wp:positionV>
                      <wp:extent cx="310896" cy="0"/>
                      <wp:effectExtent l="0" t="0" r="0" b="0"/>
                      <wp:wrapNone/>
                      <wp:docPr id="29" name="Arrow: Up 29"/>
                      <wp:cNvGraphicFramePr/>
                      <a:graphic xmlns:a="http://schemas.openxmlformats.org/drawingml/2006/main">
                        <a:graphicData uri="http://schemas.microsoft.com/office/word/2010/wordprocessingShape">
                          <wps:wsp>
                            <wps:cNvSpPr/>
                            <wps:spPr>
                              <a:xfrm rot="5400000">
                                <a:off x="0" y="0"/>
                                <a:ext cx="310896" cy="0"/>
                              </a:xfrm>
                              <a:prstGeom prst="upArrow">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xmlns:c="http://schemas.openxmlformats.org/drawingml/2006/chart">
                  <w:pict w14:anchorId="312F2E5D">
                    <v:shape id="Arrow: Up 29" style="position:absolute;margin-left:-.05pt;margin-top:.15pt;width:24.5pt;height:0;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d="f" type="#_x0000_t68" adj="-2147483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" w14:anchorId="6AA56243">
                      <w10:anchorlock/>
                    </v:shape>
                  </w:pict>
                </mc:Fallback>
              </mc:AlternateContent>
            </w:r>
          </w:p>
        </w:tc>
      </w:tr>
    </w:tbl>
    <w:p w14:paraId="0707EC1F" w14:textId="006DECC0" w:rsidR="009B6B30" w:rsidRDefault="009B6B30" w:rsidP="009B6B30">
      <w:pPr>
        <w:pStyle w:val="Heading2"/>
      </w:pPr>
      <w:r>
        <w:t xml:space="preserve">Liquidity: P&amp;C </w:t>
      </w:r>
      <w:r w:rsidR="00C0449B">
        <w:t>Sector</w:t>
      </w:r>
    </w:p>
    <w:p w14:paraId="75F9C5CF" w14:textId="0460844C" w:rsidR="00CA7E04" w:rsidRPr="00CA7E04" w:rsidRDefault="0064510B" w:rsidP="00CA7E04">
      <w:r>
        <w:t xml:space="preserve">Net cash provided by operating activities increased </w:t>
      </w:r>
      <w:r w:rsidR="00CA7E04" w:rsidRPr="00CA7E04">
        <w:t>16.8</w:t>
      </w:r>
      <w:r>
        <w:t>% to $</w:t>
      </w:r>
      <w:r w:rsidR="00CA7E04" w:rsidRPr="00CA7E04">
        <w:t>189</w:t>
      </w:r>
      <w:r>
        <w:t>.2 billion</w:t>
      </w:r>
      <w:r w:rsidR="002E3B8B">
        <w:t xml:space="preserve">. </w:t>
      </w:r>
      <w:r>
        <w:t xml:space="preserve">Operating cash inflows increased </w:t>
      </w:r>
      <w:r w:rsidR="001A58EB">
        <w:t xml:space="preserve">by </w:t>
      </w:r>
      <w:r w:rsidR="00CA7E04" w:rsidRPr="00CA7E04">
        <w:t>4.0</w:t>
      </w:r>
      <w:r>
        <w:t xml:space="preserve">% due to a </w:t>
      </w:r>
      <w:r w:rsidR="00CA7E04" w:rsidRPr="00CA7E04">
        <w:t>4.3</w:t>
      </w:r>
      <w:r>
        <w:t xml:space="preserve">% increase in </w:t>
      </w:r>
      <w:r w:rsidR="00905496">
        <w:t>p</w:t>
      </w:r>
      <w:r>
        <w:t>remiums collected net of reinsurance to $</w:t>
      </w:r>
      <w:r w:rsidR="00CA7E04" w:rsidRPr="00CA7E04">
        <w:t>972.4</w:t>
      </w:r>
      <w:r>
        <w:t xml:space="preserve"> billion, and a </w:t>
      </w:r>
      <w:r w:rsidR="00CA7E04" w:rsidRPr="00CA7E04">
        <w:t>3</w:t>
      </w:r>
      <w:r>
        <w:t>.4% increase in net investment income (adjusted for affiliates) to $</w:t>
      </w:r>
      <w:r w:rsidR="00CA7E04" w:rsidRPr="00CA7E04">
        <w:t>87.2</w:t>
      </w:r>
      <w:r>
        <w:t xml:space="preserve"> billion</w:t>
      </w:r>
      <w:r w:rsidR="002E3B8B">
        <w:t xml:space="preserve">. </w:t>
      </w:r>
      <w:r>
        <w:t xml:space="preserve">Partially offsetting the increase in cash inflows was a </w:t>
      </w:r>
      <w:r w:rsidR="00CA7E04" w:rsidRPr="00CA7E04">
        <w:t>1</w:t>
      </w:r>
      <w:r>
        <w:t xml:space="preserve">.4% increase in cash outflows driven by a </w:t>
      </w:r>
      <w:r w:rsidR="00CA7E04" w:rsidRPr="00CA7E04">
        <w:t>6.3</w:t>
      </w:r>
      <w:r>
        <w:t>% increase in commissions and expenses paid, and a 0.</w:t>
      </w:r>
      <w:r w:rsidR="00CA7E04" w:rsidRPr="00CA7E04">
        <w:t>4</w:t>
      </w:r>
      <w:r>
        <w:t>% increase in benefit and loss payments.</w:t>
      </w:r>
      <w:r w:rsidR="00CA7E04" w:rsidRPr="00CA7E04">
        <w:t xml:space="preserve"> </w:t>
      </w:r>
    </w:p>
    <w:p w14:paraId="1A4E8F09" w14:textId="71B75AFB" w:rsidR="0064510B" w:rsidRDefault="00CA7E04" w:rsidP="0064510B">
      <w:r w:rsidRPr="00CA7E04">
        <w:t xml:space="preserve">The industry liquidity ratio </w:t>
      </w:r>
      <w:r w:rsidR="00C47882">
        <w:t xml:space="preserve">and the cash flow ratio both </w:t>
      </w:r>
      <w:r w:rsidRPr="00CA7E04">
        <w:t>improved</w:t>
      </w:r>
      <w:r w:rsidR="00C47882">
        <w:t xml:space="preserve"> by</w:t>
      </w:r>
      <w:r w:rsidRPr="00CA7E04">
        <w:t xml:space="preserve"> </w:t>
      </w:r>
      <w:r w:rsidR="00C47882">
        <w:t>5</w:t>
      </w:r>
      <w:r w:rsidR="006D7738">
        <w:t>+</w:t>
      </w:r>
      <w:r w:rsidR="00C47882">
        <w:t xml:space="preserve"> % </w:t>
      </w:r>
      <w:r w:rsidRPr="00CA7E04">
        <w:t xml:space="preserve">points to </w:t>
      </w:r>
      <w:r w:rsidR="00C47882">
        <w:t>132</w:t>
      </w:r>
      <w:r w:rsidRPr="00CA7E04">
        <w:t>%</w:t>
      </w:r>
      <w:r w:rsidR="00C47882">
        <w:t xml:space="preserve"> and </w:t>
      </w:r>
      <w:r w:rsidR="00B62A22">
        <w:t>19%,</w:t>
      </w:r>
      <w:r w:rsidR="00C47882">
        <w:t xml:space="preserve"> respectively</w:t>
      </w:r>
      <w:r w:rsidR="00B62A22" w:rsidRPr="00CA7E04">
        <w:t>.</w:t>
      </w:r>
      <w:r w:rsidR="00C47882">
        <w:t xml:space="preserve"> </w:t>
      </w:r>
      <w:r w:rsidRPr="00CA7E04">
        <w:t>Liquid assets increased 7.7% due to growth in cash and invested assets, driven by a 7.0%, or $98.5 billion increase in bond holdings and an 11.3%, or $101.2 billion increase in common stocks</w:t>
      </w:r>
      <w:r w:rsidR="00B62A22" w:rsidRPr="00CA7E04">
        <w:t>.</w:t>
      </w:r>
      <w:r w:rsidR="00B62A22">
        <w:t xml:space="preserve"> </w:t>
      </w:r>
      <w:r w:rsidRPr="00CA7E04">
        <w:t>Adjusted liabilities grew at a lesser pace of 3.3%</w:t>
      </w:r>
      <w:r w:rsidR="0064510B">
        <w:t>.</w:t>
      </w:r>
      <w:r w:rsidR="00460DDD">
        <w:t xml:space="preserve"> </w:t>
      </w:r>
    </w:p>
    <w:p w14:paraId="07ED11CD" w14:textId="7C18CF3E" w:rsidR="00BB00AD" w:rsidRDefault="00EE5701" w:rsidP="0064510B">
      <w:r>
        <w:rPr>
          <w:noProof/>
        </w:rPr>
        <w:drawing>
          <wp:inline distT="0" distB="0" distL="0" distR="0" wp14:anchorId="5ED37F39" wp14:editId="115E23D8">
            <wp:extent cx="6134100" cy="2609850"/>
            <wp:effectExtent l="0" t="0" r="0" b="0"/>
            <wp:docPr id="138198102" name="Chart 1">
              <a:extLst xmlns:a="http://schemas.openxmlformats.org/drawingml/2006/main">
                <a:ext uri="{FF2B5EF4-FFF2-40B4-BE49-F238E27FC236}">
                  <a16:creationId xmlns:a16="http://schemas.microsoft.com/office/drawing/2014/main" id="{4A433F4F-E95A-4145-9EC5-9A4EC11EFC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EF4FCDB" w14:textId="60714B3B" w:rsidR="00A35C84" w:rsidRDefault="006E296B" w:rsidP="00362C7C">
      <w:pPr>
        <w:jc w:val="left"/>
      </w:pPr>
      <w:r>
        <w:t xml:space="preserve">Note:  </w:t>
      </w:r>
      <w:r w:rsidR="003A5776">
        <w:t>some regulatory tools may present</w:t>
      </w:r>
      <w:r w:rsidR="00537837">
        <w:t xml:space="preserve"> this formul</w:t>
      </w:r>
      <w:r w:rsidR="00A43B17">
        <w:t>a with the numerator and denominator reversed</w:t>
      </w:r>
      <w:r>
        <w:t>.</w:t>
      </w:r>
    </w:p>
    <w:p w14:paraId="52D1F9FA" w14:textId="6E309C69" w:rsidR="000573CE" w:rsidRDefault="000573CE">
      <w:pPr>
        <w:jc w:val="left"/>
      </w:pPr>
      <w:r>
        <w:br w:type="page"/>
      </w:r>
    </w:p>
    <w:p w14:paraId="5B4640EB" w14:textId="1447DE89" w:rsidR="009B6B30" w:rsidRDefault="009B6B30" w:rsidP="009B6B30">
      <w:pPr>
        <w:pStyle w:val="Heading2"/>
      </w:pPr>
      <w:r>
        <w:t xml:space="preserve">Liquidity: Health </w:t>
      </w:r>
      <w:r w:rsidR="00C0449B">
        <w:t>Sector</w:t>
      </w:r>
    </w:p>
    <w:p w14:paraId="42916435" w14:textId="4B2EC668" w:rsidR="00CA7E04" w:rsidRPr="00CA7E04" w:rsidRDefault="00CA7E04" w:rsidP="00CA7E04">
      <w:r w:rsidRPr="00CA7E04">
        <w:t>The health insurance industry experienced back-to-back years of negative operating cash flow with a 57.6% ($1.2 billion) decrease to -$3.4 billion, which comes off the back of -$1.4 billion in 2024 and $27.4 billion in 2023</w:t>
      </w:r>
      <w:r w:rsidR="00B62A22">
        <w:t xml:space="preserve">. </w:t>
      </w:r>
      <w:r w:rsidRPr="00CA7E04">
        <w:t xml:space="preserve">The considerable decrease in cash flow is due primarily to continued high utilization with a 14.8% ($155 billion) increase in benefits and loss-related payments, while only growing net earned premiums by 13.2% ($153 billion). </w:t>
      </w:r>
    </w:p>
    <w:p w14:paraId="48106123" w14:textId="0878D04B" w:rsidR="007F6F7F" w:rsidRDefault="007F6F7F" w:rsidP="005C63FF">
      <w:r w:rsidRPr="007F6F7F">
        <w:t xml:space="preserve">Liquid assets and receivables increased from $442.6 billion </w:t>
      </w:r>
      <w:r w:rsidR="00CA7E04" w:rsidRPr="00CA7E04">
        <w:t xml:space="preserve">in 2024 to $477.6 billion </w:t>
      </w:r>
      <w:r w:rsidRPr="007F6F7F">
        <w:t xml:space="preserve">on Dec. 31, </w:t>
      </w:r>
      <w:r w:rsidR="00CA7E04" w:rsidRPr="00CA7E04">
        <w:t>2025</w:t>
      </w:r>
      <w:r w:rsidR="00B62A22" w:rsidRPr="00CA7E04">
        <w:t xml:space="preserve">. </w:t>
      </w:r>
      <w:r w:rsidRPr="007F6F7F">
        <w:t>This was offset by a 5.</w:t>
      </w:r>
      <w:r w:rsidR="00CA7E04" w:rsidRPr="00CA7E04">
        <w:t>6% ($14.4</w:t>
      </w:r>
      <w:r w:rsidRPr="007F6F7F">
        <w:t xml:space="preserve"> billion) increase in current liabilities to $</w:t>
      </w:r>
      <w:r w:rsidR="00CA7E04" w:rsidRPr="00CA7E04">
        <w:t>272.8</w:t>
      </w:r>
      <w:r w:rsidRPr="007F6F7F">
        <w:t xml:space="preserve"> billion from $</w:t>
      </w:r>
      <w:r w:rsidR="00CA7E04" w:rsidRPr="00CA7E04">
        <w:t>258.4</w:t>
      </w:r>
      <w:r w:rsidRPr="007F6F7F">
        <w:t xml:space="preserve"> billion</w:t>
      </w:r>
      <w:r w:rsidR="00B62A22" w:rsidRPr="007F6F7F">
        <w:t>.</w:t>
      </w:r>
      <w:r w:rsidR="00B62A22" w:rsidRPr="00CA7E04">
        <w:t xml:space="preserve"> </w:t>
      </w:r>
      <w:r w:rsidRPr="007F6F7F">
        <w:t xml:space="preserve">This resulted in </w:t>
      </w:r>
      <w:r w:rsidR="00CA7E04" w:rsidRPr="00CA7E04">
        <w:t>an unfavorable decrease</w:t>
      </w:r>
      <w:r w:rsidRPr="007F6F7F">
        <w:t xml:space="preserve"> in the ratio of liquid assets and receivables to current liabilities to </w:t>
      </w:r>
      <w:r w:rsidR="00CA7E04" w:rsidRPr="00CA7E04">
        <w:t xml:space="preserve">152% from </w:t>
      </w:r>
      <w:r w:rsidRPr="007F6F7F">
        <w:t xml:space="preserve">171% </w:t>
      </w:r>
      <w:r w:rsidR="00CA7E04" w:rsidRPr="00CA7E04">
        <w:t>and was the lowest recording of this ratio since at least 2009</w:t>
      </w:r>
      <w:r w:rsidR="00B62A22" w:rsidRPr="00CA7E04">
        <w:t xml:space="preserve">. </w:t>
      </w:r>
      <w:r w:rsidR="005D67AD">
        <w:t xml:space="preserve">Additionally, the cash flow to capital and surplus ratio was also at an </w:t>
      </w:r>
      <w:r w:rsidR="00BA5642">
        <w:t>all-time</w:t>
      </w:r>
      <w:r w:rsidR="005D67AD">
        <w:t xml:space="preserve"> low, at -2</w:t>
      </w:r>
      <w:r w:rsidRPr="007F6F7F">
        <w:t>%.</w:t>
      </w:r>
    </w:p>
    <w:p w14:paraId="39CACD42" w14:textId="18D1559E" w:rsidR="00D426C0" w:rsidRPr="005C63FF" w:rsidRDefault="00EE5701" w:rsidP="005C63FF">
      <w:r>
        <w:rPr>
          <w:noProof/>
        </w:rPr>
        <w:drawing>
          <wp:inline distT="0" distB="0" distL="0" distR="0" wp14:anchorId="31CE422D" wp14:editId="0E525D7F">
            <wp:extent cx="6210300" cy="3095625"/>
            <wp:effectExtent l="0" t="0" r="0" b="9525"/>
            <wp:docPr id="1550206789" name="Chart 1">
              <a:extLst xmlns:a="http://schemas.openxmlformats.org/drawingml/2006/main">
                <a:ext uri="{FF2B5EF4-FFF2-40B4-BE49-F238E27FC236}">
                  <a16:creationId xmlns:a16="http://schemas.microsoft.com/office/drawing/2014/main" id="{09E9F532-2699-4D70-B936-7DB3FF3EC1C0}"/>
                </a:ext>
                <a:ext uri="{147F2762-F138-4A5C-976F-8EAC2B608ADB}">
                  <a16:predDERef xmlns:a16="http://schemas.microsoft.com/office/drawing/2014/main" pred="{4A433F4F-E95A-4145-9EC5-9A4EC11EFC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78564EB" w14:textId="677D3FED" w:rsidR="00920DDE" w:rsidRDefault="00920DDE" w:rsidP="00040216">
      <w:pPr>
        <w:jc w:val="center"/>
      </w:pPr>
      <w:r>
        <w:br w:type="page"/>
      </w:r>
    </w:p>
    <w:p w14:paraId="334C4D95" w14:textId="073252AF" w:rsidR="000969E9" w:rsidRDefault="000969E9" w:rsidP="000969E9">
      <w:pPr>
        <w:pStyle w:val="Heading2"/>
      </w:pPr>
      <w:r>
        <w:t xml:space="preserve">Liquidity: Life </w:t>
      </w:r>
      <w:r w:rsidR="00C0449B">
        <w:t>Sector</w:t>
      </w:r>
    </w:p>
    <w:p w14:paraId="2F908F43" w14:textId="73D0BBDB" w:rsidR="00CA7E04" w:rsidRPr="00CA7E04" w:rsidRDefault="00442273" w:rsidP="00CA7E04">
      <w:r w:rsidRPr="00442273">
        <w:t>The life industry reported operating cash flow of $</w:t>
      </w:r>
      <w:r w:rsidR="00CA7E04" w:rsidRPr="00CA7E04">
        <w:t>219</w:t>
      </w:r>
      <w:r w:rsidRPr="00442273">
        <w:t xml:space="preserve">.2 billion in </w:t>
      </w:r>
      <w:r w:rsidR="00CA7E04" w:rsidRPr="00CA7E04">
        <w:t>2025</w:t>
      </w:r>
      <w:r w:rsidRPr="00442273">
        <w:t xml:space="preserve">, up </w:t>
      </w:r>
      <w:r w:rsidR="00CA7E04" w:rsidRPr="00CA7E04">
        <w:t>28.4% ($48.5</w:t>
      </w:r>
      <w:r w:rsidRPr="00442273">
        <w:t xml:space="preserve"> billion) from $</w:t>
      </w:r>
      <w:r w:rsidR="00CA7E04" w:rsidRPr="00CA7E04">
        <w:t>170.6</w:t>
      </w:r>
      <w:r w:rsidRPr="00442273">
        <w:t xml:space="preserve"> billion in the prior year. The increase was </w:t>
      </w:r>
      <w:r w:rsidR="00CA7E04" w:rsidRPr="00CA7E04">
        <w:t xml:space="preserve">driven </w:t>
      </w:r>
      <w:r w:rsidRPr="00442273">
        <w:t xml:space="preserve">primarily </w:t>
      </w:r>
      <w:r w:rsidR="00CA7E04" w:rsidRPr="00CA7E04">
        <w:t>by a 3.6% ($29.4 billion)</w:t>
      </w:r>
      <w:r w:rsidRPr="00442273">
        <w:t xml:space="preserve"> increase in net premium </w:t>
      </w:r>
      <w:r w:rsidR="00CA7E04" w:rsidRPr="00CA7E04">
        <w:t>and a 7.8% ($17.9 billion)</w:t>
      </w:r>
      <w:r w:rsidRPr="00442273">
        <w:t xml:space="preserve"> increase in net investment income</w:t>
      </w:r>
      <w:r w:rsidR="00B62A22" w:rsidRPr="00442273">
        <w:t xml:space="preserve">. </w:t>
      </w:r>
      <w:r w:rsidRPr="00442273">
        <w:t xml:space="preserve">Transfers to separate accounts </w:t>
      </w:r>
      <w:r w:rsidR="00CA7E04" w:rsidRPr="00CA7E04">
        <w:t>were $(123.1) billion, compared with</w:t>
      </w:r>
      <w:r w:rsidRPr="00442273">
        <w:t xml:space="preserve"> $(119.6) billion </w:t>
      </w:r>
      <w:r w:rsidR="00CA7E04" w:rsidRPr="00CA7E04">
        <w:t xml:space="preserve">in 2024, while increases in </w:t>
      </w:r>
      <w:r w:rsidRPr="00442273">
        <w:t xml:space="preserve">benefits and loss payments of </w:t>
      </w:r>
      <w:r w:rsidR="00CA7E04" w:rsidRPr="00CA7E04">
        <w:t>0.9% ($7.7</w:t>
      </w:r>
      <w:r w:rsidRPr="00442273">
        <w:t xml:space="preserve"> billion</w:t>
      </w:r>
      <w:r w:rsidR="00CA7E04" w:rsidRPr="00CA7E04">
        <w:t>) and</w:t>
      </w:r>
      <w:r w:rsidRPr="00442273">
        <w:t xml:space="preserve"> commissions of </w:t>
      </w:r>
      <w:r w:rsidR="00CA7E04" w:rsidRPr="00CA7E04">
        <w:t>4.5% ($</w:t>
      </w:r>
      <w:r w:rsidRPr="00442273">
        <w:t>9.</w:t>
      </w:r>
      <w:r w:rsidR="00CA7E04" w:rsidRPr="00CA7E04">
        <w:t>2</w:t>
      </w:r>
      <w:r w:rsidRPr="00442273">
        <w:t xml:space="preserve"> billion</w:t>
      </w:r>
      <w:r w:rsidR="00CA7E04" w:rsidRPr="00CA7E04">
        <w:t>)</w:t>
      </w:r>
      <w:r w:rsidRPr="00442273">
        <w:t xml:space="preserve"> partially offset the improvement in operating cash flow.</w:t>
      </w:r>
    </w:p>
    <w:p w14:paraId="0DC1286D" w14:textId="54795996" w:rsidR="00D018DF" w:rsidRDefault="00CA7E04" w:rsidP="00D70359">
      <w:r w:rsidRPr="00CA7E04">
        <w:t xml:space="preserve">The industry experienced a </w:t>
      </w:r>
      <w:r w:rsidR="000C2898">
        <w:t xml:space="preserve">modest </w:t>
      </w:r>
      <w:r w:rsidRPr="00CA7E04">
        <w:t>0.7% ($3.1 billion) increase in surrender benefits to $487.6 billion</w:t>
      </w:r>
      <w:r w:rsidR="00B62A22" w:rsidRPr="00CA7E04">
        <w:t xml:space="preserve">. </w:t>
      </w:r>
      <w:r w:rsidRPr="00CA7E04">
        <w:t>The average surrenders-to</w:t>
      </w:r>
      <w:r>
        <w:t xml:space="preserve"> </w:t>
      </w:r>
      <w:r w:rsidRPr="00CA7E04">
        <w:t>premiums</w:t>
      </w:r>
      <w:r>
        <w:t xml:space="preserve"> </w:t>
      </w:r>
      <w:r w:rsidRPr="00CA7E04">
        <w:t xml:space="preserve">ratio increased 2.7 points to 61.1%, compared with 58.4% in 2024. </w:t>
      </w:r>
    </w:p>
    <w:p w14:paraId="5EAF4578" w14:textId="009ED518" w:rsidR="00D70359" w:rsidRDefault="00FD7687" w:rsidP="00D70359">
      <w:r>
        <w:rPr>
          <w:noProof/>
        </w:rPr>
        <w:drawing>
          <wp:inline distT="0" distB="0" distL="0" distR="0" wp14:anchorId="6861A95F" wp14:editId="2A478979">
            <wp:extent cx="5943600" cy="3161030"/>
            <wp:effectExtent l="0" t="0" r="0" b="1270"/>
            <wp:docPr id="1343462301" name="Chart 1">
              <a:extLst xmlns:a="http://schemas.openxmlformats.org/drawingml/2006/main">
                <a:ext uri="{FF2B5EF4-FFF2-40B4-BE49-F238E27FC236}">
                  <a16:creationId xmlns:a16="http://schemas.microsoft.com/office/drawing/2014/main" id="{662BC11B-1B17-421B-9B3D-AB7A84886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EEF5EDE" w14:textId="204FAA9B" w:rsidR="00760402" w:rsidRDefault="00F4237F" w:rsidP="00760402">
      <w:pPr>
        <w:pStyle w:val="Heading2"/>
      </w:pPr>
      <w:r>
        <w:t xml:space="preserve">Liquidity: </w:t>
      </w:r>
      <w:r w:rsidR="002243F8">
        <w:t>Additional Indicators</w:t>
      </w:r>
    </w:p>
    <w:p w14:paraId="6FFAFA99" w14:textId="3A7F627A" w:rsidR="00F763B2" w:rsidRDefault="00F763B2" w:rsidP="000E1E4A">
      <w:pPr>
        <w:spacing w:after="0" w:line="240" w:lineRule="auto"/>
      </w:pPr>
    </w:p>
    <w:p w14:paraId="4944E1D9" w14:textId="77777777" w:rsidR="00322B46" w:rsidRDefault="00F763B2" w:rsidP="000E1E4A">
      <w:pPr>
        <w:spacing w:after="0" w:line="240" w:lineRule="auto"/>
      </w:pPr>
      <w:r w:rsidRPr="00322B46">
        <w:rPr>
          <w:b/>
          <w:bCs/>
        </w:rPr>
        <w:t xml:space="preserve">LST Stress Testing </w:t>
      </w:r>
      <w:r w:rsidR="002B4FDA" w:rsidRPr="00322B46">
        <w:rPr>
          <w:b/>
          <w:bCs/>
        </w:rPr>
        <w:t>(LST)</w:t>
      </w:r>
      <w:r w:rsidRPr="00322B46">
        <w:rPr>
          <w:b/>
          <w:bCs/>
        </w:rPr>
        <w:t xml:space="preserve"> Results</w:t>
      </w:r>
    </w:p>
    <w:p w14:paraId="27B1F774" w14:textId="0A0369C8" w:rsidR="00F763B2" w:rsidRDefault="006325FC" w:rsidP="00362C7C">
      <w:r w:rsidRPr="00E562E9">
        <w:t xml:space="preserve">The LST is a regulatory tool intended to aid regulators in </w:t>
      </w:r>
      <w:r w:rsidR="00EC7968" w:rsidRPr="00E562E9">
        <w:t>identifying amounts of asset sales by insurers that could impact the markets under stressed environments</w:t>
      </w:r>
      <w:r w:rsidR="007B635B" w:rsidRPr="00E562E9">
        <w:t xml:space="preserve"> while also providing regulators with insights on the liquidity position of </w:t>
      </w:r>
      <w:r w:rsidR="0010427B" w:rsidRPr="00E562E9">
        <w:t>insurers subject to the filing requirement.</w:t>
      </w:r>
      <w:r w:rsidR="00F763B2" w:rsidRPr="00E562E9">
        <w:t xml:space="preserve"> </w:t>
      </w:r>
      <w:r w:rsidR="005D25EB" w:rsidRPr="00E562E9">
        <w:t xml:space="preserve">Per the most recent filings reviewed, the impact of </w:t>
      </w:r>
      <w:r w:rsidR="00016D75">
        <w:t xml:space="preserve">modeled </w:t>
      </w:r>
      <w:r w:rsidR="005D25EB" w:rsidRPr="00E562E9">
        <w:t>aggregate</w:t>
      </w:r>
      <w:r w:rsidR="005D25EB">
        <w:t xml:space="preserve"> asset sales in the most severe stress scenario for the 2</w:t>
      </w:r>
      <w:r w:rsidR="00FC3DFB">
        <w:t>6</w:t>
      </w:r>
      <w:r w:rsidR="005D25EB">
        <w:t xml:space="preserve"> large life insurers subject to the LST to the capital markets is not significant. </w:t>
      </w:r>
      <w:r w:rsidR="00B108BE">
        <w:t>Most insurer</w:t>
      </w:r>
      <w:r w:rsidR="68E572D5">
        <w:t>s</w:t>
      </w:r>
      <w:r w:rsidR="00B108BE">
        <w:t xml:space="preserve"> were able to absorb </w:t>
      </w:r>
      <w:r w:rsidR="00016D75">
        <w:t xml:space="preserve">modeled </w:t>
      </w:r>
      <w:r w:rsidR="00B108BE">
        <w:t>cash flow deficits in stressed sce</w:t>
      </w:r>
      <w:r w:rsidR="00882018">
        <w:t>narios with cash on hand</w:t>
      </w:r>
      <w:r w:rsidR="00B62A22">
        <w:t xml:space="preserve">. </w:t>
      </w:r>
      <w:r w:rsidR="000E1A8D">
        <w:t xml:space="preserve">In </w:t>
      </w:r>
      <w:r w:rsidR="00B42B2D">
        <w:t>extreme stresses</w:t>
      </w:r>
      <w:r w:rsidR="000E1A8D">
        <w:t xml:space="preserve"> </w:t>
      </w:r>
      <w:r w:rsidR="00F256B5">
        <w:t xml:space="preserve">where </w:t>
      </w:r>
      <w:r w:rsidR="00016D75">
        <w:t xml:space="preserve">modeled </w:t>
      </w:r>
      <w:r w:rsidR="00627678">
        <w:t xml:space="preserve">assets sales </w:t>
      </w:r>
      <w:r w:rsidR="00FF706E">
        <w:t xml:space="preserve">were required to satisfy cash flow deficits, </w:t>
      </w:r>
      <w:r w:rsidR="002B63ED">
        <w:t xml:space="preserve">the industry’s aggregate </w:t>
      </w:r>
      <w:r w:rsidR="00FF706E">
        <w:t>c</w:t>
      </w:r>
      <w:r w:rsidR="005D25EB">
        <w:t xml:space="preserve">orporate investment grade bond sales </w:t>
      </w:r>
      <w:r w:rsidR="009E7207">
        <w:t xml:space="preserve">necessary to satisfy deficits </w:t>
      </w:r>
      <w:r w:rsidR="005D25EB">
        <w:t>were only 3.</w:t>
      </w:r>
      <w:r w:rsidR="00212371">
        <w:t>1</w:t>
      </w:r>
      <w:r w:rsidR="005D25EB">
        <w:t>% of average daily trading volumes</w:t>
      </w:r>
      <w:r w:rsidR="003936B5">
        <w:t xml:space="preserve"> (ADTV)</w:t>
      </w:r>
      <w:r w:rsidR="005D25EB">
        <w:t xml:space="preserve"> </w:t>
      </w:r>
      <w:r w:rsidR="00116F13">
        <w:t>and</w:t>
      </w:r>
      <w:r w:rsidR="005D25EB">
        <w:t xml:space="preserve"> </w:t>
      </w:r>
      <w:r w:rsidR="009A721E">
        <w:t>only</w:t>
      </w:r>
      <w:r w:rsidR="00106DF3">
        <w:t xml:space="preserve"> </w:t>
      </w:r>
      <w:r w:rsidR="005D25EB">
        <w:t xml:space="preserve">.04% of IG Corps Outstanding. </w:t>
      </w:r>
      <w:r w:rsidR="00E77DEE">
        <w:t>Additionally, aggregate g</w:t>
      </w:r>
      <w:r w:rsidR="005D25EB">
        <w:t xml:space="preserve">overnment bond sales </w:t>
      </w:r>
      <w:r w:rsidR="00E77DEE">
        <w:t xml:space="preserve">to satisfy deficits </w:t>
      </w:r>
      <w:r w:rsidR="005D25EB">
        <w:t xml:space="preserve">were </w:t>
      </w:r>
      <w:r w:rsidR="00C1254E">
        <w:t>only</w:t>
      </w:r>
      <w:r w:rsidR="005D25EB">
        <w:t xml:space="preserve"> </w:t>
      </w:r>
      <w:r w:rsidR="004405FD">
        <w:t>.6</w:t>
      </w:r>
      <w:r w:rsidR="005D25EB">
        <w:t>% of ADTV and .07% of Treas</w:t>
      </w:r>
      <w:r w:rsidR="007E7BFD">
        <w:t>uries</w:t>
      </w:r>
      <w:r w:rsidR="005D25EB">
        <w:t xml:space="preserve"> Outstanding</w:t>
      </w:r>
      <w:r w:rsidR="00212371">
        <w:t>.</w:t>
      </w:r>
    </w:p>
    <w:p w14:paraId="7EEBFD7E" w14:textId="3E68BD30" w:rsidR="00322B46" w:rsidRDefault="00322B46" w:rsidP="00362C7C">
      <w:r>
        <w:br w:type="page"/>
      </w:r>
    </w:p>
    <w:p w14:paraId="4DC5C8C2" w14:textId="3790B326" w:rsidR="00322B46" w:rsidRPr="00322B46" w:rsidRDefault="005943DF" w:rsidP="00322B46">
      <w:pPr>
        <w:spacing w:after="0" w:line="240" w:lineRule="auto"/>
        <w:jc w:val="left"/>
        <w:rPr>
          <w:b/>
          <w:bCs/>
        </w:rPr>
      </w:pPr>
      <w:r>
        <w:rPr>
          <w:b/>
          <w:bCs/>
        </w:rPr>
        <w:t>Indus</w:t>
      </w:r>
      <w:r w:rsidR="00D54CCE">
        <w:rPr>
          <w:b/>
          <w:bCs/>
        </w:rPr>
        <w:t xml:space="preserve">try wide </w:t>
      </w:r>
      <w:r w:rsidR="00322B46" w:rsidRPr="00322B46">
        <w:rPr>
          <w:b/>
          <w:bCs/>
        </w:rPr>
        <w:t>Cash and Short-</w:t>
      </w:r>
      <w:r w:rsidR="00322B46">
        <w:rPr>
          <w:b/>
          <w:bCs/>
        </w:rPr>
        <w:t>T</w:t>
      </w:r>
      <w:r w:rsidR="00322B46" w:rsidRPr="00322B46">
        <w:rPr>
          <w:b/>
          <w:bCs/>
        </w:rPr>
        <w:t xml:space="preserve">erm </w:t>
      </w:r>
      <w:r w:rsidR="000E1E4A">
        <w:rPr>
          <w:b/>
          <w:bCs/>
        </w:rPr>
        <w:t>I</w:t>
      </w:r>
      <w:r w:rsidR="00322B46" w:rsidRPr="00322B46">
        <w:rPr>
          <w:b/>
          <w:bCs/>
        </w:rPr>
        <w:t>nvestments</w:t>
      </w:r>
    </w:p>
    <w:p w14:paraId="251FBC3B" w14:textId="6B8C7A8A" w:rsidR="008125B3" w:rsidRDefault="00D86001" w:rsidP="006F782C">
      <w:pPr>
        <w:spacing w:after="0" w:line="240" w:lineRule="auto"/>
      </w:pPr>
      <w:r>
        <w:t xml:space="preserve">The industry has a significant allocation to Cash, Short-term </w:t>
      </w:r>
      <w:r w:rsidR="00B62A22">
        <w:t>investments,</w:t>
      </w:r>
      <w:r>
        <w:t xml:space="preserve"> and U.S. Government Securities</w:t>
      </w:r>
      <w:r w:rsidR="00394C33">
        <w:t xml:space="preserve"> as sources of liquidity</w:t>
      </w:r>
      <w:r w:rsidR="00B62A22">
        <w:t xml:space="preserve">. </w:t>
      </w:r>
      <w:r w:rsidR="00DC672A">
        <w:t>Additionally</w:t>
      </w:r>
      <w:r w:rsidR="007108D9">
        <w:t>,</w:t>
      </w:r>
      <w:r w:rsidR="00F50DC8">
        <w:t xml:space="preserve"> many insurer</w:t>
      </w:r>
      <w:r w:rsidR="00DC672A">
        <w:t>s</w:t>
      </w:r>
      <w:r w:rsidR="00F50DC8">
        <w:t xml:space="preserve"> maintain a line of credit with the </w:t>
      </w:r>
      <w:r w:rsidR="00DE17A6">
        <w:t>FHLB</w:t>
      </w:r>
      <w:r w:rsidR="00BD40D8">
        <w:t xml:space="preserve"> </w:t>
      </w:r>
      <w:r w:rsidR="00DC672A">
        <w:t xml:space="preserve">and </w:t>
      </w:r>
      <w:r w:rsidR="008125B3">
        <w:t xml:space="preserve">lines of credit/revolvers with commercial banks. </w:t>
      </w:r>
    </w:p>
    <w:p w14:paraId="157F1019" w14:textId="77777777" w:rsidR="000E2BCC" w:rsidRDefault="000E2BCC" w:rsidP="006F782C">
      <w:pPr>
        <w:spacing w:after="0" w:line="240" w:lineRule="auto"/>
      </w:pPr>
    </w:p>
    <w:p w14:paraId="62FEF6DA" w14:textId="58125A6C" w:rsidR="000E2BCC" w:rsidRPr="00322B46" w:rsidRDefault="000E2BCC" w:rsidP="006F782C">
      <w:pPr>
        <w:spacing w:after="0" w:line="240" w:lineRule="auto"/>
        <w:rPr>
          <w:b/>
          <w:bCs/>
        </w:rPr>
      </w:pPr>
    </w:p>
    <w:p w14:paraId="0DDE55BE" w14:textId="7F34B665" w:rsidR="007108D9" w:rsidRDefault="00075ABE" w:rsidP="007108D9">
      <w:pPr>
        <w:spacing w:after="0" w:line="240" w:lineRule="auto"/>
        <w:jc w:val="center"/>
        <w:rPr>
          <w:b/>
          <w:bCs/>
        </w:rPr>
      </w:pPr>
      <w:r>
        <w:rPr>
          <w:noProof/>
        </w:rPr>
        <w:drawing>
          <wp:inline distT="0" distB="0" distL="0" distR="0" wp14:anchorId="24464C82" wp14:editId="1C683D53">
            <wp:extent cx="5895975" cy="3166745"/>
            <wp:effectExtent l="0" t="0" r="9525" b="14605"/>
            <wp:docPr id="137627224" name="Chart 1">
              <a:extLst xmlns:a="http://schemas.openxmlformats.org/drawingml/2006/main">
                <a:ext uri="{FF2B5EF4-FFF2-40B4-BE49-F238E27FC236}">
                  <a16:creationId xmlns:a16="http://schemas.microsoft.com/office/drawing/2014/main" id="{E647DF76-5501-F917-01E0-75B659A802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BE86FBB" w14:textId="77777777" w:rsidR="005B000D" w:rsidRDefault="005B000D" w:rsidP="007108D9">
      <w:pPr>
        <w:spacing w:after="0" w:line="240" w:lineRule="auto"/>
        <w:jc w:val="left"/>
        <w:rPr>
          <w:b/>
          <w:bCs/>
        </w:rPr>
      </w:pPr>
    </w:p>
    <w:p w14:paraId="6C847F23" w14:textId="7DDB496A" w:rsidR="005B000D" w:rsidRDefault="005B000D" w:rsidP="007108D9">
      <w:pPr>
        <w:spacing w:after="0" w:line="240" w:lineRule="auto"/>
        <w:jc w:val="left"/>
        <w:rPr>
          <w:b/>
          <w:bCs/>
        </w:rPr>
      </w:pPr>
    </w:p>
    <w:p w14:paraId="6A28E4A3" w14:textId="77777777" w:rsidR="005B000D" w:rsidRPr="007108D9" w:rsidRDefault="005B000D" w:rsidP="007108D9">
      <w:pPr>
        <w:spacing w:after="0" w:line="240" w:lineRule="auto"/>
        <w:jc w:val="left"/>
        <w:rPr>
          <w:b/>
          <w:bCs/>
        </w:rPr>
      </w:pPr>
    </w:p>
    <w:p w14:paraId="62CDEBFF" w14:textId="0B610C40" w:rsidR="002B0741" w:rsidRPr="007108D9" w:rsidRDefault="00DF17F5" w:rsidP="007108D9">
      <w:pPr>
        <w:spacing w:after="0" w:line="240" w:lineRule="auto"/>
        <w:jc w:val="center"/>
        <w:rPr>
          <w:b/>
          <w:bCs/>
        </w:rPr>
      </w:pPr>
      <w:r w:rsidRPr="007108D9">
        <w:rPr>
          <w:b/>
          <w:bCs/>
        </w:rPr>
        <w:br w:type="page"/>
      </w:r>
    </w:p>
    <w:p w14:paraId="3331B814" w14:textId="66980D5F" w:rsidR="00A3510A" w:rsidRDefault="004C50DF" w:rsidP="00A3510A">
      <w:pPr>
        <w:pStyle w:val="Heading1"/>
      </w:pPr>
      <w:bookmarkStart w:id="12" w:name="_Toc232602962"/>
      <w:r>
        <w:t xml:space="preserve">Capital </w:t>
      </w:r>
      <w:r w:rsidR="009F3C8E">
        <w:t xml:space="preserve">Adequacy </w:t>
      </w:r>
      <w:r w:rsidR="00A3510A">
        <w:t>Risk Summary</w:t>
      </w:r>
      <w:bookmarkEnd w:id="12"/>
    </w:p>
    <w:p w14:paraId="156F996E" w14:textId="44AA78E5" w:rsidR="00A3510A" w:rsidRDefault="00A3510A" w:rsidP="00A3510A">
      <w:pPr>
        <w:spacing w:after="0"/>
      </w:pPr>
      <w:r>
        <w:t xml:space="preserve">The assessment is driven by </w:t>
      </w:r>
      <w:r w:rsidR="00BF1AC4">
        <w:t xml:space="preserve">historically </w:t>
      </w:r>
      <w:r w:rsidR="005D67AD">
        <w:t>high</w:t>
      </w:r>
      <w:r>
        <w:t xml:space="preserve"> capital levels</w:t>
      </w:r>
      <w:r w:rsidR="00BF1AC4">
        <w:t xml:space="preserve"> even in the face of </w:t>
      </w:r>
      <w:r w:rsidR="00BF03D8">
        <w:t>industry challenges</w:t>
      </w:r>
      <w:r w:rsidR="005D67AD">
        <w:t>, with P&amp;C at an all-time high ACL ratio,</w:t>
      </w:r>
      <w:r>
        <w:t xml:space="preserve"> and a low number of companies in receivership/liquidation proceedings:</w:t>
      </w:r>
    </w:p>
    <w:p w14:paraId="755DD358" w14:textId="77777777" w:rsidR="00A3510A" w:rsidRDefault="00A3510A" w:rsidP="00A3510A">
      <w:pPr>
        <w:spacing w:after="0"/>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6"/>
        <w:gridCol w:w="4664"/>
      </w:tblGrid>
      <w:tr w:rsidR="00A3510A" w14:paraId="1B1ECA03" w14:textId="77777777">
        <w:trPr>
          <w:trHeight w:val="331"/>
          <w:jc w:val="center"/>
        </w:trPr>
        <w:tc>
          <w:tcPr>
            <w:tcW w:w="4666" w:type="dxa"/>
            <w:shd w:val="clear" w:color="auto" w:fill="00B050"/>
          </w:tcPr>
          <w:p w14:paraId="1D2C9110" w14:textId="77777777" w:rsidR="00A3510A" w:rsidRDefault="00A3510A">
            <w:pPr>
              <w:jc w:val="center"/>
            </w:pPr>
            <w:r>
              <w:t xml:space="preserve">Assessment Level: </w:t>
            </w:r>
            <w:r w:rsidRPr="00362C7C">
              <w:rPr>
                <w:b/>
                <w:bCs/>
              </w:rPr>
              <w:t>Low</w:t>
            </w:r>
          </w:p>
          <w:p w14:paraId="2B81D4A0" w14:textId="77777777" w:rsidR="002F251D" w:rsidRDefault="002F251D">
            <w:pPr>
              <w:jc w:val="center"/>
            </w:pPr>
          </w:p>
        </w:tc>
        <w:tc>
          <w:tcPr>
            <w:tcW w:w="4664" w:type="dxa"/>
          </w:tcPr>
          <w:p w14:paraId="2EC6C921" w14:textId="77777777" w:rsidR="00A3510A" w:rsidRDefault="00A3510A">
            <w:pPr>
              <w:jc w:val="center"/>
            </w:pPr>
            <w:r>
              <w:t>Trend: Stable</w:t>
            </w:r>
            <w:r w:rsidRPr="001002A0">
              <w:rPr>
                <w:rStyle w:val="FooterChar"/>
                <w:noProof/>
              </w:rPr>
              <mc:AlternateContent>
                <mc:Choice Requires="wps">
                  <w:drawing>
                    <wp:anchor distT="0" distB="0" distL="114300" distR="114300" simplePos="0" relativeHeight="251658247" behindDoc="0" locked="1" layoutInCell="1" allowOverlap="1" wp14:anchorId="3596E341" wp14:editId="09266955">
                      <wp:simplePos x="0" y="0"/>
                      <wp:positionH relativeFrom="column">
                        <wp:posOffset>2049145</wp:posOffset>
                      </wp:positionH>
                      <wp:positionV relativeFrom="paragraph">
                        <wp:posOffset>-74295</wp:posOffset>
                      </wp:positionV>
                      <wp:extent cx="210185" cy="382270"/>
                      <wp:effectExtent l="9208" t="0" r="0" b="8573"/>
                      <wp:wrapNone/>
                      <wp:docPr id="33" name="Arrow: Up 33"/>
                      <wp:cNvGraphicFramePr/>
                      <a:graphic xmlns:a="http://schemas.openxmlformats.org/drawingml/2006/main">
                        <a:graphicData uri="http://schemas.microsoft.com/office/word/2010/wordprocessingShape">
                          <wps:wsp>
                            <wps:cNvSpPr/>
                            <wps:spPr>
                              <a:xfrm rot="5400000">
                                <a:off x="0" y="0"/>
                                <a:ext cx="210185" cy="382270"/>
                              </a:xfrm>
                              <a:prstGeom prst="upArrow">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F6729B2">
                    <v:shapetype id="_x0000_t68" coordsize="21600,21600" o:spt="68" adj="5400,5400" path="m0@0l@1@0@1,21600@2,21600@2@0,21600@0,10800,xe" w14:anchorId="21F9C9C5">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rrow: Up 33" style="position:absolute;margin-left:161.35pt;margin-top:-5.85pt;width:16.55pt;height:30.1pt;rotation:9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d="f" type="#_x0000_t68" adj="5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">
                      <w10:anchorlock/>
                    </v:shape>
                  </w:pict>
                </mc:Fallback>
              </mc:AlternateContent>
            </w:r>
          </w:p>
        </w:tc>
      </w:tr>
    </w:tbl>
    <w:p w14:paraId="07389276" w14:textId="5AECC61A" w:rsidR="00A3510A" w:rsidRDefault="004C50DF" w:rsidP="00A3510A">
      <w:pPr>
        <w:pStyle w:val="Heading2"/>
      </w:pPr>
      <w:r>
        <w:t>Capital Adequacy</w:t>
      </w:r>
      <w:r w:rsidR="00A3510A">
        <w:t>: Life Sector</w:t>
      </w:r>
    </w:p>
    <w:p w14:paraId="61F666AF" w14:textId="0C9A7650" w:rsidR="00910F79" w:rsidRPr="00695804" w:rsidRDefault="00AE5EE3" w:rsidP="00AE5EE3">
      <w:r w:rsidRPr="00AE5EE3">
        <w:t xml:space="preserve">The </w:t>
      </w:r>
      <w:r w:rsidR="0011680D">
        <w:t xml:space="preserve">life </w:t>
      </w:r>
      <w:r w:rsidRPr="00AE5EE3">
        <w:t>industry’s total capital and surplus increased 5.7% to $540.7 billion</w:t>
      </w:r>
      <w:r w:rsidR="00B62A22" w:rsidRPr="00AE5EE3">
        <w:t>.</w:t>
      </w:r>
      <w:r w:rsidR="00BC4D52">
        <w:t xml:space="preserve"> </w:t>
      </w:r>
      <w:r w:rsidR="00B62A22" w:rsidRPr="00AE5EE3">
        <w:t xml:space="preserve"> </w:t>
      </w:r>
      <w:r w:rsidR="00D10304" w:rsidRPr="00D10304">
        <w:t xml:space="preserve">The increase was driven primarily by $46.4 billion in net income, $13.6 billion in paid-in capital, and $14.3 billion in unrealized capital gains, partially offset by $35.8 billion in stockholder </w:t>
      </w:r>
      <w:r w:rsidR="004472E4" w:rsidRPr="00D10304">
        <w:t>dividends</w:t>
      </w:r>
      <w:r w:rsidR="00B62A22" w:rsidRPr="00D10304">
        <w:t>.</w:t>
      </w:r>
      <w:r w:rsidR="00B62A22">
        <w:t xml:space="preserve"> </w:t>
      </w:r>
      <w:r w:rsidR="00303181" w:rsidRPr="00695804">
        <w:t>Additional observations include:</w:t>
      </w:r>
    </w:p>
    <w:p w14:paraId="53886D4A" w14:textId="1664B82D" w:rsidR="00A3510A" w:rsidRPr="00695804" w:rsidRDefault="00D45C71" w:rsidP="006F782C">
      <w:pPr>
        <w:pStyle w:val="ListParagraph"/>
        <w:numPr>
          <w:ilvl w:val="0"/>
          <w:numId w:val="30"/>
        </w:numPr>
        <w:ind w:left="720"/>
      </w:pPr>
      <w:r>
        <w:t>Current a</w:t>
      </w:r>
      <w:r w:rsidR="00A3510A" w:rsidRPr="00695804">
        <w:t xml:space="preserve">ggregate RBC </w:t>
      </w:r>
      <w:r>
        <w:t>of 8</w:t>
      </w:r>
      <w:r w:rsidR="0011680D">
        <w:t>86</w:t>
      </w:r>
      <w:r>
        <w:t xml:space="preserve">% ACL </w:t>
      </w:r>
      <w:r w:rsidR="00A3510A" w:rsidRPr="00695804">
        <w:t>continues to be well above the low point of the 2008 financial crisis (758%)</w:t>
      </w:r>
      <w:r w:rsidR="004472E4">
        <w:t>,</w:t>
      </w:r>
      <w:r w:rsidR="00A3510A" w:rsidRPr="00695804">
        <w:t xml:space="preserve"> and the industry continues to be very well capitalized overall as indicated by the historically low number of companies in RBC action levels (</w:t>
      </w:r>
      <w:r w:rsidR="00A63E5F">
        <w:t>1.</w:t>
      </w:r>
      <w:r w:rsidR="0011680D">
        <w:t>26%</w:t>
      </w:r>
      <w:r w:rsidR="00A3510A" w:rsidRPr="00695804">
        <w:t>) and aggregate premium/reserve leverage positions.</w:t>
      </w:r>
      <w:r w:rsidR="00A3510A" w:rsidRPr="00695804">
        <w:rPr>
          <w:noProof/>
        </w:rPr>
        <w:t xml:space="preserve"> </w:t>
      </w:r>
    </w:p>
    <w:p w14:paraId="33D58933" w14:textId="04A50326" w:rsidR="00A3510A" w:rsidRDefault="00A3510A" w:rsidP="006F782C">
      <w:pPr>
        <w:pStyle w:val="ListParagraph"/>
        <w:numPr>
          <w:ilvl w:val="0"/>
          <w:numId w:val="30"/>
        </w:numPr>
        <w:ind w:left="720"/>
      </w:pPr>
      <w:r w:rsidRPr="00695804">
        <w:t>The industry wide capital levels are relatively consistent with rating agency upgrade/downgrade activity as well as industry outlooks, which generally assigned the life insurance sector a stable outlook at the end of 202</w:t>
      </w:r>
      <w:r w:rsidR="00A63E5F">
        <w:t>5</w:t>
      </w:r>
      <w:r w:rsidRPr="00695804">
        <w:t>.</w:t>
      </w:r>
    </w:p>
    <w:p w14:paraId="6BDF69CB" w14:textId="42470A24" w:rsidR="006136BC" w:rsidRPr="00695804" w:rsidRDefault="00C2002A" w:rsidP="006F782C">
      <w:pPr>
        <w:pStyle w:val="ListParagraph"/>
        <w:numPr>
          <w:ilvl w:val="0"/>
          <w:numId w:val="30"/>
        </w:numPr>
        <w:ind w:left="720"/>
      </w:pPr>
      <w:r>
        <w:t xml:space="preserve">RBC is a regulatory </w:t>
      </w:r>
      <w:r w:rsidR="00611352">
        <w:t>min</w:t>
      </w:r>
      <w:r w:rsidR="003D2D22">
        <w:t>imum</w:t>
      </w:r>
      <w:r w:rsidR="00611352">
        <w:t xml:space="preserve"> cap</w:t>
      </w:r>
      <w:r w:rsidR="003D2D22">
        <w:t>ital</w:t>
      </w:r>
      <w:r w:rsidR="00611352">
        <w:t xml:space="preserve"> req</w:t>
      </w:r>
      <w:r w:rsidR="003D2D22">
        <w:t>uirem</w:t>
      </w:r>
      <w:r w:rsidR="00136FA6">
        <w:t>ent</w:t>
      </w:r>
      <w:r w:rsidR="00611352">
        <w:t xml:space="preserve"> and may not reflect economic required capital </w:t>
      </w:r>
      <w:r w:rsidR="00093BFD">
        <w:t xml:space="preserve">risk </w:t>
      </w:r>
      <w:r w:rsidR="008D36D8">
        <w:t>for all acti</w:t>
      </w:r>
      <w:r w:rsidR="00093BFD">
        <w:t>vities including significant shifts</w:t>
      </w:r>
      <w:r w:rsidR="003A0100">
        <w:t xml:space="preserve"> of </w:t>
      </w:r>
      <w:r w:rsidR="00136FA6">
        <w:t>cross</w:t>
      </w:r>
      <w:r w:rsidR="003D2D22">
        <w:t xml:space="preserve"> border reinsurance</w:t>
      </w:r>
      <w:r w:rsidR="00093BFD">
        <w:t xml:space="preserve"> discussed </w:t>
      </w:r>
      <w:r w:rsidR="00237314">
        <w:t>in the credit risk section.</w:t>
      </w:r>
    </w:p>
    <w:p w14:paraId="147C3209" w14:textId="2E135B3A" w:rsidR="00205237" w:rsidRDefault="002D6BB3" w:rsidP="00205237">
      <w:pPr>
        <w:spacing w:after="0"/>
      </w:pPr>
      <w:r>
        <w:rPr>
          <w:noProof/>
        </w:rPr>
        <w:drawing>
          <wp:inline distT="0" distB="0" distL="0" distR="0" wp14:anchorId="379F8B26" wp14:editId="1D18E99F">
            <wp:extent cx="6134100" cy="1676400"/>
            <wp:effectExtent l="0" t="0" r="0" b="0"/>
            <wp:docPr id="716754206" name="Chart 1">
              <a:extLst xmlns:a="http://schemas.openxmlformats.org/drawingml/2006/main">
                <a:ext uri="{FF2B5EF4-FFF2-40B4-BE49-F238E27FC236}">
                  <a16:creationId xmlns:a16="http://schemas.microsoft.com/office/drawing/2014/main" id="{5AD5FAF8-3112-4CB6-B924-7199B91349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9181F57" w14:textId="77777777" w:rsidR="005E13BE" w:rsidRPr="005E13BE" w:rsidRDefault="005E13BE" w:rsidP="005E13BE">
      <w:pPr>
        <w:spacing w:after="0"/>
      </w:pPr>
    </w:p>
    <w:p w14:paraId="3E0DEE13" w14:textId="70D267AE" w:rsidR="00D603A9" w:rsidRDefault="00A96514" w:rsidP="0089242B">
      <w:pPr>
        <w:spacing w:after="0"/>
      </w:pPr>
      <w:r>
        <w:rPr>
          <w:noProof/>
        </w:rPr>
        <w:drawing>
          <wp:inline distT="0" distB="0" distL="0" distR="0" wp14:anchorId="52E08202" wp14:editId="72363B23">
            <wp:extent cx="6124575" cy="1776730"/>
            <wp:effectExtent l="0" t="0" r="9525" b="13970"/>
            <wp:docPr id="807403464" name="Chart 1">
              <a:extLst xmlns:a="http://schemas.openxmlformats.org/drawingml/2006/main">
                <a:ext uri="{FF2B5EF4-FFF2-40B4-BE49-F238E27FC236}">
                  <a16:creationId xmlns:a16="http://schemas.microsoft.com/office/drawing/2014/main" id="{487F1314-E90C-F1BC-921E-6910414689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501876D" w14:textId="77777777" w:rsidR="00D603A9" w:rsidRPr="00D603A9" w:rsidRDefault="00D603A9" w:rsidP="00D603A9">
      <w:pPr>
        <w:rPr>
          <w:rFonts w:ascii="Times New Roman" w:eastAsia="Times New Roman" w:hAnsi="Times New Roman" w:cs="Times New Roman"/>
          <w:sz w:val="24"/>
          <w:szCs w:val="24"/>
        </w:rPr>
      </w:pPr>
    </w:p>
    <w:p w14:paraId="09455EE6" w14:textId="54E35A5C" w:rsidR="00A3510A" w:rsidRDefault="004C50DF" w:rsidP="00A3510A">
      <w:pPr>
        <w:pStyle w:val="Heading2"/>
      </w:pPr>
      <w:r>
        <w:t>Capital Adequacy</w:t>
      </w:r>
      <w:r w:rsidR="00A3510A">
        <w:t>: P&amp;C Sector</w:t>
      </w:r>
    </w:p>
    <w:p w14:paraId="7EAF838A" w14:textId="294CE1FC" w:rsidR="00846C22" w:rsidRDefault="00846C22" w:rsidP="00A3510A">
      <w:r w:rsidRPr="00846C22">
        <w:t>Industry aggregated</w:t>
      </w:r>
      <w:r w:rsidR="00F64EAF" w:rsidRPr="00F64EAF">
        <w:t xml:space="preserve"> policyholders’ surplus </w:t>
      </w:r>
      <w:r w:rsidRPr="00846C22">
        <w:t xml:space="preserve">(adjusted to eliminate stacking) </w:t>
      </w:r>
      <w:r w:rsidR="00F64EAF" w:rsidRPr="00F64EAF">
        <w:t xml:space="preserve">increased </w:t>
      </w:r>
      <w:r w:rsidRPr="00846C22">
        <w:t>11.9% from the prior year-end to a new all-time high of</w:t>
      </w:r>
      <w:r w:rsidR="00F64EAF" w:rsidRPr="00F64EAF">
        <w:t xml:space="preserve"> $1.</w:t>
      </w:r>
      <w:r w:rsidRPr="00846C22">
        <w:t>27</w:t>
      </w:r>
      <w:r w:rsidR="00F64EAF" w:rsidRPr="00F64EAF">
        <w:t xml:space="preserve"> trillion </w:t>
      </w:r>
      <w:r w:rsidRPr="00846C22">
        <w:t>at December 31, 2025</w:t>
      </w:r>
      <w:r w:rsidR="00B62A22" w:rsidRPr="00846C22">
        <w:t xml:space="preserve">. </w:t>
      </w:r>
      <w:r w:rsidRPr="00846C22">
        <w:t>The net profit</w:t>
      </w:r>
      <w:r w:rsidR="00653D8F">
        <w:t>s</w:t>
      </w:r>
      <w:r w:rsidRPr="00846C22">
        <w:t xml:space="preserve"> of $150.6 billion and $47.5 billion in unrealized investment gains were partially offset by $5.7 billion in policyholder dividends</w:t>
      </w:r>
      <w:r w:rsidR="00B62A22" w:rsidRPr="00846C22">
        <w:t>.</w:t>
      </w:r>
      <w:r w:rsidR="00B62A22">
        <w:t xml:space="preserve"> </w:t>
      </w:r>
      <w:r w:rsidR="00F64EAF" w:rsidRPr="00F64EAF">
        <w:t xml:space="preserve">While P&amp;C insurers are well positioned for future growth, 2025 </w:t>
      </w:r>
      <w:r w:rsidR="00A47721">
        <w:t>continued to present</w:t>
      </w:r>
      <w:r w:rsidR="00A47721" w:rsidRPr="00F64EAF">
        <w:t xml:space="preserve"> </w:t>
      </w:r>
      <w:r w:rsidR="00F64EAF" w:rsidRPr="00F64EAF">
        <w:t xml:space="preserve">challenges from </w:t>
      </w:r>
      <w:r w:rsidR="00A47721">
        <w:t>inflation/</w:t>
      </w:r>
      <w:r w:rsidR="00F64EAF" w:rsidRPr="00F64EAF">
        <w:t xml:space="preserve">tariffs, natural disasters, and social inflation </w:t>
      </w:r>
      <w:r w:rsidR="005E5E50">
        <w:t xml:space="preserve">that warrant </w:t>
      </w:r>
      <w:r w:rsidR="00A937E5">
        <w:t xml:space="preserve">the increase in </w:t>
      </w:r>
      <w:r w:rsidR="004C50DF">
        <w:t>Capital Adequacy</w:t>
      </w:r>
      <w:r w:rsidR="00F64EAF" w:rsidRPr="00F64EAF">
        <w:t>.</w:t>
      </w:r>
    </w:p>
    <w:p w14:paraId="455642CB" w14:textId="7E8991E9" w:rsidR="00A3510A" w:rsidRPr="00EF7327" w:rsidRDefault="00A3510A" w:rsidP="00A3510A">
      <w:r w:rsidRPr="00EF7327">
        <w:t>Additional observations include:</w:t>
      </w:r>
    </w:p>
    <w:p w14:paraId="45227CEE" w14:textId="0E2F5AAD" w:rsidR="00A3510A" w:rsidRPr="00EF7327" w:rsidRDefault="00C20396">
      <w:pPr>
        <w:pStyle w:val="ListParagraph"/>
        <w:numPr>
          <w:ilvl w:val="0"/>
          <w:numId w:val="16"/>
        </w:numPr>
      </w:pPr>
      <w:r>
        <w:t xml:space="preserve">Current </w:t>
      </w:r>
      <w:r w:rsidR="00537D74">
        <w:t>a</w:t>
      </w:r>
      <w:r w:rsidR="00A3510A" w:rsidRPr="00EF7327">
        <w:t xml:space="preserve">ggregate RBC </w:t>
      </w:r>
      <w:r w:rsidR="00537D74">
        <w:t>of 6</w:t>
      </w:r>
      <w:r w:rsidR="00846C22">
        <w:t>43</w:t>
      </w:r>
      <w:r w:rsidR="00537D74">
        <w:t xml:space="preserve">% ACL </w:t>
      </w:r>
      <w:r w:rsidR="00A3510A" w:rsidRPr="00EF7327">
        <w:t>remains above the low point of 2008 (599%)</w:t>
      </w:r>
      <w:r w:rsidR="00B62A22" w:rsidRPr="00EF7327">
        <w:t xml:space="preserve">. </w:t>
      </w:r>
      <w:r w:rsidR="00A3510A" w:rsidRPr="00EF7327">
        <w:t>The industry wide capital levels are relatively consistent with rating agency upgrade/downgrade activity as well as industry outlooks which generally assigned the P&amp;C insurance sector a stable outlook at the end of 202</w:t>
      </w:r>
      <w:r w:rsidR="008F5C16">
        <w:t>5</w:t>
      </w:r>
      <w:r w:rsidR="00A3510A" w:rsidRPr="00EF7327">
        <w:t>.</w:t>
      </w:r>
    </w:p>
    <w:p w14:paraId="37202AFC" w14:textId="5D9C5DB4" w:rsidR="00A838E4" w:rsidRDefault="00A96514" w:rsidP="00A838E4">
      <w:r>
        <w:rPr>
          <w:noProof/>
        </w:rPr>
        <w:drawing>
          <wp:inline distT="0" distB="0" distL="0" distR="0" wp14:anchorId="52C3B6D4" wp14:editId="2D8D9188">
            <wp:extent cx="5943600" cy="1565275"/>
            <wp:effectExtent l="0" t="0" r="0" b="15875"/>
            <wp:docPr id="997202182" name="Chart 1">
              <a:extLst xmlns:a="http://schemas.openxmlformats.org/drawingml/2006/main">
                <a:ext uri="{FF2B5EF4-FFF2-40B4-BE49-F238E27FC236}">
                  <a16:creationId xmlns:a16="http://schemas.microsoft.com/office/drawing/2014/main" id="{9B2B0129-C3D2-42BF-922D-6DF28CC4A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C0D42B2" w14:textId="77777777" w:rsidR="009E2FEF" w:rsidRDefault="009E2FEF" w:rsidP="00A838E4"/>
    <w:p w14:paraId="2B61F292" w14:textId="7AA014A2" w:rsidR="00BC5C1A" w:rsidRPr="00EF7327" w:rsidRDefault="00993E41" w:rsidP="00A838E4">
      <w:r>
        <w:rPr>
          <w:noProof/>
        </w:rPr>
        <w:drawing>
          <wp:inline distT="0" distB="0" distL="0" distR="0" wp14:anchorId="6A448CA0" wp14:editId="7AC0F2B6">
            <wp:extent cx="5943600" cy="1833880"/>
            <wp:effectExtent l="0" t="0" r="0" b="13970"/>
            <wp:docPr id="1520838102" name="Chart 1">
              <a:extLst xmlns:a="http://schemas.openxmlformats.org/drawingml/2006/main">
                <a:ext uri="{FF2B5EF4-FFF2-40B4-BE49-F238E27FC236}">
                  <a16:creationId xmlns:a16="http://schemas.microsoft.com/office/drawing/2014/main" id="{99810CE2-9B32-444C-B665-2C4DDF587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006D61E" w14:textId="49B64C7B" w:rsidR="00A3510A" w:rsidRDefault="00A3510A" w:rsidP="00A3510A">
      <w:pPr>
        <w:pStyle w:val="Heading2"/>
      </w:pPr>
      <w:r>
        <w:br w:type="page"/>
      </w:r>
      <w:r w:rsidR="004C50DF">
        <w:t>Capital Adequacy</w:t>
      </w:r>
      <w:r>
        <w:t>: Health Sector</w:t>
      </w:r>
    </w:p>
    <w:p w14:paraId="5E3DD3A2" w14:textId="48134FEB" w:rsidR="00797714" w:rsidRDefault="00E67570" w:rsidP="00A3510A">
      <w:r w:rsidRPr="00E67570">
        <w:t xml:space="preserve">Health entities reported a </w:t>
      </w:r>
      <w:r w:rsidR="00846C22" w:rsidRPr="00846C22">
        <w:t>4.9% ($10.5</w:t>
      </w:r>
      <w:r w:rsidRPr="00E67570">
        <w:t xml:space="preserve"> billion) increase in capital and surplus (excluding affiliated amounts) to $</w:t>
      </w:r>
      <w:r w:rsidR="00846C22" w:rsidRPr="00846C22">
        <w:t>223.9 billion from $</w:t>
      </w:r>
      <w:r w:rsidRPr="00E67570">
        <w:t xml:space="preserve">213.4 billion in </w:t>
      </w:r>
      <w:r w:rsidR="00846C22" w:rsidRPr="00846C22">
        <w:t>2024</w:t>
      </w:r>
      <w:r w:rsidR="00B62A22" w:rsidRPr="00846C22">
        <w:t>.</w:t>
      </w:r>
      <w:r w:rsidR="00B62A22">
        <w:t xml:space="preserve"> </w:t>
      </w:r>
      <w:r w:rsidR="00403879">
        <w:t>Although at first glance</w:t>
      </w:r>
      <w:r w:rsidR="005074F4">
        <w:t xml:space="preserve">, the </w:t>
      </w:r>
      <w:r w:rsidR="00BC215E">
        <w:t xml:space="preserve">high </w:t>
      </w:r>
      <w:r w:rsidR="005074F4">
        <w:t xml:space="preserve">capital levels appear </w:t>
      </w:r>
      <w:r w:rsidR="00BC215E">
        <w:t xml:space="preserve">inconsistent with </w:t>
      </w:r>
      <w:r w:rsidR="00BF6433">
        <w:t>underwriting</w:t>
      </w:r>
      <w:r w:rsidR="00586C88">
        <w:t xml:space="preserve"> risk and </w:t>
      </w:r>
      <w:r w:rsidR="0007286A">
        <w:t>performance</w:t>
      </w:r>
      <w:r w:rsidR="00586C88">
        <w:t xml:space="preserve"> highlighted earlier, this is due to </w:t>
      </w:r>
      <w:r w:rsidR="00FF2FB1">
        <w:t xml:space="preserve">capital contributions from parent companies and </w:t>
      </w:r>
      <w:r w:rsidR="00BF6433">
        <w:t xml:space="preserve">decreased </w:t>
      </w:r>
      <w:r w:rsidR="0007286A">
        <w:t>dividends</w:t>
      </w:r>
      <w:r w:rsidR="00BF6433">
        <w:t xml:space="preserve"> </w:t>
      </w:r>
      <w:r w:rsidR="005074F4">
        <w:t xml:space="preserve"> </w:t>
      </w:r>
      <w:r w:rsidRPr="00E67570">
        <w:t xml:space="preserve">The </w:t>
      </w:r>
      <w:r w:rsidR="008D2070">
        <w:t>capital adequacy maintenance</w:t>
      </w:r>
      <w:r w:rsidR="008D2070" w:rsidRPr="00E67570">
        <w:t xml:space="preserve"> </w:t>
      </w:r>
      <w:r w:rsidRPr="00E67570">
        <w:t xml:space="preserve">is due primarily to </w:t>
      </w:r>
      <w:r w:rsidR="00846C22" w:rsidRPr="00846C22">
        <w:t xml:space="preserve">a large decline in dividends paid out from $19.3 billion in 2024 to $11.2 billion in 2025, and a 21.3% increase in </w:t>
      </w:r>
      <w:r w:rsidRPr="00E67570">
        <w:t>paid-in surplus of $</w:t>
      </w:r>
      <w:r w:rsidR="00846C22" w:rsidRPr="00846C22">
        <w:t>15.3</w:t>
      </w:r>
      <w:r w:rsidRPr="00E67570">
        <w:t xml:space="preserve"> billion</w:t>
      </w:r>
      <w:r w:rsidR="00846C22" w:rsidRPr="00846C22">
        <w:t>.</w:t>
      </w:r>
    </w:p>
    <w:p w14:paraId="51513130" w14:textId="55454A3C" w:rsidR="00A3510A" w:rsidRDefault="00DC2E0D" w:rsidP="00A3510A">
      <w:r>
        <w:t>Additional</w:t>
      </w:r>
      <w:r w:rsidR="00A3510A">
        <w:t xml:space="preserve"> observations include:</w:t>
      </w:r>
    </w:p>
    <w:p w14:paraId="32D8D4AE" w14:textId="5A1C8026" w:rsidR="00A3510A" w:rsidRPr="006529E2" w:rsidRDefault="002671C5">
      <w:pPr>
        <w:pStyle w:val="ListParagraph"/>
        <w:numPr>
          <w:ilvl w:val="0"/>
          <w:numId w:val="17"/>
        </w:numPr>
      </w:pPr>
      <w:r>
        <w:t>A</w:t>
      </w:r>
      <w:r w:rsidR="00A3510A" w:rsidRPr="006529E2">
        <w:t xml:space="preserve">ggregate RBC </w:t>
      </w:r>
      <w:r w:rsidR="00C24238">
        <w:t xml:space="preserve">was </w:t>
      </w:r>
      <w:r w:rsidR="00846C22">
        <w:t>flat</w:t>
      </w:r>
      <w:r w:rsidR="007208FE">
        <w:t xml:space="preserve"> in 202</w:t>
      </w:r>
      <w:r w:rsidR="00846C22">
        <w:t>5 at 589%</w:t>
      </w:r>
      <w:r w:rsidR="00691B50">
        <w:t xml:space="preserve"> ACL</w:t>
      </w:r>
    </w:p>
    <w:p w14:paraId="4363F3AC" w14:textId="5A21B4A8" w:rsidR="00A3510A" w:rsidRDefault="00295F1F">
      <w:pPr>
        <w:pStyle w:val="ListParagraph"/>
        <w:numPr>
          <w:ilvl w:val="0"/>
          <w:numId w:val="17"/>
        </w:numPr>
      </w:pPr>
      <w:r>
        <w:t>As of September 2025</w:t>
      </w:r>
      <w:r w:rsidR="00082686">
        <w:t>,</w:t>
      </w:r>
      <w:r w:rsidR="00A3510A" w:rsidRPr="006529E2">
        <w:t xml:space="preserve"> the health insurance sector </w:t>
      </w:r>
      <w:r>
        <w:t xml:space="preserve">has </w:t>
      </w:r>
      <w:r w:rsidR="00A3510A" w:rsidRPr="006529E2">
        <w:t xml:space="preserve">a </w:t>
      </w:r>
      <w:r>
        <w:t>negative</w:t>
      </w:r>
      <w:r w:rsidR="00A3510A" w:rsidRPr="006529E2">
        <w:t xml:space="preserve"> outlook</w:t>
      </w:r>
      <w:r>
        <w:t xml:space="preserve"> by S&amp;P</w:t>
      </w:r>
    </w:p>
    <w:p w14:paraId="6FEFB5E3" w14:textId="77777777" w:rsidR="00846C22" w:rsidRDefault="00846C22" w:rsidP="00846C22">
      <w:pPr>
        <w:pStyle w:val="ListParagraph"/>
      </w:pPr>
    </w:p>
    <w:p w14:paraId="278A342E" w14:textId="30FF52CB" w:rsidR="00294BE7" w:rsidRPr="006529E2" w:rsidRDefault="00993E41" w:rsidP="00D63D8C">
      <w:r>
        <w:rPr>
          <w:noProof/>
        </w:rPr>
        <w:drawing>
          <wp:inline distT="0" distB="0" distL="0" distR="0" wp14:anchorId="4E1803D2" wp14:editId="74A09222">
            <wp:extent cx="6172200" cy="1924050"/>
            <wp:effectExtent l="0" t="0" r="0" b="0"/>
            <wp:docPr id="1627110383" name="Chart 1">
              <a:extLst xmlns:a="http://schemas.openxmlformats.org/drawingml/2006/main">
                <a:ext uri="{FF2B5EF4-FFF2-40B4-BE49-F238E27FC236}">
                  <a16:creationId xmlns:a16="http://schemas.microsoft.com/office/drawing/2014/main" id="{2B538DF8-B881-410E-845B-EBB0B36E3E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C87ECDE" w14:textId="527187E9" w:rsidR="00A3510A" w:rsidRDefault="00D63D8C" w:rsidP="00517F58">
      <w:pPr>
        <w:rPr>
          <w:noProof/>
        </w:rPr>
      </w:pPr>
      <w:r>
        <w:rPr>
          <w:noProof/>
        </w:rPr>
        <w:drawing>
          <wp:inline distT="0" distB="0" distL="0" distR="0" wp14:anchorId="6877DE04" wp14:editId="5CCFA083">
            <wp:extent cx="6153150" cy="2085975"/>
            <wp:effectExtent l="0" t="0" r="0" b="9525"/>
            <wp:docPr id="1400195091" name="Chart 1">
              <a:extLst xmlns:a="http://schemas.openxmlformats.org/drawingml/2006/main">
                <a:ext uri="{FF2B5EF4-FFF2-40B4-BE49-F238E27FC236}">
                  <a16:creationId xmlns:a16="http://schemas.microsoft.com/office/drawing/2014/main" id="{5691D37B-0805-44C6-BD83-B8D7845F10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8B7692B" w14:textId="3496098E" w:rsidR="00A25AE7" w:rsidRDefault="00A25AE7" w:rsidP="00294BE7">
      <w:pPr>
        <w:ind w:firstLine="720"/>
        <w:jc w:val="left"/>
        <w:rPr>
          <w:noProof/>
        </w:rPr>
      </w:pPr>
    </w:p>
    <w:p w14:paraId="3452E514" w14:textId="208C1B21" w:rsidR="00543D74" w:rsidRDefault="00543D74">
      <w:pPr>
        <w:jc w:val="left"/>
        <w:rPr>
          <w:noProof/>
          <w:color w:val="0070C0"/>
          <w:sz w:val="36"/>
          <w:szCs w:val="36"/>
        </w:rPr>
      </w:pPr>
      <w:r>
        <w:rPr>
          <w:noProof/>
          <w:color w:val="0070C0"/>
          <w:sz w:val="36"/>
          <w:szCs w:val="36"/>
        </w:rPr>
        <w:br w:type="page"/>
      </w:r>
    </w:p>
    <w:p w14:paraId="71C435D7" w14:textId="6CAE7812" w:rsidR="00A25AE7" w:rsidRPr="00FE3715" w:rsidRDefault="00A25AE7" w:rsidP="00B8363B">
      <w:pPr>
        <w:pStyle w:val="Heading1"/>
      </w:pPr>
      <w:bookmarkStart w:id="13" w:name="_Toc232602963"/>
      <w:r w:rsidRPr="00FE3715">
        <w:t>Emerging</w:t>
      </w:r>
      <w:r w:rsidR="00650200" w:rsidRPr="00FE3715">
        <w:t>/Other</w:t>
      </w:r>
      <w:r w:rsidRPr="00FE3715">
        <w:t xml:space="preserve"> Risk</w:t>
      </w:r>
      <w:bookmarkEnd w:id="13"/>
    </w:p>
    <w:p w14:paraId="556E1173" w14:textId="77777777" w:rsidR="00A25AE7" w:rsidRDefault="00A25AE7" w:rsidP="00A25AE7">
      <w:pPr>
        <w:spacing w:after="0" w:line="240" w:lineRule="auto"/>
        <w:rPr>
          <w:noProof/>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6"/>
        <w:gridCol w:w="4664"/>
      </w:tblGrid>
      <w:tr w:rsidR="0078325B" w14:paraId="29F2FE9E" w14:textId="77777777" w:rsidTr="00CB459E">
        <w:trPr>
          <w:trHeight w:val="331"/>
          <w:jc w:val="center"/>
        </w:trPr>
        <w:tc>
          <w:tcPr>
            <w:tcW w:w="4666" w:type="dxa"/>
            <w:shd w:val="clear" w:color="auto" w:fill="FFFF00"/>
          </w:tcPr>
          <w:p w14:paraId="669908AD" w14:textId="79122D92" w:rsidR="0078325B" w:rsidRDefault="0078325B" w:rsidP="00FD7687">
            <w:pPr>
              <w:jc w:val="center"/>
            </w:pPr>
            <w:r>
              <w:t>Assessment Level</w:t>
            </w:r>
            <w:r w:rsidRPr="00362C7C">
              <w:rPr>
                <w:b/>
                <w:bCs/>
              </w:rPr>
              <w:t>: Moderate-</w:t>
            </w:r>
            <w:r w:rsidR="00CB459E">
              <w:rPr>
                <w:b/>
                <w:bCs/>
              </w:rPr>
              <w:t>Low</w:t>
            </w:r>
          </w:p>
          <w:p w14:paraId="17EEBCB3" w14:textId="77777777" w:rsidR="0078325B" w:rsidRDefault="0078325B" w:rsidP="00FD7687">
            <w:pPr>
              <w:jc w:val="center"/>
            </w:pPr>
          </w:p>
        </w:tc>
        <w:tc>
          <w:tcPr>
            <w:tcW w:w="4664" w:type="dxa"/>
          </w:tcPr>
          <w:p w14:paraId="3CC9EF6D" w14:textId="77777777" w:rsidR="0078325B" w:rsidRDefault="0078325B" w:rsidP="00FD7687">
            <w:pPr>
              <w:jc w:val="center"/>
            </w:pPr>
            <w:r w:rsidRPr="001002A0">
              <w:rPr>
                <w:rStyle w:val="HeaderChar"/>
                <w:noProof/>
              </w:rPr>
              <mc:AlternateContent>
                <mc:Choice Requires="wps">
                  <w:drawing>
                    <wp:anchor distT="0" distB="0" distL="114300" distR="114300" simplePos="0" relativeHeight="251658260" behindDoc="0" locked="0" layoutInCell="1" allowOverlap="1" wp14:anchorId="6A1EBAF4" wp14:editId="08B0DF37">
                      <wp:simplePos x="0" y="0"/>
                      <wp:positionH relativeFrom="column">
                        <wp:posOffset>1948320</wp:posOffset>
                      </wp:positionH>
                      <wp:positionV relativeFrom="paragraph">
                        <wp:posOffset>-16794</wp:posOffset>
                      </wp:positionV>
                      <wp:extent cx="163066" cy="347604"/>
                      <wp:effectExtent l="57150" t="0" r="46990" b="0"/>
                      <wp:wrapNone/>
                      <wp:docPr id="297641641" name="Arrow: Up 297641641"/>
                      <wp:cNvGraphicFramePr/>
                      <a:graphic xmlns:a="http://schemas.openxmlformats.org/drawingml/2006/main">
                        <a:graphicData uri="http://schemas.microsoft.com/office/word/2010/wordprocessingShape">
                          <wps:wsp>
                            <wps:cNvSpPr/>
                            <wps:spPr>
                              <a:xfrm rot="2187280">
                                <a:off x="0" y="0"/>
                                <a:ext cx="163066" cy="347604"/>
                              </a:xfrm>
                              <a:prstGeom prst="upArrow">
                                <a:avLst/>
                              </a:prstGeom>
                              <a:solidFill>
                                <a:schemeClr val="accent1"/>
                              </a:solidFill>
                              <a:ln>
                                <a:noFill/>
                              </a:ln>
                              <a:effectLst/>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4C6FFA5B">
                    <v:shape id="Arrow: Up 297641641" style="position:absolute;margin-left:153.4pt;margin-top:-1.3pt;width:12.85pt;height:27.35pt;rotation:2389093fd;z-index:251660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d="f" type="#_x0000_t68" adj="5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" w14:anchorId="3F8E5A48"/>
                  </w:pict>
                </mc:Fallback>
              </mc:AlternateContent>
            </w:r>
            <w:r>
              <w:t>Trend: Increasing</w:t>
            </w:r>
          </w:p>
        </w:tc>
      </w:tr>
    </w:tbl>
    <w:p w14:paraId="25F00986" w14:textId="77777777" w:rsidR="0078325B" w:rsidRDefault="0078325B" w:rsidP="00A25AE7">
      <w:pPr>
        <w:spacing w:after="0" w:line="240" w:lineRule="auto"/>
        <w:rPr>
          <w:noProof/>
        </w:rPr>
      </w:pPr>
    </w:p>
    <w:p w14:paraId="7455F478" w14:textId="1CAFA368" w:rsidR="00A25AE7" w:rsidRDefault="001B75E8" w:rsidP="00561F57">
      <w:pPr>
        <w:spacing w:after="0" w:line="240" w:lineRule="auto"/>
        <w:rPr>
          <w:rFonts w:eastAsia="Times New Roman"/>
          <w:color w:val="000000" w:themeColor="text1"/>
        </w:rPr>
      </w:pPr>
      <w:r>
        <w:rPr>
          <w:rFonts w:eastAsia="Times New Roman"/>
          <w:color w:val="000000" w:themeColor="text1"/>
        </w:rPr>
        <w:t xml:space="preserve">The </w:t>
      </w:r>
      <w:r w:rsidRPr="00362C7C">
        <w:rPr>
          <w:rFonts w:eastAsia="Times New Roman"/>
          <w:color w:val="000000" w:themeColor="text1"/>
        </w:rPr>
        <w:t>emerging risk category</w:t>
      </w:r>
      <w:r>
        <w:rPr>
          <w:rFonts w:eastAsia="Times New Roman"/>
          <w:color w:val="000000" w:themeColor="text1"/>
        </w:rPr>
        <w:t xml:space="preserve"> of the dashboard contains broad overarching risks, some of which may be covered in part in other risk categories</w:t>
      </w:r>
      <w:r w:rsidR="00B62A22">
        <w:rPr>
          <w:rFonts w:eastAsia="Times New Roman"/>
          <w:color w:val="000000" w:themeColor="text1"/>
        </w:rPr>
        <w:t xml:space="preserve">. </w:t>
      </w:r>
      <w:r w:rsidR="000C6E3C">
        <w:rPr>
          <w:rFonts w:eastAsia="Times New Roman"/>
          <w:color w:val="000000" w:themeColor="text1"/>
        </w:rPr>
        <w:t xml:space="preserve"> </w:t>
      </w:r>
      <w:r>
        <w:rPr>
          <w:rFonts w:eastAsia="Times New Roman"/>
          <w:color w:val="000000" w:themeColor="text1"/>
        </w:rPr>
        <w:t>These risks may not lend themselves to specific risk indicators</w:t>
      </w:r>
      <w:r w:rsidR="00650200">
        <w:rPr>
          <w:rFonts w:eastAsia="Times New Roman"/>
          <w:color w:val="000000" w:themeColor="text1"/>
        </w:rPr>
        <w:t xml:space="preserve">, do not </w:t>
      </w:r>
      <w:r w:rsidR="00995D1A">
        <w:rPr>
          <w:rFonts w:eastAsia="Times New Roman"/>
          <w:color w:val="000000" w:themeColor="text1"/>
        </w:rPr>
        <w:t xml:space="preserve">cleanly or fully </w:t>
      </w:r>
      <w:r w:rsidR="00650200">
        <w:rPr>
          <w:rFonts w:eastAsia="Times New Roman"/>
          <w:color w:val="000000" w:themeColor="text1"/>
        </w:rPr>
        <w:t>fit within another category</w:t>
      </w:r>
      <w:r>
        <w:rPr>
          <w:rFonts w:eastAsia="Times New Roman"/>
          <w:color w:val="000000" w:themeColor="text1"/>
        </w:rPr>
        <w:t xml:space="preserve"> and are generally a challenge to quantify</w:t>
      </w:r>
      <w:r w:rsidR="00B62A22">
        <w:rPr>
          <w:rFonts w:eastAsia="Times New Roman"/>
          <w:color w:val="000000" w:themeColor="text1"/>
        </w:rPr>
        <w:t xml:space="preserve">. </w:t>
      </w:r>
      <w:r w:rsidR="000C6E3C">
        <w:rPr>
          <w:rFonts w:eastAsia="Times New Roman"/>
          <w:color w:val="000000" w:themeColor="text1"/>
        </w:rPr>
        <w:t xml:space="preserve"> </w:t>
      </w:r>
      <w:r>
        <w:rPr>
          <w:rFonts w:eastAsia="Times New Roman"/>
          <w:color w:val="000000" w:themeColor="text1"/>
        </w:rPr>
        <w:t>The</w:t>
      </w:r>
      <w:r w:rsidR="00995D1A">
        <w:rPr>
          <w:rFonts w:eastAsia="Times New Roman"/>
          <w:color w:val="000000" w:themeColor="text1"/>
        </w:rPr>
        <w:t>refore, the</w:t>
      </w:r>
      <w:r>
        <w:rPr>
          <w:rFonts w:eastAsia="Times New Roman"/>
          <w:color w:val="000000" w:themeColor="text1"/>
        </w:rPr>
        <w:t xml:space="preserve"> assessment of risk</w:t>
      </w:r>
      <w:r w:rsidR="00995D1A">
        <w:rPr>
          <w:rFonts w:eastAsia="Times New Roman"/>
          <w:color w:val="000000" w:themeColor="text1"/>
        </w:rPr>
        <w:t>s in this area</w:t>
      </w:r>
      <w:r>
        <w:rPr>
          <w:rFonts w:eastAsia="Times New Roman"/>
          <w:color w:val="000000" w:themeColor="text1"/>
        </w:rPr>
        <w:t xml:space="preserve"> may be </w:t>
      </w:r>
      <w:r w:rsidR="00995D1A">
        <w:rPr>
          <w:rFonts w:eastAsia="Times New Roman"/>
          <w:color w:val="000000" w:themeColor="text1"/>
        </w:rPr>
        <w:t xml:space="preserve">more </w:t>
      </w:r>
      <w:r>
        <w:rPr>
          <w:rFonts w:eastAsia="Times New Roman"/>
          <w:color w:val="000000" w:themeColor="text1"/>
        </w:rPr>
        <w:t>subjective in nature</w:t>
      </w:r>
      <w:r w:rsidR="00B62A22">
        <w:rPr>
          <w:rFonts w:eastAsia="Times New Roman"/>
          <w:color w:val="000000" w:themeColor="text1"/>
        </w:rPr>
        <w:t xml:space="preserve">. </w:t>
      </w:r>
      <w:r w:rsidR="000C6E3C">
        <w:rPr>
          <w:rFonts w:eastAsia="Times New Roman"/>
          <w:color w:val="000000" w:themeColor="text1"/>
        </w:rPr>
        <w:t xml:space="preserve"> </w:t>
      </w:r>
      <w:r w:rsidR="00650200">
        <w:rPr>
          <w:rFonts w:eastAsia="Times New Roman"/>
          <w:color w:val="000000" w:themeColor="text1"/>
        </w:rPr>
        <w:t xml:space="preserve">Additionally, data or tools </w:t>
      </w:r>
      <w:r w:rsidR="00762F70">
        <w:rPr>
          <w:rFonts w:eastAsia="Times New Roman"/>
          <w:color w:val="000000" w:themeColor="text1"/>
        </w:rPr>
        <w:t xml:space="preserve">may not be </w:t>
      </w:r>
      <w:r w:rsidR="00650200">
        <w:rPr>
          <w:rFonts w:eastAsia="Times New Roman"/>
          <w:color w:val="000000" w:themeColor="text1"/>
        </w:rPr>
        <w:t>in place to measure the risk</w:t>
      </w:r>
      <w:r w:rsidR="00B62A22">
        <w:rPr>
          <w:rFonts w:eastAsia="Times New Roman"/>
          <w:color w:val="000000" w:themeColor="text1"/>
        </w:rPr>
        <w:t xml:space="preserve">. </w:t>
      </w:r>
      <w:r w:rsidR="00650200">
        <w:rPr>
          <w:rFonts w:eastAsia="Times New Roman"/>
          <w:color w:val="000000" w:themeColor="text1"/>
        </w:rPr>
        <w:t xml:space="preserve">However, </w:t>
      </w:r>
      <w:r w:rsidR="002E594A">
        <w:rPr>
          <w:rFonts w:eastAsia="Times New Roman"/>
          <w:color w:val="000000" w:themeColor="text1"/>
        </w:rPr>
        <w:t>these</w:t>
      </w:r>
      <w:r w:rsidR="00650200">
        <w:rPr>
          <w:rFonts w:eastAsia="Times New Roman"/>
          <w:color w:val="000000" w:themeColor="text1"/>
        </w:rPr>
        <w:t xml:space="preserve"> risk</w:t>
      </w:r>
      <w:r w:rsidR="002E594A">
        <w:rPr>
          <w:rFonts w:eastAsia="Times New Roman"/>
          <w:color w:val="000000" w:themeColor="text1"/>
        </w:rPr>
        <w:t>s are believed to be</w:t>
      </w:r>
      <w:r w:rsidR="00650200">
        <w:rPr>
          <w:rFonts w:eastAsia="Times New Roman"/>
          <w:color w:val="000000" w:themeColor="text1"/>
        </w:rPr>
        <w:t xml:space="preserve"> prevalent and warrant </w:t>
      </w:r>
      <w:r w:rsidR="00C14843">
        <w:rPr>
          <w:rFonts w:eastAsia="Times New Roman"/>
          <w:color w:val="000000" w:themeColor="text1"/>
        </w:rPr>
        <w:t>additional</w:t>
      </w:r>
      <w:r w:rsidR="00650200">
        <w:rPr>
          <w:rFonts w:eastAsia="Times New Roman"/>
          <w:color w:val="000000" w:themeColor="text1"/>
        </w:rPr>
        <w:t xml:space="preserve"> </w:t>
      </w:r>
      <w:r w:rsidR="001147D6">
        <w:rPr>
          <w:rFonts w:eastAsia="Times New Roman"/>
          <w:color w:val="000000" w:themeColor="text1"/>
        </w:rPr>
        <w:t xml:space="preserve">ongoing </w:t>
      </w:r>
      <w:r w:rsidR="00FA3AB4">
        <w:rPr>
          <w:rFonts w:eastAsia="Times New Roman"/>
          <w:color w:val="000000" w:themeColor="text1"/>
        </w:rPr>
        <w:t>monitoring</w:t>
      </w:r>
      <w:r w:rsidR="00650200">
        <w:rPr>
          <w:rFonts w:eastAsia="Times New Roman"/>
          <w:color w:val="000000" w:themeColor="text1"/>
        </w:rPr>
        <w:t>.</w:t>
      </w:r>
    </w:p>
    <w:p w14:paraId="6E7522E3" w14:textId="77777777" w:rsidR="00650200" w:rsidRDefault="00650200" w:rsidP="00561F57">
      <w:pPr>
        <w:spacing w:after="0" w:line="240" w:lineRule="auto"/>
        <w:rPr>
          <w:rFonts w:eastAsia="Times New Roman"/>
          <w:color w:val="000000" w:themeColor="text1"/>
        </w:rPr>
      </w:pPr>
    </w:p>
    <w:p w14:paraId="08157599" w14:textId="72BB03FD" w:rsidR="00650200" w:rsidRDefault="00762F70" w:rsidP="00561F57">
      <w:pPr>
        <w:spacing w:after="0" w:line="240" w:lineRule="auto"/>
        <w:rPr>
          <w:rFonts w:eastAsia="Times New Roman"/>
          <w:color w:val="000000" w:themeColor="text1"/>
        </w:rPr>
      </w:pPr>
      <w:r>
        <w:rPr>
          <w:rFonts w:eastAsia="Times New Roman"/>
          <w:color w:val="000000" w:themeColor="text1"/>
        </w:rPr>
        <w:t>T</w:t>
      </w:r>
      <w:r w:rsidR="00650200">
        <w:rPr>
          <w:rFonts w:eastAsia="Times New Roman"/>
          <w:color w:val="000000" w:themeColor="text1"/>
        </w:rPr>
        <w:t xml:space="preserve">he following risk categories </w:t>
      </w:r>
      <w:r>
        <w:rPr>
          <w:rFonts w:eastAsia="Times New Roman"/>
          <w:color w:val="000000" w:themeColor="text1"/>
        </w:rPr>
        <w:t xml:space="preserve">are included </w:t>
      </w:r>
      <w:r w:rsidR="00650200">
        <w:rPr>
          <w:rFonts w:eastAsia="Times New Roman"/>
          <w:color w:val="000000" w:themeColor="text1"/>
        </w:rPr>
        <w:t xml:space="preserve">in </w:t>
      </w:r>
      <w:r w:rsidR="00F4495B">
        <w:rPr>
          <w:rFonts w:eastAsia="Times New Roman"/>
          <w:color w:val="000000" w:themeColor="text1"/>
        </w:rPr>
        <w:t xml:space="preserve">the </w:t>
      </w:r>
      <w:r w:rsidR="00650200">
        <w:rPr>
          <w:rFonts w:eastAsia="Times New Roman"/>
          <w:color w:val="000000" w:themeColor="text1"/>
        </w:rPr>
        <w:t>Emerging/Other Risk Category:</w:t>
      </w:r>
    </w:p>
    <w:p w14:paraId="3A42D651" w14:textId="77777777" w:rsidR="00650200" w:rsidRDefault="00650200" w:rsidP="00561F57">
      <w:pPr>
        <w:spacing w:after="0" w:line="240" w:lineRule="auto"/>
        <w:rPr>
          <w:rFonts w:eastAsia="Times New Roman"/>
          <w:color w:val="000000" w:themeColor="text1"/>
        </w:rPr>
      </w:pPr>
    </w:p>
    <w:p w14:paraId="67B2A293" w14:textId="64BA2001" w:rsidR="00650200" w:rsidRDefault="00650200" w:rsidP="00561F57">
      <w:pPr>
        <w:pStyle w:val="ListParagraph"/>
        <w:numPr>
          <w:ilvl w:val="0"/>
          <w:numId w:val="29"/>
        </w:numPr>
        <w:spacing w:after="0" w:line="240" w:lineRule="auto"/>
        <w:rPr>
          <w:noProof/>
        </w:rPr>
      </w:pPr>
      <w:r>
        <w:rPr>
          <w:noProof/>
        </w:rPr>
        <w:t>Private Credit</w:t>
      </w:r>
      <w:r w:rsidR="00B44E39">
        <w:rPr>
          <w:noProof/>
        </w:rPr>
        <w:t xml:space="preserve"> (see also </w:t>
      </w:r>
      <w:r w:rsidR="008014C5">
        <w:rPr>
          <w:noProof/>
        </w:rPr>
        <w:t>Credit Risk)</w:t>
      </w:r>
    </w:p>
    <w:p w14:paraId="271F9D3A" w14:textId="49FADEAC" w:rsidR="00650200" w:rsidRDefault="00B44E39" w:rsidP="00561F57">
      <w:pPr>
        <w:pStyle w:val="ListParagraph"/>
        <w:numPr>
          <w:ilvl w:val="0"/>
          <w:numId w:val="29"/>
        </w:numPr>
        <w:spacing w:after="0" w:line="240" w:lineRule="auto"/>
        <w:rPr>
          <w:noProof/>
        </w:rPr>
      </w:pPr>
      <w:r>
        <w:rPr>
          <w:noProof/>
        </w:rPr>
        <w:t xml:space="preserve">Offshore </w:t>
      </w:r>
      <w:r w:rsidR="00650200">
        <w:rPr>
          <w:noProof/>
        </w:rPr>
        <w:t>Reinsurance</w:t>
      </w:r>
      <w:r w:rsidR="008014C5">
        <w:rPr>
          <w:noProof/>
        </w:rPr>
        <w:t xml:space="preserve"> (see also</w:t>
      </w:r>
      <w:r w:rsidR="001738A9">
        <w:rPr>
          <w:noProof/>
        </w:rPr>
        <w:t xml:space="preserve"> </w:t>
      </w:r>
      <w:r w:rsidR="00365FE4">
        <w:rPr>
          <w:noProof/>
        </w:rPr>
        <w:t xml:space="preserve">Interconnectedness and </w:t>
      </w:r>
      <w:r w:rsidR="001738A9">
        <w:rPr>
          <w:noProof/>
        </w:rPr>
        <w:t>Credit Risk</w:t>
      </w:r>
      <w:r w:rsidR="00365FE4">
        <w:rPr>
          <w:noProof/>
        </w:rPr>
        <w:t>s</w:t>
      </w:r>
      <w:r w:rsidR="001738A9">
        <w:rPr>
          <w:noProof/>
        </w:rPr>
        <w:t>)</w:t>
      </w:r>
    </w:p>
    <w:p w14:paraId="55B71879" w14:textId="5F8C8782" w:rsidR="00650200" w:rsidRDefault="00650200" w:rsidP="00561F57">
      <w:pPr>
        <w:pStyle w:val="ListParagraph"/>
        <w:numPr>
          <w:ilvl w:val="0"/>
          <w:numId w:val="29"/>
        </w:numPr>
        <w:spacing w:after="0" w:line="240" w:lineRule="auto"/>
        <w:rPr>
          <w:noProof/>
        </w:rPr>
      </w:pPr>
      <w:r>
        <w:rPr>
          <w:noProof/>
        </w:rPr>
        <w:t>Artific</w:t>
      </w:r>
      <w:r w:rsidR="00110B0B">
        <w:rPr>
          <w:noProof/>
        </w:rPr>
        <w:t>i</w:t>
      </w:r>
      <w:r>
        <w:rPr>
          <w:noProof/>
        </w:rPr>
        <w:t>al Intelligence</w:t>
      </w:r>
    </w:p>
    <w:p w14:paraId="6DDE5F47" w14:textId="5D2D7D55" w:rsidR="00650200" w:rsidRDefault="00650200" w:rsidP="00561F57">
      <w:pPr>
        <w:pStyle w:val="ListParagraph"/>
        <w:numPr>
          <w:ilvl w:val="0"/>
          <w:numId w:val="29"/>
        </w:numPr>
        <w:spacing w:after="0" w:line="240" w:lineRule="auto"/>
        <w:rPr>
          <w:noProof/>
        </w:rPr>
      </w:pPr>
      <w:r>
        <w:rPr>
          <w:noProof/>
        </w:rPr>
        <w:t>Cyber</w:t>
      </w:r>
      <w:r w:rsidR="00FD1C1C">
        <w:rPr>
          <w:noProof/>
        </w:rPr>
        <w:t>security</w:t>
      </w:r>
      <w:r>
        <w:rPr>
          <w:noProof/>
        </w:rPr>
        <w:t xml:space="preserve"> Risk</w:t>
      </w:r>
    </w:p>
    <w:p w14:paraId="3744A205" w14:textId="0EB9D16E" w:rsidR="00CD1364" w:rsidRDefault="0044075B" w:rsidP="00561F57">
      <w:pPr>
        <w:pStyle w:val="ListParagraph"/>
        <w:numPr>
          <w:ilvl w:val="0"/>
          <w:numId w:val="29"/>
        </w:numPr>
        <w:spacing w:after="0" w:line="240" w:lineRule="auto"/>
        <w:rPr>
          <w:noProof/>
        </w:rPr>
      </w:pPr>
      <w:r>
        <w:rPr>
          <w:noProof/>
        </w:rPr>
        <w:t>M</w:t>
      </w:r>
      <w:r w:rsidR="00CD1364">
        <w:rPr>
          <w:noProof/>
        </w:rPr>
        <w:t>ortality</w:t>
      </w:r>
      <w:r>
        <w:rPr>
          <w:noProof/>
        </w:rPr>
        <w:t xml:space="preserve"> risk</w:t>
      </w:r>
    </w:p>
    <w:p w14:paraId="3080DA26" w14:textId="77777777" w:rsidR="00650200" w:rsidRDefault="00650200" w:rsidP="00561F57">
      <w:pPr>
        <w:spacing w:after="0" w:line="240" w:lineRule="auto"/>
        <w:rPr>
          <w:noProof/>
        </w:rPr>
      </w:pPr>
    </w:p>
    <w:p w14:paraId="5E3F3695" w14:textId="1CF40C9A" w:rsidR="00650200" w:rsidRDefault="00AA2A1D" w:rsidP="00561F57">
      <w:pPr>
        <w:spacing w:after="0" w:line="240" w:lineRule="auto"/>
        <w:rPr>
          <w:noProof/>
        </w:rPr>
      </w:pPr>
      <w:r>
        <w:rPr>
          <w:noProof/>
        </w:rPr>
        <w:t>Many of t</w:t>
      </w:r>
      <w:r w:rsidR="00650200">
        <w:rPr>
          <w:noProof/>
        </w:rPr>
        <w:t>hese risks have been covered in part in other sections of this report and in the detailed r</w:t>
      </w:r>
      <w:r w:rsidR="00C14843">
        <w:rPr>
          <w:noProof/>
        </w:rPr>
        <w:t>is</w:t>
      </w:r>
      <w:r w:rsidR="00650200">
        <w:rPr>
          <w:noProof/>
        </w:rPr>
        <w:t>k dashboard.  Additio</w:t>
      </w:r>
      <w:r w:rsidR="00C304AD">
        <w:rPr>
          <w:noProof/>
        </w:rPr>
        <w:t>n</w:t>
      </w:r>
      <w:r w:rsidR="00110B0B">
        <w:rPr>
          <w:noProof/>
        </w:rPr>
        <w:t>a</w:t>
      </w:r>
      <w:r w:rsidR="00650200">
        <w:rPr>
          <w:noProof/>
        </w:rPr>
        <w:t>lly</w:t>
      </w:r>
      <w:r w:rsidR="00C14843">
        <w:rPr>
          <w:noProof/>
        </w:rPr>
        <w:t>,</w:t>
      </w:r>
      <w:r w:rsidR="00650200">
        <w:rPr>
          <w:noProof/>
        </w:rPr>
        <w:t xml:space="preserve"> </w:t>
      </w:r>
      <w:r w:rsidR="00554691">
        <w:rPr>
          <w:noProof/>
        </w:rPr>
        <w:t xml:space="preserve">many of </w:t>
      </w:r>
      <w:r w:rsidR="00650200">
        <w:rPr>
          <w:noProof/>
        </w:rPr>
        <w:t xml:space="preserve">these risks </w:t>
      </w:r>
      <w:r w:rsidR="00C14843">
        <w:rPr>
          <w:noProof/>
        </w:rPr>
        <w:t>have an associated response initiative by state regulators via various NAIC task forces and working groups.</w:t>
      </w:r>
    </w:p>
    <w:p w14:paraId="649BA510" w14:textId="506CD4A0" w:rsidR="00650200" w:rsidRDefault="00650200" w:rsidP="00561F57">
      <w:pPr>
        <w:spacing w:after="0" w:line="240" w:lineRule="auto"/>
        <w:rPr>
          <w:noProof/>
        </w:rPr>
      </w:pPr>
    </w:p>
    <w:p w14:paraId="5D7DB17C" w14:textId="77777777" w:rsidR="002028E5" w:rsidRDefault="002028E5" w:rsidP="002028E5">
      <w:pPr>
        <w:spacing w:after="0" w:line="240" w:lineRule="auto"/>
        <w:rPr>
          <w:b/>
          <w:bCs/>
        </w:rPr>
      </w:pPr>
      <w:r>
        <w:rPr>
          <w:b/>
          <w:bCs/>
        </w:rPr>
        <w:t>Artificial Intelligence</w:t>
      </w:r>
    </w:p>
    <w:p w14:paraId="3A0EC747" w14:textId="12361AC5" w:rsidR="002028E5" w:rsidRPr="00F7638F" w:rsidRDefault="002028E5" w:rsidP="002028E5">
      <w:pPr>
        <w:spacing w:after="0" w:line="240" w:lineRule="auto"/>
      </w:pPr>
      <w:r>
        <w:t xml:space="preserve">Artificial Intelligence (AI) risks can manifest in many ways for insurers, for example in underwriting, claims, and investments. </w:t>
      </w:r>
      <w:r w:rsidR="00F66F37">
        <w:t xml:space="preserve"> </w:t>
      </w:r>
      <w:r w:rsidRPr="00F7638F">
        <w:t>The</w:t>
      </w:r>
      <w:r>
        <w:t xml:space="preserve"> AI </w:t>
      </w:r>
      <w:r w:rsidRPr="00F7638F">
        <w:t>software sector</w:t>
      </w:r>
      <w:r>
        <w:t>, of which insurers invest,</w:t>
      </w:r>
      <w:r w:rsidRPr="00F7638F">
        <w:t xml:space="preserve"> has grown to </w:t>
      </w:r>
      <w:r>
        <w:t xml:space="preserve">greater than </w:t>
      </w:r>
      <w:r w:rsidRPr="00F7638F">
        <w:t>15% of the leveraged loan and private credit sectors; and has recently come under pressure from perceived impact of AI models</w:t>
      </w:r>
      <w:r>
        <w:t>.</w:t>
      </w:r>
      <w:r w:rsidR="00F66F37">
        <w:t xml:space="preserve"> </w:t>
      </w:r>
      <w:r>
        <w:t xml:space="preserve"> Deepfakes enabling insurance fraud and discriminatory underwriting practices are some other indicators to monitor.</w:t>
      </w:r>
    </w:p>
    <w:p w14:paraId="3EB112A8" w14:textId="77777777" w:rsidR="00F56D70" w:rsidRDefault="00F56D70" w:rsidP="00650200">
      <w:pPr>
        <w:spacing w:after="0" w:line="240" w:lineRule="auto"/>
        <w:rPr>
          <w:noProof/>
        </w:rPr>
      </w:pPr>
    </w:p>
    <w:p w14:paraId="28B46C76" w14:textId="09A42AD4" w:rsidR="00313D8E" w:rsidRDefault="00313D8E" w:rsidP="00313D8E">
      <w:pPr>
        <w:spacing w:after="0" w:line="240" w:lineRule="auto"/>
        <w:rPr>
          <w:b/>
          <w:bCs/>
        </w:rPr>
      </w:pPr>
      <w:r w:rsidRPr="00916F91">
        <w:rPr>
          <w:b/>
          <w:bCs/>
        </w:rPr>
        <w:t xml:space="preserve">Cybersecurity </w:t>
      </w:r>
      <w:r w:rsidR="00F92BA4">
        <w:rPr>
          <w:b/>
          <w:bCs/>
        </w:rPr>
        <w:t>Risk</w:t>
      </w:r>
    </w:p>
    <w:p w14:paraId="2CB1C2AF" w14:textId="00E43882" w:rsidR="00313D8E" w:rsidRDefault="00313D8E" w:rsidP="00313D8E">
      <w:pPr>
        <w:spacing w:after="0" w:line="240" w:lineRule="auto"/>
      </w:pPr>
      <w:r>
        <w:t>Demand for and writings of cyber insurance seems to have leveled off due to the steady direct premiums written over the last three years. Product coverage terms to improve underwriting performance</w:t>
      </w:r>
      <w:r w:rsidDel="0051028D">
        <w:t xml:space="preserve"> continues to be</w:t>
      </w:r>
      <w:r>
        <w:t xml:space="preserve"> an area of increased focus by insurers and appears to have led to lower loss ratios since 2021. Additionally, insurers operations continue to be subject to cyber-attacks</w:t>
      </w:r>
      <w:r w:rsidR="00FD1C1C">
        <w:t xml:space="preserve"> that </w:t>
      </w:r>
      <w:r w:rsidR="00F54464">
        <w:t xml:space="preserve">may </w:t>
      </w:r>
      <w:r w:rsidR="00FD1C1C">
        <w:t>threaten their ongoing operation</w:t>
      </w:r>
      <w:r w:rsidR="001E0150">
        <w:t>s.</w:t>
      </w:r>
      <w:r w:rsidR="00FD1C1C">
        <w:t xml:space="preserve"> </w:t>
      </w:r>
    </w:p>
    <w:p w14:paraId="67B4F752" w14:textId="77777777" w:rsidR="00313D8E" w:rsidRDefault="00313D8E" w:rsidP="00650200">
      <w:pPr>
        <w:spacing w:after="0" w:line="240" w:lineRule="auto"/>
        <w:rPr>
          <w:noProof/>
        </w:rPr>
      </w:pPr>
    </w:p>
    <w:p w14:paraId="4A4BB8B3" w14:textId="440EFF0A" w:rsidR="005D5C4B" w:rsidRPr="00362C7C" w:rsidRDefault="005D5C4B" w:rsidP="00650200">
      <w:pPr>
        <w:spacing w:after="0" w:line="240" w:lineRule="auto"/>
        <w:rPr>
          <w:b/>
          <w:bCs/>
          <w:noProof/>
        </w:rPr>
      </w:pPr>
      <w:r w:rsidRPr="00362C7C">
        <w:rPr>
          <w:b/>
          <w:bCs/>
          <w:noProof/>
        </w:rPr>
        <w:t>Morta</w:t>
      </w:r>
      <w:r w:rsidR="008D182A" w:rsidRPr="00362C7C">
        <w:rPr>
          <w:b/>
          <w:bCs/>
          <w:noProof/>
        </w:rPr>
        <w:t>lity/Aging risk</w:t>
      </w:r>
    </w:p>
    <w:p w14:paraId="2C763373" w14:textId="609AC05A" w:rsidR="008D182A" w:rsidRDefault="004E18D6" w:rsidP="00DE3157">
      <w:pPr>
        <w:spacing w:after="0" w:line="240" w:lineRule="auto"/>
        <w:rPr>
          <w:noProof/>
        </w:rPr>
      </w:pPr>
      <w:r>
        <w:rPr>
          <w:noProof/>
        </w:rPr>
        <w:t>Mortality and aging may impact both Life and Health sectors</w:t>
      </w:r>
      <w:r w:rsidR="003314AD">
        <w:rPr>
          <w:noProof/>
        </w:rPr>
        <w:t xml:space="preserve"> and its impact is dependent on the line of busines</w:t>
      </w:r>
      <w:r w:rsidR="00FE2F52">
        <w:rPr>
          <w:noProof/>
        </w:rPr>
        <w:t xml:space="preserve">.  </w:t>
      </w:r>
      <w:r w:rsidR="00DE3157">
        <w:rPr>
          <w:noProof/>
        </w:rPr>
        <w:t xml:space="preserve">U.S. life expectancy for 2026 is 79.54, a 0.18% increase from 2025. </w:t>
      </w:r>
      <w:r w:rsidR="008C557E">
        <w:rPr>
          <w:noProof/>
        </w:rPr>
        <w:t xml:space="preserve"> </w:t>
      </w:r>
      <w:r w:rsidR="00DE3157">
        <w:rPr>
          <w:noProof/>
        </w:rPr>
        <w:t xml:space="preserve">U.S. life expectancy for 2025 was 79.40, a 0.18% increase from 2024.  </w:t>
      </w:r>
      <w:r w:rsidR="009134EF">
        <w:rPr>
          <w:noProof/>
        </w:rPr>
        <w:t>Additionally, the d</w:t>
      </w:r>
      <w:r w:rsidR="00DE3157">
        <w:rPr>
          <w:noProof/>
        </w:rPr>
        <w:t>emographic shift</w:t>
      </w:r>
      <w:r w:rsidR="009134EF">
        <w:rPr>
          <w:noProof/>
        </w:rPr>
        <w:t xml:space="preserve"> to an older </w:t>
      </w:r>
      <w:r w:rsidR="003314AD">
        <w:rPr>
          <w:noProof/>
        </w:rPr>
        <w:t>population</w:t>
      </w:r>
      <w:r w:rsidR="008A37F6">
        <w:rPr>
          <w:noProof/>
        </w:rPr>
        <w:t>, f</w:t>
      </w:r>
      <w:r w:rsidR="00DE3157">
        <w:rPr>
          <w:noProof/>
        </w:rPr>
        <w:t>alling birth rates</w:t>
      </w:r>
      <w:r w:rsidR="008A37F6">
        <w:rPr>
          <w:noProof/>
        </w:rPr>
        <w:t>, r</w:t>
      </w:r>
      <w:r w:rsidR="00DE3157">
        <w:rPr>
          <w:noProof/>
        </w:rPr>
        <w:t>ising healthcare costs</w:t>
      </w:r>
      <w:r w:rsidR="008A37F6">
        <w:rPr>
          <w:noProof/>
        </w:rPr>
        <w:t xml:space="preserve"> and </w:t>
      </w:r>
      <w:r w:rsidR="00DE3157">
        <w:rPr>
          <w:noProof/>
        </w:rPr>
        <w:t>GLP-1</w:t>
      </w:r>
      <w:r w:rsidR="008A37F6">
        <w:rPr>
          <w:noProof/>
        </w:rPr>
        <w:t xml:space="preserve"> rudg</w:t>
      </w:r>
      <w:r w:rsidR="00DE3157">
        <w:rPr>
          <w:noProof/>
        </w:rPr>
        <w:t xml:space="preserve"> impacts</w:t>
      </w:r>
      <w:r w:rsidR="008A37F6">
        <w:rPr>
          <w:noProof/>
        </w:rPr>
        <w:t xml:space="preserve"> are key factor in this category</w:t>
      </w:r>
      <w:r w:rsidR="007A4455">
        <w:rPr>
          <w:noProof/>
        </w:rPr>
        <w:t>.</w:t>
      </w:r>
    </w:p>
    <w:p w14:paraId="36F2BCDC" w14:textId="7C90C2F0" w:rsidR="00517F58" w:rsidRDefault="00517F58" w:rsidP="00A25AE7">
      <w:pPr>
        <w:spacing w:after="0" w:line="240" w:lineRule="auto"/>
        <w:jc w:val="left"/>
        <w:rPr>
          <w:noProof/>
        </w:rPr>
      </w:pPr>
      <w:r>
        <w:rPr>
          <w:noProof/>
        </w:rPr>
        <w:br w:type="page"/>
      </w:r>
    </w:p>
    <w:p w14:paraId="08F936CF" w14:textId="01CE4F89" w:rsidR="00704A4E" w:rsidRPr="000C6FE2" w:rsidRDefault="00BA3DDC" w:rsidP="00486001">
      <w:pPr>
        <w:pStyle w:val="Heading1"/>
      </w:pPr>
      <w:bookmarkStart w:id="14" w:name="_Toc232602964"/>
      <w:r w:rsidRPr="000C6FE2">
        <w:t>App</w:t>
      </w:r>
      <w:r w:rsidR="00704A4E" w:rsidRPr="000C6FE2">
        <w:t>endix A</w:t>
      </w:r>
      <w:r w:rsidR="00322BE7" w:rsidRPr="000C6FE2">
        <w:t>: Risk Asse</w:t>
      </w:r>
      <w:r w:rsidR="000C6FE2" w:rsidRPr="000C6FE2">
        <w:t>ssment Scale</w:t>
      </w:r>
      <w:bookmarkEnd w:id="14"/>
    </w:p>
    <w:p w14:paraId="4B757FB1" w14:textId="2F04E7B6" w:rsidR="009B6B30" w:rsidRPr="00C05EBF" w:rsidRDefault="0009142B" w:rsidP="0056104C">
      <w:pPr>
        <w:pStyle w:val="Heading2"/>
      </w:pPr>
      <w:r w:rsidRPr="33D1CA77">
        <w:rPr>
          <w:rFonts w:ascii="Calibri" w:eastAsia="Calibri" w:hAnsi="Calibri" w:cs="Calibri"/>
          <w:szCs w:val="36"/>
        </w:rPr>
        <w:t>Risk Assessment Scale</w:t>
      </w:r>
    </w:p>
    <w:p w14:paraId="44572E95" w14:textId="60A583B3" w:rsidR="009B6B30" w:rsidRPr="00C05EBF" w:rsidRDefault="60003BAC" w:rsidP="33D1CA77">
      <w:pPr>
        <w:spacing w:line="257" w:lineRule="auto"/>
      </w:pPr>
      <w:r w:rsidRPr="33D1CA77">
        <w:rPr>
          <w:rFonts w:ascii="Calibri" w:eastAsia="Calibri" w:hAnsi="Calibri" w:cs="Calibri"/>
        </w:rPr>
        <w:t>Assessment levels are documented on a four-tier scale consisting of High, Moderate-High, Moderate-Low, or Low. Assessments are based on current and historical risk indicators and expert judgment.</w:t>
      </w:r>
    </w:p>
    <w:tbl>
      <w:tblPr>
        <w:tblStyle w:val="TableGrid"/>
        <w:tblW w:w="0" w:type="auto"/>
        <w:tblLayout w:type="fixed"/>
        <w:tblLook w:val="04A0" w:firstRow="1" w:lastRow="0" w:firstColumn="1" w:lastColumn="0" w:noHBand="0" w:noVBand="1"/>
      </w:tblPr>
      <w:tblGrid>
        <w:gridCol w:w="1763"/>
        <w:gridCol w:w="3053"/>
        <w:gridCol w:w="3053"/>
        <w:gridCol w:w="1491"/>
      </w:tblGrid>
      <w:tr w:rsidR="33D1CA77" w14:paraId="6FA24A82" w14:textId="77777777" w:rsidTr="33D1CA77">
        <w:trPr>
          <w:trHeight w:val="585"/>
        </w:trPr>
        <w:tc>
          <w:tcPr>
            <w:tcW w:w="1763" w:type="dxa"/>
            <w:tcBorders>
              <w:top w:val="single" w:sz="8" w:space="0" w:color="auto"/>
              <w:left w:val="single" w:sz="8" w:space="0" w:color="auto"/>
              <w:bottom w:val="single" w:sz="8" w:space="0" w:color="auto"/>
              <w:right w:val="single" w:sz="8" w:space="0" w:color="auto"/>
            </w:tcBorders>
            <w:shd w:val="clear" w:color="auto" w:fill="00B050"/>
          </w:tcPr>
          <w:p w14:paraId="57921536" w14:textId="1A641FA5" w:rsidR="33D1CA77" w:rsidRDefault="33D1CA77" w:rsidP="33D1CA77">
            <w:pPr>
              <w:jc w:val="center"/>
            </w:pPr>
            <w:r w:rsidRPr="33D1CA77">
              <w:rPr>
                <w:rFonts w:ascii="Calibri" w:eastAsia="Calibri" w:hAnsi="Calibri" w:cs="Calibri"/>
                <w:color w:val="000000" w:themeColor="text1"/>
                <w:sz w:val="40"/>
                <w:szCs w:val="40"/>
              </w:rPr>
              <w:t>Low</w:t>
            </w:r>
          </w:p>
        </w:tc>
        <w:tc>
          <w:tcPr>
            <w:tcW w:w="3053" w:type="dxa"/>
            <w:tcBorders>
              <w:top w:val="single" w:sz="8" w:space="0" w:color="auto"/>
              <w:left w:val="single" w:sz="8" w:space="0" w:color="auto"/>
              <w:bottom w:val="single" w:sz="8" w:space="0" w:color="auto"/>
              <w:right w:val="single" w:sz="8" w:space="0" w:color="auto"/>
            </w:tcBorders>
            <w:shd w:val="clear" w:color="auto" w:fill="FFFF00"/>
          </w:tcPr>
          <w:p w14:paraId="4DBE2C3C" w14:textId="114F5FC7" w:rsidR="33D1CA77" w:rsidRDefault="33D1CA77" w:rsidP="33D1CA77">
            <w:pPr>
              <w:jc w:val="center"/>
            </w:pPr>
            <w:r w:rsidRPr="33D1CA77">
              <w:rPr>
                <w:rFonts w:ascii="Calibri" w:eastAsia="Calibri" w:hAnsi="Calibri" w:cs="Calibri"/>
                <w:color w:val="000000" w:themeColor="text1"/>
                <w:sz w:val="40"/>
                <w:szCs w:val="40"/>
              </w:rPr>
              <w:t>Moderate-Low</w:t>
            </w:r>
          </w:p>
        </w:tc>
        <w:tc>
          <w:tcPr>
            <w:tcW w:w="3053" w:type="dxa"/>
            <w:tcBorders>
              <w:top w:val="single" w:sz="8" w:space="0" w:color="auto"/>
              <w:left w:val="single" w:sz="8" w:space="0" w:color="auto"/>
              <w:bottom w:val="single" w:sz="8" w:space="0" w:color="auto"/>
              <w:right w:val="single" w:sz="8" w:space="0" w:color="auto"/>
            </w:tcBorders>
            <w:shd w:val="clear" w:color="auto" w:fill="ED7D31" w:themeFill="accent2"/>
          </w:tcPr>
          <w:p w14:paraId="2CF8F773" w14:textId="0107A54A" w:rsidR="33D1CA77" w:rsidRDefault="33D1CA77" w:rsidP="33D1CA77">
            <w:pPr>
              <w:jc w:val="center"/>
            </w:pPr>
            <w:r w:rsidRPr="33D1CA77">
              <w:rPr>
                <w:rFonts w:ascii="Calibri" w:eastAsia="Calibri" w:hAnsi="Calibri" w:cs="Calibri"/>
                <w:color w:val="000000" w:themeColor="text1"/>
                <w:sz w:val="40"/>
                <w:szCs w:val="40"/>
              </w:rPr>
              <w:t>Moderate-High</w:t>
            </w:r>
          </w:p>
        </w:tc>
        <w:tc>
          <w:tcPr>
            <w:tcW w:w="1491" w:type="dxa"/>
            <w:tcBorders>
              <w:top w:val="single" w:sz="8" w:space="0" w:color="auto"/>
              <w:left w:val="single" w:sz="8" w:space="0" w:color="auto"/>
              <w:bottom w:val="single" w:sz="8" w:space="0" w:color="auto"/>
              <w:right w:val="single" w:sz="8" w:space="0" w:color="auto"/>
            </w:tcBorders>
            <w:shd w:val="clear" w:color="auto" w:fill="FF0000"/>
          </w:tcPr>
          <w:p w14:paraId="4A438753" w14:textId="56FE323E" w:rsidR="33D1CA77" w:rsidRDefault="33D1CA77" w:rsidP="33D1CA77">
            <w:pPr>
              <w:jc w:val="center"/>
            </w:pPr>
            <w:r w:rsidRPr="33D1CA77">
              <w:rPr>
                <w:rFonts w:ascii="Calibri" w:eastAsia="Calibri" w:hAnsi="Calibri" w:cs="Calibri"/>
                <w:color w:val="000000" w:themeColor="text1"/>
                <w:sz w:val="40"/>
                <w:szCs w:val="40"/>
              </w:rPr>
              <w:t>High</w:t>
            </w:r>
          </w:p>
        </w:tc>
      </w:tr>
    </w:tbl>
    <w:p w14:paraId="6AD6DD07" w14:textId="5F3FA569" w:rsidR="009B6B30" w:rsidRPr="00C05EBF" w:rsidRDefault="0009142B" w:rsidP="33D1CA77">
      <w:pPr>
        <w:spacing w:line="257" w:lineRule="auto"/>
      </w:pPr>
      <w:r>
        <w:br/>
      </w:r>
    </w:p>
    <w:p w14:paraId="6366AB80" w14:textId="003A49B0" w:rsidR="0009142B" w:rsidRPr="00C05EBF" w:rsidRDefault="0009142B" w:rsidP="33D1CA77">
      <w:pPr>
        <w:pStyle w:val="Heading2"/>
      </w:pPr>
      <w:r w:rsidRPr="33D1CA77">
        <w:rPr>
          <w:rFonts w:ascii="Calibri" w:eastAsia="Calibri" w:hAnsi="Calibri" w:cs="Calibri"/>
          <w:szCs w:val="36"/>
        </w:rPr>
        <w:t>Trend Scale</w:t>
      </w:r>
    </w:p>
    <w:p w14:paraId="4B37D70B" w14:textId="4869983D" w:rsidR="009B6B30" w:rsidRPr="00C05EBF" w:rsidRDefault="60003BAC" w:rsidP="33D1CA77">
      <w:pPr>
        <w:spacing w:line="257" w:lineRule="auto"/>
      </w:pPr>
      <w:r w:rsidRPr="33D1CA77">
        <w:rPr>
          <w:rFonts w:ascii="Calibri" w:eastAsia="Calibri" w:hAnsi="Calibri" w:cs="Calibri"/>
        </w:rPr>
        <w:t>The trend is a historical trend and is indicative of the level of risk. Trend levels are documented on a five-tier scale consisting of Significant Increas</w:t>
      </w:r>
      <w:r w:rsidR="00782470">
        <w:rPr>
          <w:rFonts w:ascii="Calibri" w:eastAsia="Calibri" w:hAnsi="Calibri" w:cs="Calibri"/>
        </w:rPr>
        <w:t>e</w:t>
      </w:r>
      <w:r w:rsidRPr="33D1CA77">
        <w:rPr>
          <w:rFonts w:ascii="Calibri" w:eastAsia="Calibri" w:hAnsi="Calibri" w:cs="Calibri"/>
        </w:rPr>
        <w:t>, Increasing, Static, Decreasing, or Significant Decreas</w:t>
      </w:r>
      <w:r w:rsidR="00782470">
        <w:rPr>
          <w:rFonts w:ascii="Calibri" w:eastAsia="Calibri" w:hAnsi="Calibri" w:cs="Calibri"/>
        </w:rPr>
        <w:t>e</w:t>
      </w:r>
      <w:r w:rsidRPr="33D1CA77">
        <w:rPr>
          <w:rFonts w:ascii="Calibri" w:eastAsia="Calibri" w:hAnsi="Calibri" w:cs="Calibri"/>
        </w:rPr>
        <w:t>. Trends are based on the changes in risk indicators and expert judgment.</w:t>
      </w:r>
    </w:p>
    <w:p w14:paraId="0ED45ABE" w14:textId="28553D11" w:rsidR="009B6B30" w:rsidRPr="00C05EBF" w:rsidRDefault="60003BAC" w:rsidP="33D1CA77">
      <w:pPr>
        <w:spacing w:line="257" w:lineRule="auto"/>
        <w:rPr>
          <w:rFonts w:ascii="Calibri" w:eastAsia="Calibri" w:hAnsi="Calibri" w:cs="Calibri"/>
        </w:rPr>
      </w:pPr>
      <w:r w:rsidRPr="33D1CA77">
        <w:rPr>
          <w:rFonts w:ascii="Calibri" w:eastAsia="Calibri" w:hAnsi="Calibri" w:cs="Calibri"/>
        </w:rPr>
        <w:t xml:space="preserve"> </w:t>
      </w:r>
      <w:r w:rsidR="00F86A86">
        <w:rPr>
          <w:rFonts w:ascii="Calibri" w:eastAsia="Calibri" w:hAnsi="Calibri" w:cs="Calibri"/>
          <w:noProof/>
        </w:rPr>
        <w:drawing>
          <wp:inline distT="0" distB="0" distL="0" distR="0" wp14:anchorId="69148B7E" wp14:editId="046FF43C">
            <wp:extent cx="5943600" cy="1114425"/>
            <wp:effectExtent l="0" t="0" r="0" b="9525"/>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10;&#10;Description automatically generated"/>
                    <pic:cNvPicPr/>
                  </pic:nvPicPr>
                  <pic:blipFill>
                    <a:blip r:embed="rId49" cstate="email">
                      <a:extLst>
                        <a:ext uri="{28A0092B-C50C-407E-A947-70E740481C1C}">
                          <a14:useLocalDpi xmlns:a14="http://schemas.microsoft.com/office/drawing/2010/main"/>
                        </a:ext>
                      </a:extLst>
                    </a:blip>
                    <a:stretch>
                      <a:fillRect/>
                    </a:stretch>
                  </pic:blipFill>
                  <pic:spPr>
                    <a:xfrm>
                      <a:off x="0" y="0"/>
                      <a:ext cx="5943600" cy="1114425"/>
                    </a:xfrm>
                    <a:prstGeom prst="rect">
                      <a:avLst/>
                    </a:prstGeom>
                  </pic:spPr>
                </pic:pic>
              </a:graphicData>
            </a:graphic>
          </wp:inline>
        </w:drawing>
      </w:r>
    </w:p>
    <w:p w14:paraId="1FE1CC03" w14:textId="7AD19078" w:rsidR="009B6B30" w:rsidRPr="00C05EBF" w:rsidRDefault="009B6B30" w:rsidP="33D1CA77">
      <w:pPr>
        <w:spacing w:line="257" w:lineRule="auto"/>
      </w:pPr>
    </w:p>
    <w:p w14:paraId="6E4063D9" w14:textId="01FD699D" w:rsidR="009B6B30" w:rsidRPr="00C05EBF" w:rsidRDefault="009B6B30" w:rsidP="33D1CA77">
      <w:pPr>
        <w:spacing w:line="257" w:lineRule="auto"/>
      </w:pPr>
    </w:p>
    <w:p w14:paraId="046BB3BB" w14:textId="3518BCB7" w:rsidR="009B6B30" w:rsidRPr="00C05EBF" w:rsidRDefault="009B6B30" w:rsidP="33D1CA77">
      <w:pPr>
        <w:spacing w:line="257" w:lineRule="auto"/>
      </w:pPr>
    </w:p>
    <w:p w14:paraId="542070B1" w14:textId="3646660A" w:rsidR="009B6B30" w:rsidRPr="00C05EBF" w:rsidRDefault="009B6B30" w:rsidP="33D1CA77">
      <w:pPr>
        <w:spacing w:line="257" w:lineRule="auto"/>
      </w:pPr>
    </w:p>
    <w:p w14:paraId="398D9857" w14:textId="52771E5C" w:rsidR="009B6B30" w:rsidRPr="00C05EBF" w:rsidRDefault="009B6B30" w:rsidP="33D1CA77">
      <w:pPr>
        <w:spacing w:line="257" w:lineRule="auto"/>
      </w:pPr>
    </w:p>
    <w:p w14:paraId="038CA16F" w14:textId="4BCBF5BB" w:rsidR="009B6B30" w:rsidRPr="00C05EBF" w:rsidRDefault="009B6B30" w:rsidP="33D1CA77">
      <w:pPr>
        <w:spacing w:line="257" w:lineRule="auto"/>
      </w:pPr>
    </w:p>
    <w:p w14:paraId="60B3AEBE" w14:textId="5D8DD317" w:rsidR="009B6B30" w:rsidRPr="00C05EBF" w:rsidRDefault="009B6B30" w:rsidP="33D1CA77">
      <w:pPr>
        <w:spacing w:line="257" w:lineRule="auto"/>
      </w:pPr>
    </w:p>
    <w:p w14:paraId="61EE7C7F" w14:textId="6619594D" w:rsidR="009B6B30" w:rsidRPr="00C05EBF" w:rsidRDefault="009B6B30" w:rsidP="33D1CA77">
      <w:pPr>
        <w:spacing w:line="257" w:lineRule="auto"/>
      </w:pPr>
    </w:p>
    <w:p w14:paraId="00978072" w14:textId="25F528E6" w:rsidR="009B6B30" w:rsidRPr="00C05EBF" w:rsidRDefault="009B6B30" w:rsidP="33D1CA77">
      <w:pPr>
        <w:spacing w:line="257" w:lineRule="auto"/>
      </w:pPr>
    </w:p>
    <w:p w14:paraId="3872CC1E" w14:textId="7DBFD050" w:rsidR="009B6B30" w:rsidRPr="00C05EBF" w:rsidRDefault="009B6B30" w:rsidP="33D1CA77">
      <w:pPr>
        <w:spacing w:line="257" w:lineRule="auto"/>
      </w:pPr>
    </w:p>
    <w:p w14:paraId="1868E629" w14:textId="079F4CC3" w:rsidR="009B6B30" w:rsidRPr="00C05EBF" w:rsidRDefault="009B6B30" w:rsidP="33D1CA77">
      <w:pPr>
        <w:spacing w:line="257" w:lineRule="auto"/>
      </w:pPr>
    </w:p>
    <w:p w14:paraId="719D7BC7" w14:textId="733DB20C" w:rsidR="009B6B30" w:rsidRPr="00C05EBF" w:rsidRDefault="009B6B30" w:rsidP="33D1CA77">
      <w:pPr>
        <w:spacing w:line="257" w:lineRule="auto"/>
        <w:rPr>
          <w:rFonts w:ascii="Calibri" w:eastAsia="Calibri" w:hAnsi="Calibri" w:cs="Calibri"/>
        </w:rPr>
      </w:pPr>
    </w:p>
    <w:p w14:paraId="32E235CF" w14:textId="427C3055" w:rsidR="005766AC" w:rsidRPr="00521E16" w:rsidRDefault="005766AC" w:rsidP="005766AC">
      <w:pPr>
        <w:pStyle w:val="Heading1"/>
        <w:rPr>
          <w:u w:val="none"/>
        </w:rPr>
      </w:pPr>
      <w:bookmarkStart w:id="15" w:name="_Toc232602965"/>
      <w:r w:rsidRPr="00521E16">
        <w:rPr>
          <w:u w:val="none"/>
        </w:rPr>
        <w:t xml:space="preserve">Appendix </w:t>
      </w:r>
      <w:r w:rsidR="006F1F59" w:rsidRPr="00521E16">
        <w:rPr>
          <w:u w:val="none"/>
        </w:rPr>
        <w:t>B</w:t>
      </w:r>
      <w:r w:rsidRPr="00521E16">
        <w:rPr>
          <w:u w:val="none"/>
        </w:rPr>
        <w:t>: Insurance Industry</w:t>
      </w:r>
      <w:r w:rsidR="00F80346">
        <w:rPr>
          <w:u w:val="none"/>
        </w:rPr>
        <w:t>;</w:t>
      </w:r>
      <w:r w:rsidRPr="00521E16">
        <w:rPr>
          <w:u w:val="none"/>
        </w:rPr>
        <w:t xml:space="preserve"> by the Numbers</w:t>
      </w:r>
      <w:bookmarkEnd w:id="15"/>
    </w:p>
    <w:p w14:paraId="61651DB0" w14:textId="77777777" w:rsidR="00156886" w:rsidRDefault="00156886" w:rsidP="00BF3B6A">
      <w:pPr>
        <w:rPr>
          <w:noProof/>
        </w:rPr>
      </w:pPr>
    </w:p>
    <w:p w14:paraId="34B033A0" w14:textId="22097F4B" w:rsidR="00884E03" w:rsidRPr="00F80346" w:rsidRDefault="00D67689" w:rsidP="00BF3B6A">
      <w:pPr>
        <w:rPr>
          <w:b/>
          <w:sz w:val="28"/>
          <w:szCs w:val="28"/>
        </w:rPr>
      </w:pPr>
      <w:r w:rsidRPr="00F80346">
        <w:rPr>
          <w:b/>
          <w:bCs/>
          <w:noProof/>
          <w:sz w:val="28"/>
          <w:szCs w:val="28"/>
        </w:rPr>
        <w:t xml:space="preserve">Select </w:t>
      </w:r>
      <w:r w:rsidR="00156886" w:rsidRPr="00F80346">
        <w:rPr>
          <w:b/>
          <w:bCs/>
          <w:noProof/>
          <w:sz w:val="28"/>
          <w:szCs w:val="28"/>
        </w:rPr>
        <w:t>industry data:</w:t>
      </w:r>
    </w:p>
    <w:p w14:paraId="0C5CA197" w14:textId="77777777" w:rsidR="00156886" w:rsidRDefault="00156886" w:rsidP="00BF3B6A">
      <w:pPr>
        <w:rPr>
          <w:noProof/>
        </w:rPr>
      </w:pPr>
    </w:p>
    <w:p w14:paraId="204497B9" w14:textId="02414845" w:rsidR="00E028F8" w:rsidRDefault="000D0FC8" w:rsidP="00BF3B6A">
      <w:r>
        <w:rPr>
          <w:noProof/>
        </w:rPr>
        <w:drawing>
          <wp:inline distT="0" distB="0" distL="0" distR="0" wp14:anchorId="1D7E2548" wp14:editId="01CE3E80">
            <wp:extent cx="6029325" cy="3609975"/>
            <wp:effectExtent l="0" t="0" r="9525" b="9525"/>
            <wp:docPr id="1722948850" name="Chart 1">
              <a:extLst xmlns:a="http://schemas.openxmlformats.org/drawingml/2006/main">
                <a:ext uri="{FF2B5EF4-FFF2-40B4-BE49-F238E27FC236}">
                  <a16:creationId xmlns:a16="http://schemas.microsoft.com/office/drawing/2014/main" id="{A9B83973-AC92-3C72-4304-72E70DB16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1B5ED4D" w14:textId="77777777" w:rsidR="00992955" w:rsidRDefault="00992955" w:rsidP="00BF3B6A"/>
    <w:p w14:paraId="3BE8BF0B" w14:textId="66211DD7" w:rsidR="003A1453" w:rsidRDefault="003A1453">
      <w:pPr>
        <w:jc w:val="left"/>
      </w:pPr>
      <w:r>
        <w:br w:type="page"/>
      </w:r>
    </w:p>
    <w:p w14:paraId="1F82BAF1" w14:textId="2D10B1CA" w:rsidR="0083701B" w:rsidRDefault="005322DC" w:rsidP="005322DC">
      <w:pPr>
        <w:jc w:val="center"/>
        <w:rPr>
          <w:b/>
          <w:bCs/>
          <w:color w:val="002060"/>
          <w:sz w:val="36"/>
          <w:szCs w:val="36"/>
        </w:rPr>
      </w:pPr>
      <w:r w:rsidRPr="005322DC">
        <w:rPr>
          <w:b/>
          <w:bCs/>
          <w:color w:val="002060"/>
          <w:sz w:val="36"/>
          <w:szCs w:val="36"/>
        </w:rPr>
        <w:t>Life Industry</w:t>
      </w:r>
    </w:p>
    <w:p w14:paraId="6E9F882D" w14:textId="77777777" w:rsidR="00561F4A" w:rsidRPr="005322DC" w:rsidRDefault="00561F4A" w:rsidP="005322DC">
      <w:pPr>
        <w:jc w:val="center"/>
        <w:rPr>
          <w:b/>
          <w:color w:val="002060"/>
          <w:sz w:val="36"/>
          <w:szCs w:val="36"/>
        </w:rPr>
      </w:pPr>
    </w:p>
    <w:p w14:paraId="70DE4D1A" w14:textId="2094AF03" w:rsidR="00DD4A50" w:rsidRDefault="00EB55F0" w:rsidP="00554691">
      <w:pPr>
        <w:jc w:val="center"/>
      </w:pPr>
      <w:r>
        <w:rPr>
          <w:noProof/>
        </w:rPr>
        <w:drawing>
          <wp:inline distT="0" distB="0" distL="0" distR="0" wp14:anchorId="030ABAEB" wp14:editId="3359A032">
            <wp:extent cx="5943600" cy="3416300"/>
            <wp:effectExtent l="0" t="0" r="0" b="0"/>
            <wp:docPr id="7271346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3463" name="Picture 72713463"/>
                    <pic:cNvPicPr/>
                  </pic:nvPicPr>
                  <pic:blipFill>
                    <a:blip r:embed="rId51" cstate="email">
                      <a:extLst>
                        <a:ext uri="{28A0092B-C50C-407E-A947-70E740481C1C}">
                          <a14:useLocalDpi xmlns:a14="http://schemas.microsoft.com/office/drawing/2010/main" val="0"/>
                        </a:ext>
                      </a:extLst>
                    </a:blip>
                    <a:stretch>
                      <a:fillRect/>
                    </a:stretch>
                  </pic:blipFill>
                  <pic:spPr>
                    <a:xfrm>
                      <a:off x="0" y="0"/>
                      <a:ext cx="5943600" cy="3416300"/>
                    </a:xfrm>
                    <a:prstGeom prst="rect">
                      <a:avLst/>
                    </a:prstGeom>
                  </pic:spPr>
                </pic:pic>
              </a:graphicData>
            </a:graphic>
          </wp:inline>
        </w:drawing>
      </w:r>
    </w:p>
    <w:p w14:paraId="6FBA1FF0" w14:textId="77777777" w:rsidR="00C84524" w:rsidRDefault="00C84524" w:rsidP="00C84524">
      <w:pPr>
        <w:jc w:val="left"/>
      </w:pPr>
      <w:r w:rsidRPr="00006A06">
        <w:rPr>
          <w:b/>
          <w:bCs/>
        </w:rPr>
        <w:t>Source:</w:t>
      </w:r>
      <w:r>
        <w:t xml:space="preserve">  S&amp;P Market Intelligence</w:t>
      </w:r>
    </w:p>
    <w:p w14:paraId="4118F52F" w14:textId="350E7F61" w:rsidR="00472074" w:rsidRDefault="00472074">
      <w:pPr>
        <w:jc w:val="left"/>
      </w:pPr>
      <w:r>
        <w:br w:type="page"/>
      </w:r>
    </w:p>
    <w:p w14:paraId="08397DFD" w14:textId="77777777" w:rsidR="00267CFC" w:rsidRDefault="00267CFC" w:rsidP="00C84524">
      <w:pPr>
        <w:jc w:val="left"/>
      </w:pPr>
    </w:p>
    <w:p w14:paraId="047A0482" w14:textId="77777777" w:rsidR="00267CFC" w:rsidRDefault="00267CFC" w:rsidP="00267CFC">
      <w:pPr>
        <w:jc w:val="center"/>
        <w:rPr>
          <w:b/>
          <w:bCs/>
          <w:color w:val="002060"/>
          <w:sz w:val="36"/>
          <w:szCs w:val="36"/>
        </w:rPr>
      </w:pPr>
      <w:r w:rsidRPr="005322DC">
        <w:rPr>
          <w:b/>
          <w:bCs/>
          <w:color w:val="002060"/>
          <w:sz w:val="36"/>
          <w:szCs w:val="36"/>
        </w:rPr>
        <w:t>Life Industry</w:t>
      </w:r>
    </w:p>
    <w:p w14:paraId="3867E2F1" w14:textId="77777777" w:rsidR="00267CFC" w:rsidRDefault="00267CFC" w:rsidP="00C84524">
      <w:pPr>
        <w:jc w:val="left"/>
      </w:pPr>
    </w:p>
    <w:p w14:paraId="55BFECFE" w14:textId="6F32B97A" w:rsidR="00EB55F0" w:rsidRDefault="00A50A91" w:rsidP="00C84524">
      <w:pPr>
        <w:jc w:val="center"/>
      </w:pPr>
      <w:r>
        <w:rPr>
          <w:noProof/>
        </w:rPr>
        <w:drawing>
          <wp:inline distT="0" distB="0" distL="0" distR="0" wp14:anchorId="08026626" wp14:editId="38767455">
            <wp:extent cx="4514850" cy="6305550"/>
            <wp:effectExtent l="0" t="0" r="0" b="0"/>
            <wp:docPr id="9274465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46522" name="Picture 927446522"/>
                    <pic:cNvPicPr/>
                  </pic:nvPicPr>
                  <pic:blipFill>
                    <a:blip r:embed="rId52" cstate="email">
                      <a:extLst>
                        <a:ext uri="{28A0092B-C50C-407E-A947-70E740481C1C}">
                          <a14:useLocalDpi xmlns:a14="http://schemas.microsoft.com/office/drawing/2010/main" val="0"/>
                        </a:ext>
                      </a:extLst>
                    </a:blip>
                    <a:stretch>
                      <a:fillRect/>
                    </a:stretch>
                  </pic:blipFill>
                  <pic:spPr>
                    <a:xfrm>
                      <a:off x="0" y="0"/>
                      <a:ext cx="4515483" cy="6306434"/>
                    </a:xfrm>
                    <a:prstGeom prst="rect">
                      <a:avLst/>
                    </a:prstGeom>
                  </pic:spPr>
                </pic:pic>
              </a:graphicData>
            </a:graphic>
          </wp:inline>
        </w:drawing>
      </w:r>
    </w:p>
    <w:p w14:paraId="26D77E28" w14:textId="116C3975" w:rsidR="00693A24" w:rsidRPr="005169F0" w:rsidRDefault="00693A24" w:rsidP="00693A24">
      <w:pPr>
        <w:jc w:val="left"/>
      </w:pPr>
      <w:r w:rsidRPr="00006A06">
        <w:rPr>
          <w:b/>
          <w:bCs/>
        </w:rPr>
        <w:t>Source:</w:t>
      </w:r>
      <w:r>
        <w:rPr>
          <w:b/>
          <w:bCs/>
        </w:rPr>
        <w:t xml:space="preserve">  </w:t>
      </w:r>
      <w:r w:rsidRPr="005169F0">
        <w:t xml:space="preserve">NAIC Financial Regulatory </w:t>
      </w:r>
      <w:r>
        <w:t xml:space="preserve">Services </w:t>
      </w:r>
      <w:r w:rsidRPr="005169F0">
        <w:t>Unit</w:t>
      </w:r>
      <w:r w:rsidR="00B13608">
        <w:t xml:space="preserve">, 2025 Annual Life </w:t>
      </w:r>
      <w:r w:rsidR="00CD11E7">
        <w:t>I</w:t>
      </w:r>
      <w:r w:rsidR="00B13608">
        <w:t>ndustry Comment</w:t>
      </w:r>
      <w:r w:rsidR="00CD11E7">
        <w:t>ary</w:t>
      </w:r>
    </w:p>
    <w:p w14:paraId="03AE03C1" w14:textId="77777777" w:rsidR="002C162D" w:rsidRDefault="002C162D" w:rsidP="00C84524">
      <w:pPr>
        <w:jc w:val="center"/>
      </w:pPr>
    </w:p>
    <w:p w14:paraId="7EF71D89" w14:textId="410A7F94" w:rsidR="00DD4A50" w:rsidRPr="005322DC" w:rsidRDefault="00DD4A50" w:rsidP="00F76E89">
      <w:pPr>
        <w:ind w:left="2880" w:firstLine="720"/>
        <w:jc w:val="left"/>
        <w:rPr>
          <w:color w:val="002060"/>
        </w:rPr>
      </w:pPr>
      <w:r>
        <w:br w:type="page"/>
      </w:r>
      <w:r w:rsidR="002E3C8A" w:rsidRPr="005322DC">
        <w:rPr>
          <w:b/>
          <w:color w:val="002060"/>
          <w:sz w:val="36"/>
          <w:szCs w:val="36"/>
        </w:rPr>
        <w:t>P&amp;C Industry</w:t>
      </w:r>
    </w:p>
    <w:p w14:paraId="34697F0A" w14:textId="18F9B89C" w:rsidR="00D21AB7" w:rsidRDefault="002C4DA8" w:rsidP="00554691">
      <w:pPr>
        <w:jc w:val="center"/>
      </w:pPr>
      <w:r>
        <w:rPr>
          <w:noProof/>
        </w:rPr>
        <w:drawing>
          <wp:inline distT="0" distB="0" distL="0" distR="0" wp14:anchorId="3F2C0819" wp14:editId="4C0A0BE0">
            <wp:extent cx="5943600" cy="3193415"/>
            <wp:effectExtent l="0" t="0" r="0" b="6985"/>
            <wp:docPr id="154700936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9368" name="Picture 1547009368"/>
                    <pic:cNvPicPr/>
                  </pic:nvPicPr>
                  <pic:blipFill>
                    <a:blip r:embed="rId53" cstate="email">
                      <a:extLst>
                        <a:ext uri="{28A0092B-C50C-407E-A947-70E740481C1C}">
                          <a14:useLocalDpi xmlns:a14="http://schemas.microsoft.com/office/drawing/2010/main" val="0"/>
                        </a:ext>
                      </a:extLst>
                    </a:blip>
                    <a:stretch>
                      <a:fillRect/>
                    </a:stretch>
                  </pic:blipFill>
                  <pic:spPr>
                    <a:xfrm>
                      <a:off x="0" y="0"/>
                      <a:ext cx="5943600" cy="3193415"/>
                    </a:xfrm>
                    <a:prstGeom prst="rect">
                      <a:avLst/>
                    </a:prstGeom>
                  </pic:spPr>
                </pic:pic>
              </a:graphicData>
            </a:graphic>
          </wp:inline>
        </w:drawing>
      </w:r>
    </w:p>
    <w:p w14:paraId="6F87E4A8" w14:textId="3D9CDF05" w:rsidR="00470CA3" w:rsidRDefault="00DD25EF" w:rsidP="00DD25EF">
      <w:pPr>
        <w:jc w:val="left"/>
      </w:pPr>
      <w:r w:rsidRPr="00006A06">
        <w:rPr>
          <w:b/>
          <w:bCs/>
        </w:rPr>
        <w:t>S</w:t>
      </w:r>
      <w:r w:rsidR="00C67969" w:rsidRPr="00006A06">
        <w:rPr>
          <w:b/>
          <w:bCs/>
        </w:rPr>
        <w:t>ource:</w:t>
      </w:r>
      <w:r w:rsidR="00C67969">
        <w:t xml:space="preserve">  S&amp;P Market </w:t>
      </w:r>
      <w:r w:rsidR="00006A06">
        <w:t>I</w:t>
      </w:r>
      <w:r w:rsidR="00C67969">
        <w:t>ntelligence</w:t>
      </w:r>
    </w:p>
    <w:p w14:paraId="2339FC69" w14:textId="4E8C8794" w:rsidR="00470CA3" w:rsidRDefault="00C3673C" w:rsidP="00554691">
      <w:pPr>
        <w:jc w:val="center"/>
      </w:pPr>
      <w:r>
        <w:rPr>
          <w:noProof/>
        </w:rPr>
        <w:drawing>
          <wp:inline distT="0" distB="0" distL="0" distR="0" wp14:anchorId="003A17F7" wp14:editId="68D684D1">
            <wp:extent cx="4038600" cy="3405921"/>
            <wp:effectExtent l="0" t="0" r="0" b="4445"/>
            <wp:docPr id="152188059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80591" name="Picture 1521880591"/>
                    <pic:cNvPicPr/>
                  </pic:nvPicPr>
                  <pic:blipFill>
                    <a:blip r:embed="rId54">
                      <a:extLst>
                        <a:ext uri="{28A0092B-C50C-407E-A947-70E740481C1C}">
                          <a14:useLocalDpi xmlns:a14="http://schemas.microsoft.com/office/drawing/2010/main" val="0"/>
                        </a:ext>
                      </a:extLst>
                    </a:blip>
                    <a:stretch>
                      <a:fillRect/>
                    </a:stretch>
                  </pic:blipFill>
                  <pic:spPr>
                    <a:xfrm>
                      <a:off x="0" y="0"/>
                      <a:ext cx="4043307" cy="3409890"/>
                    </a:xfrm>
                    <a:prstGeom prst="rect">
                      <a:avLst/>
                    </a:prstGeom>
                  </pic:spPr>
                </pic:pic>
              </a:graphicData>
            </a:graphic>
          </wp:inline>
        </w:drawing>
      </w:r>
    </w:p>
    <w:p w14:paraId="296646D4" w14:textId="79A66A06" w:rsidR="00006A06" w:rsidRPr="005169F0" w:rsidRDefault="00006A06" w:rsidP="00006A06">
      <w:pPr>
        <w:jc w:val="left"/>
      </w:pPr>
      <w:r w:rsidRPr="00006A06">
        <w:rPr>
          <w:b/>
          <w:bCs/>
        </w:rPr>
        <w:t>Source:</w:t>
      </w:r>
      <w:r w:rsidR="001C4896">
        <w:rPr>
          <w:b/>
          <w:bCs/>
        </w:rPr>
        <w:t xml:space="preserve">  </w:t>
      </w:r>
      <w:r w:rsidR="001C4896" w:rsidRPr="005169F0">
        <w:t xml:space="preserve">NAIC Financial Regulatory </w:t>
      </w:r>
      <w:r w:rsidR="005169F0">
        <w:t xml:space="preserve">Services </w:t>
      </w:r>
      <w:r w:rsidR="001C4896" w:rsidRPr="005169F0">
        <w:t>Unit</w:t>
      </w:r>
    </w:p>
    <w:p w14:paraId="613B4387" w14:textId="02CFF322" w:rsidR="00DB26BE" w:rsidRDefault="00DB26BE">
      <w:pPr>
        <w:jc w:val="left"/>
      </w:pPr>
      <w:r>
        <w:br w:type="page"/>
      </w:r>
    </w:p>
    <w:p w14:paraId="7EAF020A" w14:textId="2A32EA63" w:rsidR="001668C5" w:rsidRDefault="00472074" w:rsidP="00554691">
      <w:pPr>
        <w:jc w:val="center"/>
      </w:pPr>
      <w:r w:rsidRPr="005322DC">
        <w:rPr>
          <w:b/>
          <w:color w:val="002060"/>
          <w:sz w:val="36"/>
          <w:szCs w:val="36"/>
        </w:rPr>
        <w:t>P&amp;C Industry</w:t>
      </w:r>
    </w:p>
    <w:p w14:paraId="40C048E6" w14:textId="0250ED73" w:rsidR="00DB26BE" w:rsidRDefault="00DB26BE" w:rsidP="00554691">
      <w:pPr>
        <w:jc w:val="center"/>
      </w:pPr>
      <w:r>
        <w:rPr>
          <w:noProof/>
        </w:rPr>
        <w:drawing>
          <wp:inline distT="0" distB="0" distL="0" distR="0" wp14:anchorId="75B206AD" wp14:editId="5F654B63">
            <wp:extent cx="5943600" cy="2893060"/>
            <wp:effectExtent l="0" t="0" r="0" b="2540"/>
            <wp:docPr id="131132565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25657" name="Picture 1311325657"/>
                    <pic:cNvPicPr/>
                  </pic:nvPicPr>
                  <pic:blipFill>
                    <a:blip r:embed="rId55" cstate="email">
                      <a:extLst>
                        <a:ext uri="{28A0092B-C50C-407E-A947-70E740481C1C}">
                          <a14:useLocalDpi xmlns:a14="http://schemas.microsoft.com/office/drawing/2010/main" val="0"/>
                        </a:ext>
                      </a:extLst>
                    </a:blip>
                    <a:stretch>
                      <a:fillRect/>
                    </a:stretch>
                  </pic:blipFill>
                  <pic:spPr>
                    <a:xfrm>
                      <a:off x="0" y="0"/>
                      <a:ext cx="5943600" cy="2893060"/>
                    </a:xfrm>
                    <a:prstGeom prst="rect">
                      <a:avLst/>
                    </a:prstGeom>
                  </pic:spPr>
                </pic:pic>
              </a:graphicData>
            </a:graphic>
          </wp:inline>
        </w:drawing>
      </w:r>
    </w:p>
    <w:p w14:paraId="29737BD1" w14:textId="0D204732" w:rsidR="00006A06" w:rsidRDefault="001C4896" w:rsidP="001C4896">
      <w:pPr>
        <w:jc w:val="left"/>
      </w:pPr>
      <w:r w:rsidRPr="00006A06">
        <w:rPr>
          <w:b/>
          <w:bCs/>
        </w:rPr>
        <w:t>Source:</w:t>
      </w:r>
      <w:r w:rsidR="005169F0">
        <w:rPr>
          <w:b/>
          <w:bCs/>
        </w:rPr>
        <w:t xml:space="preserve">  </w:t>
      </w:r>
      <w:r w:rsidR="005169F0" w:rsidRPr="005169F0">
        <w:t xml:space="preserve">NAIC Financial Regulatory </w:t>
      </w:r>
      <w:r w:rsidR="005169F0">
        <w:t xml:space="preserve">Services </w:t>
      </w:r>
      <w:r w:rsidR="005169F0" w:rsidRPr="005169F0">
        <w:t>Unit</w:t>
      </w:r>
    </w:p>
    <w:p w14:paraId="454A49B8" w14:textId="7CFCCDE3" w:rsidR="00E73597" w:rsidRDefault="00E73597">
      <w:pPr>
        <w:jc w:val="left"/>
      </w:pPr>
      <w:r>
        <w:br w:type="page"/>
      </w:r>
    </w:p>
    <w:p w14:paraId="4C978AE6" w14:textId="05F4C21C" w:rsidR="00E73597" w:rsidRDefault="00E73597" w:rsidP="00E73597">
      <w:pPr>
        <w:jc w:val="center"/>
      </w:pPr>
      <w:r>
        <w:rPr>
          <w:b/>
          <w:color w:val="002060"/>
          <w:sz w:val="36"/>
          <w:szCs w:val="36"/>
        </w:rPr>
        <w:t>Health</w:t>
      </w:r>
      <w:r w:rsidRPr="005322DC">
        <w:rPr>
          <w:b/>
          <w:color w:val="002060"/>
          <w:sz w:val="36"/>
          <w:szCs w:val="36"/>
        </w:rPr>
        <w:t xml:space="preserve"> Industry</w:t>
      </w:r>
    </w:p>
    <w:p w14:paraId="3027ABF6" w14:textId="16624AD0" w:rsidR="00E73597" w:rsidRDefault="00BC42E3" w:rsidP="00BC42E3">
      <w:pPr>
        <w:jc w:val="center"/>
      </w:pPr>
      <w:r>
        <w:rPr>
          <w:noProof/>
        </w:rPr>
        <w:drawing>
          <wp:inline distT="0" distB="0" distL="0" distR="0" wp14:anchorId="53DCD08C" wp14:editId="1D493E9B">
            <wp:extent cx="5676020" cy="3524250"/>
            <wp:effectExtent l="0" t="0" r="1270" b="0"/>
            <wp:docPr id="96749772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97729" name="Picture 967497729"/>
                    <pic:cNvPicPr/>
                  </pic:nvPicPr>
                  <pic:blipFill>
                    <a:blip r:embed="rId56">
                      <a:extLst>
                        <a:ext uri="{28A0092B-C50C-407E-A947-70E740481C1C}">
                          <a14:useLocalDpi xmlns:a14="http://schemas.microsoft.com/office/drawing/2010/main" val="0"/>
                        </a:ext>
                      </a:extLst>
                    </a:blip>
                    <a:stretch>
                      <a:fillRect/>
                    </a:stretch>
                  </pic:blipFill>
                  <pic:spPr>
                    <a:xfrm>
                      <a:off x="0" y="0"/>
                      <a:ext cx="5685640" cy="3530223"/>
                    </a:xfrm>
                    <a:prstGeom prst="rect">
                      <a:avLst/>
                    </a:prstGeom>
                  </pic:spPr>
                </pic:pic>
              </a:graphicData>
            </a:graphic>
          </wp:inline>
        </w:drawing>
      </w:r>
    </w:p>
    <w:p w14:paraId="71C7DE95" w14:textId="77777777" w:rsidR="00C87341" w:rsidRDefault="00C87341" w:rsidP="00C87341">
      <w:pPr>
        <w:jc w:val="left"/>
      </w:pPr>
      <w:r w:rsidRPr="00006A06">
        <w:rPr>
          <w:b/>
          <w:bCs/>
        </w:rPr>
        <w:t>Source:</w:t>
      </w:r>
      <w:r>
        <w:rPr>
          <w:b/>
          <w:bCs/>
        </w:rPr>
        <w:t xml:space="preserve">  </w:t>
      </w:r>
      <w:r w:rsidRPr="005169F0">
        <w:t xml:space="preserve">NAIC Financial Regulatory </w:t>
      </w:r>
      <w:r>
        <w:t xml:space="preserve">Services </w:t>
      </w:r>
      <w:r w:rsidRPr="005169F0">
        <w:t>Unit</w:t>
      </w:r>
    </w:p>
    <w:p w14:paraId="0151E90C" w14:textId="103B5F83" w:rsidR="00C87341" w:rsidRDefault="00AE3619" w:rsidP="00BC42E3">
      <w:pPr>
        <w:jc w:val="center"/>
      </w:pPr>
      <w:r>
        <w:rPr>
          <w:noProof/>
        </w:rPr>
        <w:drawing>
          <wp:inline distT="0" distB="0" distL="0" distR="0" wp14:anchorId="50CBDA50" wp14:editId="70CF6512">
            <wp:extent cx="5943600" cy="3258820"/>
            <wp:effectExtent l="0" t="0" r="0" b="0"/>
            <wp:docPr id="192647421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74213" name="Picture 1926474213"/>
                    <pic:cNvPicPr/>
                  </pic:nvPicPr>
                  <pic:blipFill>
                    <a:blip r:embed="rId57" cstate="email">
                      <a:extLst>
                        <a:ext uri="{28A0092B-C50C-407E-A947-70E740481C1C}">
                          <a14:useLocalDpi xmlns:a14="http://schemas.microsoft.com/office/drawing/2010/main" val="0"/>
                        </a:ext>
                      </a:extLst>
                    </a:blip>
                    <a:stretch>
                      <a:fillRect/>
                    </a:stretch>
                  </pic:blipFill>
                  <pic:spPr>
                    <a:xfrm>
                      <a:off x="0" y="0"/>
                      <a:ext cx="5943600" cy="3258820"/>
                    </a:xfrm>
                    <a:prstGeom prst="rect">
                      <a:avLst/>
                    </a:prstGeom>
                  </pic:spPr>
                </pic:pic>
              </a:graphicData>
            </a:graphic>
          </wp:inline>
        </w:drawing>
      </w:r>
    </w:p>
    <w:p w14:paraId="151B90F1" w14:textId="77777777" w:rsidR="00790E74" w:rsidRDefault="00790E74" w:rsidP="00790E74">
      <w:pPr>
        <w:jc w:val="left"/>
      </w:pPr>
      <w:r w:rsidRPr="00006A06">
        <w:rPr>
          <w:b/>
          <w:bCs/>
        </w:rPr>
        <w:t>Source:</w:t>
      </w:r>
      <w:r>
        <w:rPr>
          <w:b/>
          <w:bCs/>
        </w:rPr>
        <w:t xml:space="preserve">  </w:t>
      </w:r>
      <w:r w:rsidRPr="005169F0">
        <w:t xml:space="preserve">NAIC Financial Regulatory </w:t>
      </w:r>
      <w:r>
        <w:t xml:space="preserve">Services </w:t>
      </w:r>
      <w:r w:rsidRPr="005169F0">
        <w:t>Unit</w:t>
      </w:r>
    </w:p>
    <w:sectPr w:rsidR="00790E74" w:rsidSect="00611635">
      <w:headerReference w:type="even" r:id="rId58"/>
      <w:headerReference w:type="default" r:id="rId59"/>
      <w:footerReference w:type="even" r:id="rId60"/>
      <w:footerReference w:type="default" r:id="rId61"/>
      <w:headerReference w:type="first" r:id="rId62"/>
      <w:footerReference w:type="first" r:id="rId6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361EE" w14:textId="77777777" w:rsidR="004D72A2" w:rsidRDefault="004D72A2" w:rsidP="00320022">
      <w:pPr>
        <w:spacing w:after="0" w:line="240" w:lineRule="auto"/>
      </w:pPr>
      <w:r>
        <w:separator/>
      </w:r>
    </w:p>
  </w:endnote>
  <w:endnote w:type="continuationSeparator" w:id="0">
    <w:p w14:paraId="67111651" w14:textId="77777777" w:rsidR="004D72A2" w:rsidRDefault="004D72A2" w:rsidP="00320022">
      <w:pPr>
        <w:spacing w:after="0" w:line="240" w:lineRule="auto"/>
      </w:pPr>
      <w:r>
        <w:continuationSeparator/>
      </w:r>
    </w:p>
  </w:endnote>
  <w:endnote w:type="continuationNotice" w:id="1">
    <w:p w14:paraId="1FD0C9CE" w14:textId="77777777" w:rsidR="004D72A2" w:rsidRDefault="004D7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Gill Sans MT">
    <w:charset w:val="00"/>
    <w:family w:val="swiss"/>
    <w:pitch w:val="variable"/>
    <w:sig w:usb0="00000007" w:usb1="00000000" w:usb2="00000000" w:usb3="00000000" w:csb0="00000003" w:csb1="00000000"/>
  </w:font>
  <w:font w:name="Yu Mincho">
    <w:altName w:val="游明朝"/>
    <w:panose1 w:val="00000000000000000000"/>
    <w:charset w:val="80"/>
    <w:family w:val="roman"/>
    <w:notTrueType/>
    <w:pitch w:val="default"/>
  </w:font>
  <w:font w:name="Lucida Sans">
    <w:charset w:val="00"/>
    <w:family w:val="swiss"/>
    <w:pitch w:val="variable"/>
    <w:sig w:usb0="00000003" w:usb1="00000000" w:usb2="00000000" w:usb3="00000000" w:csb0="00000001"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B61C" w14:textId="77777777" w:rsidR="00774DB5" w:rsidRDefault="00774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206926"/>
      <w:docPartObj>
        <w:docPartGallery w:val="Page Numbers (Bottom of Page)"/>
        <w:docPartUnique/>
      </w:docPartObj>
    </w:sdtPr>
    <w:sdtEndPr>
      <w:rPr>
        <w:noProof/>
      </w:rPr>
    </w:sdtEndPr>
    <w:sdtContent>
      <w:p w14:paraId="4F7CA113" w14:textId="6854E60D" w:rsidR="00FF1959" w:rsidRDefault="00FF1959" w:rsidP="00FF1959">
        <w:pPr>
          <w:pStyle w:val="Footer"/>
        </w:pPr>
        <w:r>
          <w:rPr>
            <w:sz w:val="20"/>
            <w:szCs w:val="20"/>
          </w:rPr>
          <w:t>© 202</w:t>
        </w:r>
        <w:r w:rsidR="004B4BD7">
          <w:rPr>
            <w:sz w:val="20"/>
            <w:szCs w:val="20"/>
          </w:rPr>
          <w:t>6</w:t>
        </w:r>
        <w:r>
          <w:rPr>
            <w:sz w:val="20"/>
            <w:szCs w:val="20"/>
          </w:rPr>
          <w:t xml:space="preserve"> National Association of Insurance Commissioners</w:t>
        </w:r>
        <w:r>
          <w:rPr>
            <w:sz w:val="20"/>
            <w:szCs w:val="20"/>
          </w:rPr>
          <w:tab/>
        </w:r>
        <w:r>
          <w:rPr>
            <w:sz w:val="20"/>
            <w:szCs w:val="20"/>
          </w:rPr>
          <w:tab/>
        </w:r>
        <w:r w:rsidRPr="00FF1959">
          <w:rPr>
            <w:rFonts w:cstheme="minorHAnsi"/>
          </w:rPr>
          <w:fldChar w:fldCharType="begin"/>
        </w:r>
        <w:r w:rsidRPr="00FF1959">
          <w:rPr>
            <w:rFonts w:cstheme="minorHAnsi"/>
          </w:rPr>
          <w:instrText xml:space="preserve"> PAGE   \* MERGEFORMAT </w:instrText>
        </w:r>
        <w:r w:rsidRPr="00FF1959">
          <w:rPr>
            <w:rFonts w:cstheme="minorHAnsi"/>
          </w:rPr>
          <w:fldChar w:fldCharType="separate"/>
        </w:r>
        <w:r w:rsidRPr="00FF1959">
          <w:rPr>
            <w:rFonts w:cstheme="minorHAnsi"/>
          </w:rPr>
          <w:t>2</w:t>
        </w:r>
        <w:r w:rsidRPr="00FF1959">
          <w:rPr>
            <w:rFonts w:cstheme="minorHAnsi"/>
            <w:noProof/>
          </w:rPr>
          <w:fldChar w:fldCharType="end"/>
        </w:r>
      </w:p>
      <w:p w14:paraId="77AF2A36" w14:textId="7B3C4043" w:rsidR="00FF1959" w:rsidRDefault="006974DB" w:rsidP="00FF1959">
        <w:pPr>
          <w:pStyle w:val="Footer"/>
        </w:pPr>
      </w:p>
    </w:sdtContent>
  </w:sdt>
  <w:p w14:paraId="75E993C9" w14:textId="3B419169" w:rsidR="002848D6" w:rsidRDefault="002848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D310" w14:textId="77777777" w:rsidR="00774DB5" w:rsidRDefault="00774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FBF49" w14:textId="77777777" w:rsidR="004D72A2" w:rsidRDefault="004D72A2" w:rsidP="00320022">
      <w:pPr>
        <w:spacing w:after="0" w:line="240" w:lineRule="auto"/>
      </w:pPr>
      <w:r>
        <w:separator/>
      </w:r>
    </w:p>
  </w:footnote>
  <w:footnote w:type="continuationSeparator" w:id="0">
    <w:p w14:paraId="592DC54F" w14:textId="77777777" w:rsidR="004D72A2" w:rsidRDefault="004D72A2" w:rsidP="00320022">
      <w:pPr>
        <w:spacing w:after="0" w:line="240" w:lineRule="auto"/>
      </w:pPr>
      <w:r>
        <w:continuationSeparator/>
      </w:r>
    </w:p>
  </w:footnote>
  <w:footnote w:type="continuationNotice" w:id="1">
    <w:p w14:paraId="6A2F3F0F" w14:textId="77777777" w:rsidR="004D72A2" w:rsidRDefault="004D72A2">
      <w:pPr>
        <w:spacing w:after="0" w:line="240" w:lineRule="auto"/>
      </w:pPr>
    </w:p>
  </w:footnote>
  <w:footnote w:id="2">
    <w:p w14:paraId="1F729E46" w14:textId="4F5B5260" w:rsidR="00836E11" w:rsidRDefault="00836E11">
      <w:pPr>
        <w:pStyle w:val="FootnoteText"/>
      </w:pPr>
      <w:r>
        <w:rPr>
          <w:rStyle w:val="FootnoteReference"/>
        </w:rPr>
        <w:footnoteRef/>
      </w:r>
      <w:r>
        <w:t xml:space="preserve"> For more information on the IAIS GME</w:t>
      </w:r>
      <w:r w:rsidR="00537475">
        <w:t>,</w:t>
      </w:r>
      <w:r>
        <w:t xml:space="preserve"> as an integral element of the IAIS Holistic Framework, please visit </w:t>
      </w:r>
      <w:hyperlink r:id="rId1" w:history="1">
        <w:r w:rsidRPr="00836E11">
          <w:rPr>
            <w:rStyle w:val="Hyperlink"/>
          </w:rPr>
          <w:t>iais.org</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5806" w14:textId="77777777" w:rsidR="00774DB5" w:rsidRDefault="00774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A5E5" w14:textId="022645D8" w:rsidR="00320022" w:rsidRPr="00320022" w:rsidRDefault="006974DB" w:rsidP="00320022">
    <w:pPr>
      <w:pStyle w:val="Header"/>
    </w:pPr>
    <w:sdt>
      <w:sdtPr>
        <w:id w:val="581184114"/>
        <w:docPartObj>
          <w:docPartGallery w:val="Watermarks"/>
          <w:docPartUnique/>
        </w:docPartObj>
      </w:sdtPr>
      <w:sdtContent>
        <w:r>
          <w:rPr>
            <w:noProof/>
          </w:rPr>
          <w:pict w14:anchorId="3825DB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3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9704D" w:rsidRPr="001266E0">
      <w:rPr>
        <w:noProof/>
      </w:rPr>
      <mc:AlternateContent>
        <mc:Choice Requires="wps">
          <w:drawing>
            <wp:anchor distT="0" distB="0" distL="114300" distR="114300" simplePos="0" relativeHeight="251658242" behindDoc="0" locked="0" layoutInCell="1" allowOverlap="1" wp14:anchorId="3479B733" wp14:editId="1BF0AB75">
              <wp:simplePos x="0" y="0"/>
              <wp:positionH relativeFrom="column">
                <wp:posOffset>3057525</wp:posOffset>
              </wp:positionH>
              <wp:positionV relativeFrom="paragraph">
                <wp:posOffset>106350</wp:posOffset>
              </wp:positionV>
              <wp:extent cx="478790" cy="219710"/>
              <wp:effectExtent l="0" t="19050" r="0" b="8890"/>
              <wp:wrapNone/>
              <wp:docPr id="4" name="Freeform 1286">
                <a:extLst xmlns:a="http://schemas.openxmlformats.org/drawingml/2006/main">
                  <a:ext uri="{FF2B5EF4-FFF2-40B4-BE49-F238E27FC236}">
                    <a16:creationId xmlns:a16="http://schemas.microsoft.com/office/drawing/2014/main" id="{B36FFC7F-E06F-544A-BFE2-7A3AB8444EC4}"/>
                  </a:ext>
                </a:extLst>
              </wp:docPr>
              <wp:cNvGraphicFramePr/>
              <a:graphic xmlns:a="http://schemas.openxmlformats.org/drawingml/2006/main">
                <a:graphicData uri="http://schemas.microsoft.com/office/word/2010/wordprocessingShape">
                  <wps:wsp>
                    <wps:cNvSpPr/>
                    <wps:spPr>
                      <a:xfrm>
                        <a:off x="0" y="0"/>
                        <a:ext cx="478790" cy="219710"/>
                      </a:xfrm>
                      <a:custGeom>
                        <a:avLst/>
                        <a:gdLst/>
                        <a:ahLst/>
                        <a:cxnLst>
                          <a:cxn ang="3cd4">
                            <a:pos x="hc" y="t"/>
                          </a:cxn>
                          <a:cxn ang="cd2">
                            <a:pos x="l" y="vc"/>
                          </a:cxn>
                          <a:cxn ang="cd4">
                            <a:pos x="hc" y="b"/>
                          </a:cxn>
                          <a:cxn ang="0">
                            <a:pos x="r" y="vc"/>
                          </a:cxn>
                        </a:cxnLst>
                        <a:rect l="l" t="t" r="r" b="b"/>
                        <a:pathLst>
                          <a:path w="1332" h="612">
                            <a:moveTo>
                              <a:pt x="1272" y="274"/>
                            </a:moveTo>
                            <a:cubicBezTo>
                              <a:pt x="1268" y="284"/>
                              <a:pt x="1259" y="291"/>
                              <a:pt x="1249" y="295"/>
                            </a:cubicBezTo>
                            <a:cubicBezTo>
                              <a:pt x="1248" y="295"/>
                              <a:pt x="1248" y="296"/>
                              <a:pt x="1247" y="296"/>
                            </a:cubicBezTo>
                            <a:cubicBezTo>
                              <a:pt x="1044" y="392"/>
                              <a:pt x="709" y="548"/>
                              <a:pt x="675" y="555"/>
                            </a:cubicBezTo>
                            <a:cubicBezTo>
                              <a:pt x="630" y="564"/>
                              <a:pt x="578" y="539"/>
                              <a:pt x="513" y="507"/>
                            </a:cubicBezTo>
                            <a:cubicBezTo>
                              <a:pt x="442" y="473"/>
                              <a:pt x="354" y="430"/>
                              <a:pt x="245" y="424"/>
                            </a:cubicBezTo>
                            <a:lnTo>
                              <a:pt x="218" y="421"/>
                            </a:lnTo>
                            <a:lnTo>
                              <a:pt x="221" y="143"/>
                            </a:lnTo>
                            <a:lnTo>
                              <a:pt x="307" y="143"/>
                            </a:lnTo>
                            <a:cubicBezTo>
                              <a:pt x="325" y="143"/>
                              <a:pt x="374" y="144"/>
                              <a:pt x="398" y="149"/>
                            </a:cubicBezTo>
                            <a:cubicBezTo>
                              <a:pt x="432" y="155"/>
                              <a:pt x="452" y="171"/>
                              <a:pt x="474" y="190"/>
                            </a:cubicBezTo>
                            <a:cubicBezTo>
                              <a:pt x="498" y="210"/>
                              <a:pt x="525" y="232"/>
                              <a:pt x="569" y="243"/>
                            </a:cubicBezTo>
                            <a:cubicBezTo>
                              <a:pt x="633" y="259"/>
                              <a:pt x="812" y="250"/>
                              <a:pt x="838" y="248"/>
                            </a:cubicBezTo>
                            <a:cubicBezTo>
                              <a:pt x="861" y="250"/>
                              <a:pt x="880" y="269"/>
                              <a:pt x="879" y="293"/>
                            </a:cubicBezTo>
                            <a:cubicBezTo>
                              <a:pt x="878" y="316"/>
                              <a:pt x="859" y="335"/>
                              <a:pt x="836" y="335"/>
                            </a:cubicBezTo>
                            <a:cubicBezTo>
                              <a:pt x="835" y="335"/>
                              <a:pt x="835" y="335"/>
                              <a:pt x="835" y="335"/>
                            </a:cubicBezTo>
                            <a:cubicBezTo>
                              <a:pt x="834" y="335"/>
                              <a:pt x="834" y="335"/>
                              <a:pt x="834" y="335"/>
                            </a:cubicBezTo>
                            <a:lnTo>
                              <a:pt x="572" y="330"/>
                            </a:lnTo>
                            <a:cubicBezTo>
                              <a:pt x="563" y="330"/>
                              <a:pt x="555" y="334"/>
                              <a:pt x="549" y="342"/>
                            </a:cubicBezTo>
                            <a:lnTo>
                              <a:pt x="516" y="389"/>
                            </a:lnTo>
                            <a:cubicBezTo>
                              <a:pt x="507" y="401"/>
                              <a:pt x="509" y="418"/>
                              <a:pt x="522" y="427"/>
                            </a:cubicBezTo>
                            <a:cubicBezTo>
                              <a:pt x="527" y="431"/>
                              <a:pt x="532" y="432"/>
                              <a:pt x="538" y="432"/>
                            </a:cubicBezTo>
                            <a:cubicBezTo>
                              <a:pt x="546" y="432"/>
                              <a:pt x="555" y="428"/>
                              <a:pt x="560" y="421"/>
                            </a:cubicBezTo>
                            <a:lnTo>
                              <a:pt x="586" y="385"/>
                            </a:lnTo>
                            <a:lnTo>
                              <a:pt x="833" y="390"/>
                            </a:lnTo>
                            <a:cubicBezTo>
                              <a:pt x="876" y="391"/>
                              <a:pt x="914" y="364"/>
                              <a:pt x="928" y="326"/>
                            </a:cubicBezTo>
                            <a:cubicBezTo>
                              <a:pt x="929" y="326"/>
                              <a:pt x="929" y="325"/>
                              <a:pt x="930" y="325"/>
                            </a:cubicBezTo>
                            <a:cubicBezTo>
                              <a:pt x="932" y="324"/>
                              <a:pt x="1087" y="261"/>
                              <a:pt x="1218" y="214"/>
                            </a:cubicBezTo>
                            <a:cubicBezTo>
                              <a:pt x="1229" y="211"/>
                              <a:pt x="1241" y="211"/>
                              <a:pt x="1251" y="216"/>
                            </a:cubicBezTo>
                            <a:cubicBezTo>
                              <a:pt x="1261" y="221"/>
                              <a:pt x="1269" y="230"/>
                              <a:pt x="1273" y="241"/>
                            </a:cubicBezTo>
                            <a:lnTo>
                              <a:pt x="1274" y="242"/>
                            </a:lnTo>
                            <a:cubicBezTo>
                              <a:pt x="1278" y="253"/>
                              <a:pt x="1277" y="264"/>
                              <a:pt x="1272" y="274"/>
                            </a:cubicBezTo>
                            <a:close/>
                            <a:moveTo>
                              <a:pt x="1326" y="224"/>
                            </a:moveTo>
                            <a:lnTo>
                              <a:pt x="1325" y="222"/>
                            </a:lnTo>
                            <a:cubicBezTo>
                              <a:pt x="1316" y="197"/>
                              <a:pt x="1298" y="177"/>
                              <a:pt x="1275" y="166"/>
                            </a:cubicBezTo>
                            <a:cubicBezTo>
                              <a:pt x="1251" y="155"/>
                              <a:pt x="1224" y="154"/>
                              <a:pt x="1199" y="163"/>
                            </a:cubicBezTo>
                            <a:cubicBezTo>
                              <a:pt x="1096" y="200"/>
                              <a:pt x="978" y="246"/>
                              <a:pt x="931" y="265"/>
                            </a:cubicBezTo>
                            <a:cubicBezTo>
                              <a:pt x="919" y="225"/>
                              <a:pt x="883" y="194"/>
                              <a:pt x="839" y="193"/>
                            </a:cubicBezTo>
                            <a:cubicBezTo>
                              <a:pt x="838" y="193"/>
                              <a:pt x="837" y="193"/>
                              <a:pt x="836" y="193"/>
                            </a:cubicBezTo>
                            <a:cubicBezTo>
                              <a:pt x="782" y="196"/>
                              <a:pt x="631" y="202"/>
                              <a:pt x="582" y="189"/>
                            </a:cubicBezTo>
                            <a:cubicBezTo>
                              <a:pt x="550" y="181"/>
                              <a:pt x="531" y="166"/>
                              <a:pt x="510" y="147"/>
                            </a:cubicBezTo>
                            <a:cubicBezTo>
                              <a:pt x="485" y="127"/>
                              <a:pt x="457" y="103"/>
                              <a:pt x="409" y="94"/>
                            </a:cubicBezTo>
                            <a:cubicBezTo>
                              <a:pt x="375" y="88"/>
                              <a:pt x="310" y="88"/>
                              <a:pt x="307" y="88"/>
                            </a:cubicBezTo>
                            <a:lnTo>
                              <a:pt x="221" y="88"/>
                            </a:lnTo>
                            <a:cubicBezTo>
                              <a:pt x="218" y="39"/>
                              <a:pt x="186" y="1"/>
                              <a:pt x="145" y="1"/>
                            </a:cubicBezTo>
                            <a:lnTo>
                              <a:pt x="34" y="0"/>
                            </a:lnTo>
                            <a:cubicBezTo>
                              <a:pt x="19" y="-1"/>
                              <a:pt x="7" y="12"/>
                              <a:pt x="6" y="27"/>
                            </a:cubicBezTo>
                            <a:cubicBezTo>
                              <a:pt x="6" y="42"/>
                              <a:pt x="18" y="55"/>
                              <a:pt x="34" y="55"/>
                            </a:cubicBezTo>
                            <a:lnTo>
                              <a:pt x="145" y="56"/>
                            </a:lnTo>
                            <a:cubicBezTo>
                              <a:pt x="155" y="56"/>
                              <a:pt x="167" y="74"/>
                              <a:pt x="166" y="97"/>
                            </a:cubicBezTo>
                            <a:lnTo>
                              <a:pt x="162" y="474"/>
                            </a:lnTo>
                            <a:cubicBezTo>
                              <a:pt x="162" y="497"/>
                              <a:pt x="150" y="514"/>
                              <a:pt x="139" y="514"/>
                            </a:cubicBezTo>
                            <a:lnTo>
                              <a:pt x="28" y="513"/>
                            </a:lnTo>
                            <a:cubicBezTo>
                              <a:pt x="13" y="513"/>
                              <a:pt x="0" y="525"/>
                              <a:pt x="0" y="540"/>
                            </a:cubicBezTo>
                            <a:cubicBezTo>
                              <a:pt x="0" y="555"/>
                              <a:pt x="12" y="568"/>
                              <a:pt x="28" y="568"/>
                            </a:cubicBezTo>
                            <a:lnTo>
                              <a:pt x="139" y="569"/>
                            </a:lnTo>
                            <a:cubicBezTo>
                              <a:pt x="182" y="569"/>
                              <a:pt x="216" y="529"/>
                              <a:pt x="217" y="477"/>
                            </a:cubicBezTo>
                            <a:lnTo>
                              <a:pt x="240" y="479"/>
                            </a:lnTo>
                            <a:cubicBezTo>
                              <a:pt x="241" y="479"/>
                              <a:pt x="241" y="479"/>
                              <a:pt x="241" y="479"/>
                            </a:cubicBezTo>
                            <a:cubicBezTo>
                              <a:pt x="339" y="484"/>
                              <a:pt x="419" y="523"/>
                              <a:pt x="489" y="557"/>
                            </a:cubicBezTo>
                            <a:cubicBezTo>
                              <a:pt x="549" y="586"/>
                              <a:pt x="602" y="612"/>
                              <a:pt x="655" y="612"/>
                            </a:cubicBezTo>
                            <a:cubicBezTo>
                              <a:pt x="665" y="612"/>
                              <a:pt x="676" y="611"/>
                              <a:pt x="686" y="609"/>
                            </a:cubicBezTo>
                            <a:cubicBezTo>
                              <a:pt x="737" y="599"/>
                              <a:pt x="1178" y="390"/>
                              <a:pt x="1269" y="346"/>
                            </a:cubicBezTo>
                            <a:cubicBezTo>
                              <a:pt x="1293" y="338"/>
                              <a:pt x="1312" y="320"/>
                              <a:pt x="1322" y="297"/>
                            </a:cubicBezTo>
                            <a:cubicBezTo>
                              <a:pt x="1333" y="274"/>
                              <a:pt x="1335" y="248"/>
                              <a:pt x="1326" y="224"/>
                            </a:cubicBezTo>
                            <a:close/>
                          </a:path>
                        </a:pathLst>
                      </a:custGeom>
                      <a:solidFill>
                        <a:schemeClr val="bg1"/>
                      </a:solidFill>
                      <a:ln cap="flat">
                        <a:noFill/>
                        <a:prstDash val="solid"/>
                      </a:ln>
                    </wps:spPr>
                    <wps:bodyPr vert="horz" wrap="none" lIns="90000" tIns="45000" rIns="90000" bIns="45000" anchor="ctr" anchorCtr="1" compatLnSpc="0"/>
                  </wps:wsp>
                </a:graphicData>
              </a:graphic>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671B0DC7">
            <v:shape id="Freeform 1286" style="position:absolute;margin-left:240.75pt;margin-top:8.35pt;width:37.7pt;height:17.3pt;z-index:251658242;visibility:visible;mso-wrap-style:none;mso-wrap-distance-left:9pt;mso-wrap-distance-top:0;mso-wrap-distance-right:9pt;mso-wrap-distance-bottom:0;mso-position-horizontal:absolute;mso-position-horizontal-relative:text;mso-position-vertical:absolute;mso-position-vertical-relative:text;v-text-anchor:middle-center" coordsize="1332,612" o:spid="_x0000_s1026" fillcolor="white [3212]" stroked="f" path="m1272,274v-4,10,-13,17,-23,21c1248,295,1248,296,1247,296,1044,392,709,548,675,555v-45,9,-97,-16,-162,-48c442,473,354,430,245,424r-27,-3l221,143r86,c325,143,374,144,398,149v34,6,54,22,76,41c498,210,525,232,569,243v64,16,243,7,269,5c861,250,880,269,879,293v-1,23,-20,42,-43,42c835,335,835,335,835,335v-1,,-1,,-1,l572,330v-9,,-17,4,-23,12l516,389v-9,12,-7,29,6,38c527,431,532,432,538,432v8,,17,-4,22,-11l586,385r247,5c876,391,914,364,928,326v1,,1,-1,2,-1c932,324,1087,261,1218,214v11,-3,23,-3,33,2c1261,221,1269,230,1273,241r1,1c1278,253,1277,264,1272,274xm1326,224r-1,-2c1316,197,1298,177,1275,166v-24,-11,-51,-12,-76,-3c1096,200,978,246,931,265,919,225,883,194,839,193v-1,,-2,,-3,c782,196,631,202,582,189v-32,-8,-51,-23,-72,-42c485,127,457,103,409,94,375,88,310,88,307,88r-86,c218,39,186,1,145,1l34,c19,-1,7,12,6,27v,15,12,28,28,28l145,56v10,,22,18,21,41l162,474v,23,-12,40,-23,40l28,513c13,513,,525,,540v,15,12,28,28,28l139,569v43,,77,-40,78,-92l240,479v1,,1,,1,c339,484,419,523,489,557v60,29,113,55,166,55c665,612,676,611,686,609v51,-10,492,-219,583,-263c1293,338,1312,320,1322,297v11,-23,13,-49,4,-7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" w14:anchorId="4A5BE0CB">
              <v:path arrowok="t" o:connecttype="custom" o:connectlocs="239395,0;0,109855;239395,219710;478790,109855" o:connectangles="270,180,90,0"/>
            </v:shape>
          </w:pict>
        </mc:Fallback>
      </mc:AlternateContent>
    </w:r>
    <w:r w:rsidR="0019704D" w:rsidRPr="001266E0">
      <w:rPr>
        <w:noProof/>
      </w:rPr>
      <mc:AlternateContent>
        <mc:Choice Requires="wps">
          <w:drawing>
            <wp:anchor distT="0" distB="0" distL="114300" distR="114300" simplePos="0" relativeHeight="251658241" behindDoc="0" locked="0" layoutInCell="1" allowOverlap="1" wp14:anchorId="55E6226A" wp14:editId="085DDF36">
              <wp:simplePos x="0" y="0"/>
              <wp:positionH relativeFrom="column">
                <wp:posOffset>3124200</wp:posOffset>
              </wp:positionH>
              <wp:positionV relativeFrom="paragraph">
                <wp:posOffset>-285445</wp:posOffset>
              </wp:positionV>
              <wp:extent cx="325120" cy="325120"/>
              <wp:effectExtent l="0" t="0" r="0" b="0"/>
              <wp:wrapNone/>
              <wp:docPr id="3" name="Freeform 1287">
                <a:extLst xmlns:a="http://schemas.openxmlformats.org/drawingml/2006/main">
                  <a:ext uri="{FF2B5EF4-FFF2-40B4-BE49-F238E27FC236}">
                    <a16:creationId xmlns:a16="http://schemas.microsoft.com/office/drawing/2014/main" id="{888B5DB2-09EA-C94B-BF43-12A831F65C21}"/>
                  </a:ext>
                </a:extLst>
              </wp:docPr>
              <wp:cNvGraphicFramePr/>
              <a:graphic xmlns:a="http://schemas.openxmlformats.org/drawingml/2006/main">
                <a:graphicData uri="http://schemas.microsoft.com/office/word/2010/wordprocessingShape">
                  <wps:wsp>
                    <wps:cNvSpPr/>
                    <wps:spPr>
                      <a:xfrm>
                        <a:off x="0" y="0"/>
                        <a:ext cx="325120" cy="325120"/>
                      </a:xfrm>
                      <a:custGeom>
                        <a:avLst/>
                        <a:gdLst/>
                        <a:ahLst/>
                        <a:cxnLst>
                          <a:cxn ang="3cd4">
                            <a:pos x="hc" y="t"/>
                          </a:cxn>
                          <a:cxn ang="cd2">
                            <a:pos x="l" y="vc"/>
                          </a:cxn>
                          <a:cxn ang="cd4">
                            <a:pos x="hc" y="b"/>
                          </a:cxn>
                          <a:cxn ang="0">
                            <a:pos x="r" y="vc"/>
                          </a:cxn>
                        </a:cxnLst>
                        <a:rect l="l" t="t" r="r" b="b"/>
                        <a:pathLst>
                          <a:path w="905" h="905">
                            <a:moveTo>
                              <a:pt x="169" y="175"/>
                            </a:moveTo>
                            <a:cubicBezTo>
                              <a:pt x="195" y="192"/>
                              <a:pt x="222" y="206"/>
                              <a:pt x="251" y="218"/>
                            </a:cubicBezTo>
                            <a:cubicBezTo>
                              <a:pt x="213" y="284"/>
                              <a:pt x="192" y="354"/>
                              <a:pt x="186" y="425"/>
                            </a:cubicBezTo>
                            <a:lnTo>
                              <a:pt x="57" y="425"/>
                            </a:lnTo>
                            <a:cubicBezTo>
                              <a:pt x="63" y="328"/>
                              <a:pt x="105" y="241"/>
                              <a:pt x="169" y="175"/>
                            </a:cubicBezTo>
                            <a:close/>
                            <a:moveTo>
                              <a:pt x="849" y="425"/>
                            </a:moveTo>
                            <a:lnTo>
                              <a:pt x="720" y="425"/>
                            </a:lnTo>
                            <a:cubicBezTo>
                              <a:pt x="717" y="355"/>
                              <a:pt x="698" y="285"/>
                              <a:pt x="663" y="219"/>
                            </a:cubicBezTo>
                            <a:cubicBezTo>
                              <a:pt x="690" y="208"/>
                              <a:pt x="715" y="195"/>
                              <a:pt x="740" y="179"/>
                            </a:cubicBezTo>
                            <a:cubicBezTo>
                              <a:pt x="802" y="244"/>
                              <a:pt x="842" y="330"/>
                              <a:pt x="849" y="425"/>
                            </a:cubicBezTo>
                            <a:close/>
                            <a:moveTo>
                              <a:pt x="736" y="730"/>
                            </a:moveTo>
                            <a:cubicBezTo>
                              <a:pt x="710" y="713"/>
                              <a:pt x="683" y="699"/>
                              <a:pt x="655" y="687"/>
                            </a:cubicBezTo>
                            <a:cubicBezTo>
                              <a:pt x="692" y="621"/>
                              <a:pt x="714" y="551"/>
                              <a:pt x="719" y="480"/>
                            </a:cubicBezTo>
                            <a:lnTo>
                              <a:pt x="849" y="480"/>
                            </a:lnTo>
                            <a:cubicBezTo>
                              <a:pt x="842" y="577"/>
                              <a:pt x="800" y="665"/>
                              <a:pt x="736" y="730"/>
                            </a:cubicBezTo>
                            <a:close/>
                            <a:moveTo>
                              <a:pt x="351" y="837"/>
                            </a:moveTo>
                            <a:cubicBezTo>
                              <a:pt x="298" y="823"/>
                              <a:pt x="250" y="798"/>
                              <a:pt x="208" y="765"/>
                            </a:cubicBezTo>
                            <a:cubicBezTo>
                              <a:pt x="228" y="754"/>
                              <a:pt x="249" y="744"/>
                              <a:pt x="270" y="735"/>
                            </a:cubicBezTo>
                            <a:cubicBezTo>
                              <a:pt x="293" y="770"/>
                              <a:pt x="320" y="804"/>
                              <a:pt x="351" y="837"/>
                            </a:cubicBezTo>
                            <a:close/>
                            <a:moveTo>
                              <a:pt x="625" y="735"/>
                            </a:moveTo>
                            <a:cubicBezTo>
                              <a:pt x="649" y="744"/>
                              <a:pt x="671" y="755"/>
                              <a:pt x="693" y="768"/>
                            </a:cubicBezTo>
                            <a:cubicBezTo>
                              <a:pt x="647" y="803"/>
                              <a:pt x="594" y="829"/>
                              <a:pt x="535" y="841"/>
                            </a:cubicBezTo>
                            <a:cubicBezTo>
                              <a:pt x="570" y="807"/>
                              <a:pt x="600" y="771"/>
                              <a:pt x="625" y="735"/>
                            </a:cubicBezTo>
                            <a:close/>
                            <a:moveTo>
                              <a:pt x="444" y="849"/>
                            </a:moveTo>
                            <a:cubicBezTo>
                              <a:pt x="396" y="807"/>
                              <a:pt x="356" y="763"/>
                              <a:pt x="325" y="717"/>
                            </a:cubicBezTo>
                            <a:cubicBezTo>
                              <a:pt x="367" y="706"/>
                              <a:pt x="411" y="700"/>
                              <a:pt x="455" y="701"/>
                            </a:cubicBezTo>
                            <a:cubicBezTo>
                              <a:pt x="494" y="702"/>
                              <a:pt x="533" y="707"/>
                              <a:pt x="570" y="717"/>
                            </a:cubicBezTo>
                            <a:cubicBezTo>
                              <a:pt x="537" y="763"/>
                              <a:pt x="494" y="807"/>
                              <a:pt x="444" y="849"/>
                            </a:cubicBezTo>
                            <a:close/>
                            <a:moveTo>
                              <a:pt x="664" y="480"/>
                            </a:moveTo>
                            <a:cubicBezTo>
                              <a:pt x="658" y="545"/>
                              <a:pt x="637" y="608"/>
                              <a:pt x="602" y="668"/>
                            </a:cubicBezTo>
                            <a:cubicBezTo>
                              <a:pt x="555" y="654"/>
                              <a:pt x="506" y="647"/>
                              <a:pt x="456" y="646"/>
                            </a:cubicBezTo>
                            <a:cubicBezTo>
                              <a:pt x="401" y="645"/>
                              <a:pt x="347" y="652"/>
                              <a:pt x="295" y="668"/>
                            </a:cubicBezTo>
                            <a:cubicBezTo>
                              <a:pt x="262" y="607"/>
                              <a:pt x="244" y="544"/>
                              <a:pt x="241" y="480"/>
                            </a:cubicBezTo>
                            <a:close/>
                            <a:moveTo>
                              <a:pt x="450" y="260"/>
                            </a:moveTo>
                            <a:cubicBezTo>
                              <a:pt x="453" y="260"/>
                              <a:pt x="456" y="260"/>
                              <a:pt x="458" y="260"/>
                            </a:cubicBezTo>
                            <a:cubicBezTo>
                              <a:pt x="510" y="260"/>
                              <a:pt x="562" y="252"/>
                              <a:pt x="611" y="238"/>
                            </a:cubicBezTo>
                            <a:cubicBezTo>
                              <a:pt x="644" y="298"/>
                              <a:pt x="662" y="361"/>
                              <a:pt x="665" y="425"/>
                            </a:cubicBezTo>
                            <a:lnTo>
                              <a:pt x="242" y="425"/>
                            </a:lnTo>
                            <a:cubicBezTo>
                              <a:pt x="247" y="361"/>
                              <a:pt x="268" y="298"/>
                              <a:pt x="304" y="237"/>
                            </a:cubicBezTo>
                            <a:cubicBezTo>
                              <a:pt x="351" y="251"/>
                              <a:pt x="400" y="259"/>
                              <a:pt x="450" y="260"/>
                            </a:cubicBezTo>
                            <a:close/>
                            <a:moveTo>
                              <a:pt x="554" y="69"/>
                            </a:moveTo>
                            <a:cubicBezTo>
                              <a:pt x="607" y="83"/>
                              <a:pt x="656" y="108"/>
                              <a:pt x="697" y="140"/>
                            </a:cubicBezTo>
                            <a:cubicBezTo>
                              <a:pt x="677" y="152"/>
                              <a:pt x="657" y="162"/>
                              <a:pt x="635" y="171"/>
                            </a:cubicBezTo>
                            <a:cubicBezTo>
                              <a:pt x="613" y="136"/>
                              <a:pt x="586" y="102"/>
                              <a:pt x="554" y="69"/>
                            </a:cubicBezTo>
                            <a:close/>
                            <a:moveTo>
                              <a:pt x="280" y="170"/>
                            </a:moveTo>
                            <a:cubicBezTo>
                              <a:pt x="257" y="161"/>
                              <a:pt x="234" y="150"/>
                              <a:pt x="212" y="137"/>
                            </a:cubicBezTo>
                            <a:cubicBezTo>
                              <a:pt x="258" y="102"/>
                              <a:pt x="312" y="77"/>
                              <a:pt x="370" y="64"/>
                            </a:cubicBezTo>
                            <a:cubicBezTo>
                              <a:pt x="335" y="99"/>
                              <a:pt x="306" y="134"/>
                              <a:pt x="280" y="170"/>
                            </a:cubicBezTo>
                            <a:close/>
                            <a:moveTo>
                              <a:pt x="461" y="56"/>
                            </a:moveTo>
                            <a:cubicBezTo>
                              <a:pt x="510" y="99"/>
                              <a:pt x="549" y="143"/>
                              <a:pt x="581" y="189"/>
                            </a:cubicBezTo>
                            <a:cubicBezTo>
                              <a:pt x="539" y="200"/>
                              <a:pt x="495" y="205"/>
                              <a:pt x="451" y="204"/>
                            </a:cubicBezTo>
                            <a:cubicBezTo>
                              <a:pt x="411" y="204"/>
                              <a:pt x="373" y="198"/>
                              <a:pt x="335" y="189"/>
                            </a:cubicBezTo>
                            <a:cubicBezTo>
                              <a:pt x="369" y="142"/>
                              <a:pt x="411" y="98"/>
                              <a:pt x="461" y="56"/>
                            </a:cubicBezTo>
                            <a:close/>
                            <a:moveTo>
                              <a:pt x="185" y="480"/>
                            </a:moveTo>
                            <a:cubicBezTo>
                              <a:pt x="188" y="551"/>
                              <a:pt x="207" y="620"/>
                              <a:pt x="242" y="687"/>
                            </a:cubicBezTo>
                            <a:cubicBezTo>
                              <a:pt x="216" y="698"/>
                              <a:pt x="190" y="711"/>
                              <a:pt x="165" y="727"/>
                            </a:cubicBezTo>
                            <a:cubicBezTo>
                              <a:pt x="103" y="662"/>
                              <a:pt x="63" y="575"/>
                              <a:pt x="57" y="480"/>
                            </a:cubicBezTo>
                            <a:close/>
                            <a:moveTo>
                              <a:pt x="429" y="904"/>
                            </a:moveTo>
                            <a:cubicBezTo>
                              <a:pt x="431" y="905"/>
                              <a:pt x="433" y="905"/>
                              <a:pt x="435" y="905"/>
                            </a:cubicBezTo>
                            <a:cubicBezTo>
                              <a:pt x="436" y="905"/>
                              <a:pt x="437" y="905"/>
                              <a:pt x="438" y="905"/>
                            </a:cubicBezTo>
                            <a:cubicBezTo>
                              <a:pt x="443" y="905"/>
                              <a:pt x="448" y="905"/>
                              <a:pt x="453" y="905"/>
                            </a:cubicBezTo>
                            <a:cubicBezTo>
                              <a:pt x="564" y="905"/>
                              <a:pt x="670" y="865"/>
                              <a:pt x="753" y="791"/>
                            </a:cubicBezTo>
                            <a:cubicBezTo>
                              <a:pt x="757" y="789"/>
                              <a:pt x="760" y="786"/>
                              <a:pt x="763" y="782"/>
                            </a:cubicBezTo>
                            <a:lnTo>
                              <a:pt x="764" y="781"/>
                            </a:lnTo>
                            <a:cubicBezTo>
                              <a:pt x="767" y="778"/>
                              <a:pt x="770" y="775"/>
                              <a:pt x="772" y="773"/>
                            </a:cubicBezTo>
                            <a:cubicBezTo>
                              <a:pt x="858" y="687"/>
                              <a:pt x="905" y="574"/>
                              <a:pt x="905" y="453"/>
                            </a:cubicBezTo>
                            <a:cubicBezTo>
                              <a:pt x="905" y="332"/>
                              <a:pt x="858" y="218"/>
                              <a:pt x="772" y="133"/>
                            </a:cubicBezTo>
                            <a:cubicBezTo>
                              <a:pt x="693" y="53"/>
                              <a:pt x="589" y="7"/>
                              <a:pt x="477" y="1"/>
                            </a:cubicBezTo>
                            <a:cubicBezTo>
                              <a:pt x="474" y="0"/>
                              <a:pt x="470" y="0"/>
                              <a:pt x="467" y="1"/>
                            </a:cubicBezTo>
                            <a:cubicBezTo>
                              <a:pt x="463" y="1"/>
                              <a:pt x="458" y="1"/>
                              <a:pt x="454" y="1"/>
                            </a:cubicBezTo>
                            <a:cubicBezTo>
                              <a:pt x="453" y="0"/>
                              <a:pt x="452" y="0"/>
                              <a:pt x="450" y="1"/>
                            </a:cubicBezTo>
                            <a:cubicBezTo>
                              <a:pt x="339" y="1"/>
                              <a:pt x="234" y="42"/>
                              <a:pt x="152" y="115"/>
                            </a:cubicBezTo>
                            <a:cubicBezTo>
                              <a:pt x="148" y="117"/>
                              <a:pt x="145" y="120"/>
                              <a:pt x="143" y="123"/>
                            </a:cubicBezTo>
                            <a:cubicBezTo>
                              <a:pt x="139" y="127"/>
                              <a:pt x="136" y="130"/>
                              <a:pt x="133" y="133"/>
                            </a:cubicBezTo>
                            <a:cubicBezTo>
                              <a:pt x="47" y="218"/>
                              <a:pt x="0" y="332"/>
                              <a:pt x="0" y="453"/>
                            </a:cubicBezTo>
                            <a:cubicBezTo>
                              <a:pt x="0" y="574"/>
                              <a:pt x="47" y="687"/>
                              <a:pt x="133" y="773"/>
                            </a:cubicBezTo>
                            <a:cubicBezTo>
                              <a:pt x="213" y="852"/>
                              <a:pt x="317" y="899"/>
                              <a:pt x="429" y="904"/>
                            </a:cubicBezTo>
                            <a:close/>
                          </a:path>
                        </a:pathLst>
                      </a:custGeom>
                      <a:solidFill>
                        <a:schemeClr val="bg1"/>
                      </a:solidFill>
                      <a:ln cap="flat">
                        <a:noFill/>
                        <a:prstDash val="solid"/>
                      </a:ln>
                    </wps:spPr>
                    <wps:bodyPr vert="horz" wrap="none" lIns="90000" tIns="45000" rIns="90000" bIns="45000" anchor="ctr" anchorCtr="1" compatLnSpc="0"/>
                  </wps:wsp>
                </a:graphicData>
              </a:graphic>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7FBDF154">
            <v:shape id="Freeform 1287" style="position:absolute;margin-left:246pt;margin-top:-22.5pt;width:25.6pt;height:25.6pt;z-index:251658241;visibility:visible;mso-wrap-style:none;mso-wrap-distance-left:9pt;mso-wrap-distance-top:0;mso-wrap-distance-right:9pt;mso-wrap-distance-bottom:0;mso-position-horizontal:absolute;mso-position-horizontal-relative:text;mso-position-vertical:absolute;mso-position-vertical-relative:text;v-text-anchor:middle-center" coordsize="905,905" o:spid="_x0000_s1026" fillcolor="white [3212]" stroked="f" path="m169,175v26,17,53,31,82,43c213,284,192,354,186,425r-129,c63,328,105,241,169,175xm849,425r-129,c717,355,698,285,663,219v27,-11,52,-24,77,-40c802,244,842,330,849,425xm736,730c710,713,683,699,655,687v37,-66,59,-136,64,-207l849,480v-7,97,-49,185,-113,250xm351,837c298,823,250,798,208,765v20,-11,41,-21,62,-30c293,770,320,804,351,837xm625,735v24,9,46,20,68,33c647,803,594,829,535,841v35,-34,65,-70,90,-106xm444,849c396,807,356,763,325,717v42,-11,86,-17,130,-16c494,702,533,707,570,717v-33,46,-76,90,-126,132xm664,480v-6,65,-27,128,-62,188c555,654,506,647,456,646v-55,-1,-109,6,-161,22c262,607,244,544,241,480r423,xm450,260v3,,6,,8,c510,260,562,252,611,238v33,60,51,123,54,187l242,425v5,-64,26,-127,62,-188c351,251,400,259,450,260xm554,69v53,14,102,39,143,71c677,152,657,162,635,171,613,136,586,102,554,69xm280,170v-23,-9,-46,-20,-68,-33c258,102,312,77,370,64v-35,35,-64,70,-90,106xm461,56v49,43,88,87,120,133c539,200,495,205,451,204v-40,,-78,-6,-116,-15c369,142,411,98,461,56xm185,480v3,71,22,140,57,207c216,698,190,711,165,727,103,662,63,575,57,480r128,xm429,904v2,1,4,1,6,1c436,905,437,905,438,905v5,,10,,15,c564,905,670,865,753,791v4,-2,7,-5,10,-9l764,781v3,-3,6,-6,8,-8c858,687,905,574,905,453,905,332,858,218,772,133,693,53,589,7,477,1,474,,470,,467,1v-4,,-9,,-13,c453,,452,,450,1,339,1,234,42,152,115v-4,2,-7,5,-9,8c139,127,136,130,133,133,47,218,,332,,453,,574,47,687,133,773v80,79,184,126,296,13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" w14:anchorId="749D7657">
              <v:path arrowok="t" o:connecttype="custom" o:connectlocs="162560,0;0,162560;162560,325120;325120,162560" o:connectangles="270,180,90,0"/>
            </v:shape>
          </w:pict>
        </mc:Fallback>
      </mc:AlternateContent>
    </w:r>
    <w:r w:rsidR="0000193A">
      <w:rPr>
        <w:noProof/>
      </w:rPr>
      <mc:AlternateContent>
        <mc:Choice Requires="wps">
          <w:drawing>
            <wp:anchor distT="0" distB="0" distL="114300" distR="114300" simplePos="0" relativeHeight="251658240" behindDoc="0" locked="0" layoutInCell="1" allowOverlap="1" wp14:anchorId="5B67D6E3" wp14:editId="5E6F8179">
              <wp:simplePos x="0" y="0"/>
              <wp:positionH relativeFrom="page">
                <wp:posOffset>6985</wp:posOffset>
              </wp:positionH>
              <wp:positionV relativeFrom="paragraph">
                <wp:posOffset>-449580</wp:posOffset>
              </wp:positionV>
              <wp:extent cx="7743825" cy="841248"/>
              <wp:effectExtent l="0" t="0" r="28575" b="16510"/>
              <wp:wrapNone/>
              <wp:docPr id="1340" name="Rectangle 1340"/>
              <wp:cNvGraphicFramePr/>
              <a:graphic xmlns:a="http://schemas.openxmlformats.org/drawingml/2006/main">
                <a:graphicData uri="http://schemas.microsoft.com/office/word/2010/wordprocessingShape">
                  <wps:wsp>
                    <wps:cNvSpPr/>
                    <wps:spPr>
                      <a:xfrm>
                        <a:off x="0" y="0"/>
                        <a:ext cx="7743825" cy="841248"/>
                      </a:xfrm>
                      <a:prstGeom prst="rect">
                        <a:avLst/>
                      </a:prstGeom>
                      <a:solidFill>
                        <a:srgbClr val="2688E2"/>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35707C7F">
            <v:rect id="Rectangle 1340" style="position:absolute;margin-left:.55pt;margin-top:-35.4pt;width:609.75pt;height:66.25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spid="_x0000_s1026" fillcolor="#2688e2" strokecolor="#00b0f0" strokeweight="1pt" w14:anchorId="7ABB9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">
              <w10:wrap anchorx="page"/>
            </v:rect>
          </w:pict>
        </mc:Fallback>
      </mc:AlternateContent>
    </w:r>
    <w:r w:rsidR="0000193A">
      <w:rPr>
        <w:noProof/>
      </w:rPr>
      <w:drawing>
        <wp:anchor distT="0" distB="0" distL="114300" distR="114300" simplePos="0" relativeHeight="251658243" behindDoc="0" locked="0" layoutInCell="1" allowOverlap="1" wp14:anchorId="3B29594A" wp14:editId="0F403139">
          <wp:simplePos x="0" y="0"/>
          <wp:positionH relativeFrom="margin">
            <wp:posOffset>4572000</wp:posOffset>
          </wp:positionH>
          <wp:positionV relativeFrom="paragraph">
            <wp:posOffset>-317830</wp:posOffset>
          </wp:positionV>
          <wp:extent cx="1365250" cy="640080"/>
          <wp:effectExtent l="0" t="0" r="6350" b="7620"/>
          <wp:wrapNone/>
          <wp:docPr id="5" name="Picture 5"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ign,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25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450">
      <w:rPr>
        <w:noProof/>
      </w:rPr>
      <mc:AlternateContent>
        <mc:Choice Requires="wps">
          <w:drawing>
            <wp:anchor distT="0" distB="0" distL="114300" distR="114300" simplePos="0" relativeHeight="251658245" behindDoc="0" locked="0" layoutInCell="1" allowOverlap="1" wp14:anchorId="538917E2" wp14:editId="14E5C9C6">
              <wp:simplePos x="0" y="0"/>
              <wp:positionH relativeFrom="column">
                <wp:posOffset>-209550</wp:posOffset>
              </wp:positionH>
              <wp:positionV relativeFrom="paragraph">
                <wp:posOffset>-352425</wp:posOffset>
              </wp:positionV>
              <wp:extent cx="3143250" cy="70485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143250" cy="704850"/>
                      </a:xfrm>
                      <a:prstGeom prst="rect">
                        <a:avLst/>
                      </a:prstGeom>
                      <a:solidFill>
                        <a:schemeClr val="lt1">
                          <a:alpha val="0"/>
                        </a:schemeClr>
                      </a:solidFill>
                      <a:ln w="6350">
                        <a:noFill/>
                      </a:ln>
                    </wps:spPr>
                    <wps:txbx>
                      <w:txbxContent>
                        <w:p w14:paraId="64643760" w14:textId="6077B74B" w:rsidR="00AB1450" w:rsidRDefault="00AB1450" w:rsidP="00A8346C">
                          <w:pPr>
                            <w:spacing w:after="0" w:line="240" w:lineRule="auto"/>
                            <w:rPr>
                              <w:color w:val="FFFFFF" w:themeColor="background1"/>
                              <w:sz w:val="20"/>
                              <w:szCs w:val="20"/>
                            </w:rPr>
                          </w:pPr>
                          <w:r>
                            <w:rPr>
                              <w:color w:val="FFFFFF" w:themeColor="background1"/>
                              <w:sz w:val="20"/>
                              <w:szCs w:val="20"/>
                            </w:rPr>
                            <w:t>FINANCIAL STABILITY (E) TASK FORCE</w:t>
                          </w:r>
                        </w:p>
                        <w:p w14:paraId="61E9658E" w14:textId="0E1F5DF5" w:rsidR="00320022" w:rsidRPr="00320022" w:rsidRDefault="00320022">
                          <w:pPr>
                            <w:rPr>
                              <w:color w:val="FFFFFF" w:themeColor="background1"/>
                              <w:sz w:val="20"/>
                              <w:szCs w:val="20"/>
                            </w:rPr>
                          </w:pPr>
                          <w:r w:rsidRPr="00320022">
                            <w:rPr>
                              <w:color w:val="FFFFFF" w:themeColor="background1"/>
                              <w:sz w:val="20"/>
                              <w:szCs w:val="20"/>
                            </w:rPr>
                            <w:t>MACROPRUDENTIAL (E) WORKING GROUP</w:t>
                          </w:r>
                        </w:p>
                        <w:p w14:paraId="51E9D6B2" w14:textId="77777777" w:rsidR="00320022" w:rsidRPr="00320022" w:rsidRDefault="00320022">
                          <w:pPr>
                            <w:rPr>
                              <w:b/>
                              <w:bCs/>
                              <w:color w:val="FFFFFF" w:themeColor="background1"/>
                              <w:sz w:val="28"/>
                              <w:szCs w:val="28"/>
                            </w:rPr>
                          </w:pPr>
                          <w:r w:rsidRPr="00320022">
                            <w:rPr>
                              <w:b/>
                              <w:bCs/>
                              <w:color w:val="FFFFFF" w:themeColor="background1"/>
                              <w:sz w:val="28"/>
                              <w:szCs w:val="28"/>
                            </w:rPr>
                            <w:t>Macroprudential Risk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38917E2" id="_x0000_t202" coordsize="21600,21600" o:spt="202" path="m,l,21600r21600,l21600,xe">
              <v:stroke joinstyle="miter"/>
              <v:path gradientshapeok="t" o:connecttype="rect"/>
            </v:shapetype>
            <v:shape id="Text Box 53" o:spid="_x0000_s1026" type="#_x0000_t202" style="position:absolute;left:0;text-align:left;margin-left:-16.5pt;margin-top:-27.75pt;width:247.5pt;height:5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" fillcolor="white [3201]" stroked="f" strokeweight=".5pt">
              <v:fill opacity="0"/>
              <v:textbox>
                <w:txbxContent>
                  <w:p w14:paraId="64643760" w14:textId="6077B74B" w:rsidR="00AB1450" w:rsidRDefault="00AB1450" w:rsidP="00A8346C">
                    <w:pPr>
                      <w:spacing w:after="0" w:line="240" w:lineRule="auto"/>
                      <w:rPr>
                        <w:color w:val="FFFFFF" w:themeColor="background1"/>
                        <w:sz w:val="20"/>
                        <w:szCs w:val="20"/>
                      </w:rPr>
                    </w:pPr>
                    <w:r>
                      <w:rPr>
                        <w:color w:val="FFFFFF" w:themeColor="background1"/>
                        <w:sz w:val="20"/>
                        <w:szCs w:val="20"/>
                      </w:rPr>
                      <w:t>FINANCIAL STABILITY (E) TASK FORCE</w:t>
                    </w:r>
                  </w:p>
                  <w:p w14:paraId="61E9658E" w14:textId="0E1F5DF5" w:rsidR="00320022" w:rsidRPr="00320022" w:rsidRDefault="00320022">
                    <w:pPr>
                      <w:rPr>
                        <w:color w:val="FFFFFF" w:themeColor="background1"/>
                        <w:sz w:val="20"/>
                        <w:szCs w:val="20"/>
                      </w:rPr>
                    </w:pPr>
                    <w:r w:rsidRPr="00320022">
                      <w:rPr>
                        <w:color w:val="FFFFFF" w:themeColor="background1"/>
                        <w:sz w:val="20"/>
                        <w:szCs w:val="20"/>
                      </w:rPr>
                      <w:t>MACROPRUDENTIAL (E) WORKING GROUP</w:t>
                    </w:r>
                  </w:p>
                  <w:p w14:paraId="51E9D6B2" w14:textId="77777777" w:rsidR="00320022" w:rsidRPr="00320022" w:rsidRDefault="00320022">
                    <w:pPr>
                      <w:rPr>
                        <w:b/>
                        <w:bCs/>
                        <w:color w:val="FFFFFF" w:themeColor="background1"/>
                        <w:sz w:val="28"/>
                        <w:szCs w:val="28"/>
                      </w:rPr>
                    </w:pPr>
                    <w:r w:rsidRPr="00320022">
                      <w:rPr>
                        <w:b/>
                        <w:bCs/>
                        <w:color w:val="FFFFFF" w:themeColor="background1"/>
                        <w:sz w:val="28"/>
                        <w:szCs w:val="28"/>
                      </w:rPr>
                      <w:t>Macroprudential Risk Assessment</w:t>
                    </w:r>
                  </w:p>
                </w:txbxContent>
              </v:textbox>
            </v:shape>
          </w:pict>
        </mc:Fallback>
      </mc:AlternateContent>
    </w:r>
    <w:r w:rsidR="005963C5">
      <w:rPr>
        <w:noProof/>
      </w:rPr>
      <mc:AlternateContent>
        <mc:Choice Requires="wps">
          <w:drawing>
            <wp:anchor distT="0" distB="0" distL="114300" distR="114300" simplePos="0" relativeHeight="251658244" behindDoc="0" locked="0" layoutInCell="1" allowOverlap="1" wp14:anchorId="3C4956AE" wp14:editId="265B4F23">
              <wp:simplePos x="0" y="0"/>
              <wp:positionH relativeFrom="margin">
                <wp:posOffset>2952750</wp:posOffset>
              </wp:positionH>
              <wp:positionV relativeFrom="paragraph">
                <wp:posOffset>-171450</wp:posOffset>
              </wp:positionV>
              <wp:extent cx="0" cy="419100"/>
              <wp:effectExtent l="0" t="0" r="38100" b="19050"/>
              <wp:wrapNone/>
              <wp:docPr id="52" name="Straight Connector 52"/>
              <wp:cNvGraphicFramePr/>
              <a:graphic xmlns:a="http://schemas.openxmlformats.org/drawingml/2006/main">
                <a:graphicData uri="http://schemas.microsoft.com/office/word/2010/wordprocessingShape">
                  <wps:wsp>
                    <wps:cNvCnPr/>
                    <wps:spPr>
                      <a:xfrm>
                        <a:off x="0" y="0"/>
                        <a:ext cx="0" cy="4191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55A8A3A6">
            <v:line id="Straight Connector 52" style="position:absolute;z-index:251658244;visibility:visible;mso-wrap-style:square;mso-wrap-distance-left:9pt;mso-wrap-distance-top:0;mso-wrap-distance-right:9pt;mso-wrap-distance-bottom:0;mso-position-horizontal:absolute;mso-position-horizontal-relative:margin;mso-position-vertical:absolute;mso-position-vertical-relative:text" o:spid="_x0000_s1026" strokecolor="white [3212]" strokeweight=".5pt" from="232.5pt,-13.5pt" to="232.5pt,19.5pt" w14:anchorId="4D626D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">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A5BE" w14:textId="77777777" w:rsidR="00774DB5" w:rsidRDefault="00774DB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Mnekqi4" int2:invalidationBookmarkName="" int2:hashCode="z9zs7GBiukC8bS" int2:id="iXFQ0u3L">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F5E"/>
    <w:multiLevelType w:val="hybridMultilevel"/>
    <w:tmpl w:val="AA785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E7E46"/>
    <w:multiLevelType w:val="hybridMultilevel"/>
    <w:tmpl w:val="3394F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72B20"/>
    <w:multiLevelType w:val="hybridMultilevel"/>
    <w:tmpl w:val="5F26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C69E5"/>
    <w:multiLevelType w:val="hybridMultilevel"/>
    <w:tmpl w:val="82962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03B8E"/>
    <w:multiLevelType w:val="hybridMultilevel"/>
    <w:tmpl w:val="0B64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77B62"/>
    <w:multiLevelType w:val="hybridMultilevel"/>
    <w:tmpl w:val="4080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6C1DE9"/>
    <w:multiLevelType w:val="hybridMultilevel"/>
    <w:tmpl w:val="7D1C3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F661D"/>
    <w:multiLevelType w:val="hybridMultilevel"/>
    <w:tmpl w:val="44F26BC6"/>
    <w:lvl w:ilvl="0" w:tplc="04090001">
      <w:start w:val="1"/>
      <w:numFmt w:val="bullet"/>
      <w:lvlText w:val=""/>
      <w:lvlJc w:val="left"/>
      <w:pPr>
        <w:ind w:left="720" w:hanging="360"/>
      </w:pPr>
      <w:rPr>
        <w:rFonts w:ascii="Symbol" w:hAnsi="Symbol" w:hint="default"/>
      </w:rPr>
    </w:lvl>
    <w:lvl w:ilvl="1" w:tplc="FF78584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958E6"/>
    <w:multiLevelType w:val="hybridMultilevel"/>
    <w:tmpl w:val="72B6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63C44"/>
    <w:multiLevelType w:val="hybridMultilevel"/>
    <w:tmpl w:val="74F6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B6ED1"/>
    <w:multiLevelType w:val="hybridMultilevel"/>
    <w:tmpl w:val="2AD2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B640F"/>
    <w:multiLevelType w:val="hybridMultilevel"/>
    <w:tmpl w:val="DEBA1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10253B"/>
    <w:multiLevelType w:val="hybridMultilevel"/>
    <w:tmpl w:val="D074B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B6520"/>
    <w:multiLevelType w:val="hybridMultilevel"/>
    <w:tmpl w:val="9246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4F0D64"/>
    <w:multiLevelType w:val="hybridMultilevel"/>
    <w:tmpl w:val="F62A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07258F"/>
    <w:multiLevelType w:val="hybridMultilevel"/>
    <w:tmpl w:val="3EB6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DE4173"/>
    <w:multiLevelType w:val="hybridMultilevel"/>
    <w:tmpl w:val="33501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8D376A"/>
    <w:multiLevelType w:val="hybridMultilevel"/>
    <w:tmpl w:val="43E8A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E2DE6"/>
    <w:multiLevelType w:val="hybridMultilevel"/>
    <w:tmpl w:val="17EE4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336C40"/>
    <w:multiLevelType w:val="hybridMultilevel"/>
    <w:tmpl w:val="39829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59589C"/>
    <w:multiLevelType w:val="hybridMultilevel"/>
    <w:tmpl w:val="D94A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122254"/>
    <w:multiLevelType w:val="hybridMultilevel"/>
    <w:tmpl w:val="72521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C0BF5"/>
    <w:multiLevelType w:val="hybridMultilevel"/>
    <w:tmpl w:val="DA78C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73E59"/>
    <w:multiLevelType w:val="hybridMultilevel"/>
    <w:tmpl w:val="52B4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722067"/>
    <w:multiLevelType w:val="hybridMultilevel"/>
    <w:tmpl w:val="8DE8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AC7FC4"/>
    <w:multiLevelType w:val="hybridMultilevel"/>
    <w:tmpl w:val="9A9A8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78197E"/>
    <w:multiLevelType w:val="hybridMultilevel"/>
    <w:tmpl w:val="3C340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98E452A"/>
    <w:multiLevelType w:val="hybridMultilevel"/>
    <w:tmpl w:val="27042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D32481"/>
    <w:multiLevelType w:val="hybridMultilevel"/>
    <w:tmpl w:val="46B61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072DF3"/>
    <w:multiLevelType w:val="hybridMultilevel"/>
    <w:tmpl w:val="247031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6FE4CB2"/>
    <w:multiLevelType w:val="hybridMultilevel"/>
    <w:tmpl w:val="2A1CE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D737A99"/>
    <w:multiLevelType w:val="hybridMultilevel"/>
    <w:tmpl w:val="2AA2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136139">
    <w:abstractNumId w:val="8"/>
  </w:num>
  <w:num w:numId="2" w16cid:durableId="720787927">
    <w:abstractNumId w:val="1"/>
  </w:num>
  <w:num w:numId="3" w16cid:durableId="1108083626">
    <w:abstractNumId w:val="24"/>
  </w:num>
  <w:num w:numId="4" w16cid:durableId="1377320083">
    <w:abstractNumId w:val="23"/>
  </w:num>
  <w:num w:numId="5" w16cid:durableId="2030062155">
    <w:abstractNumId w:val="21"/>
  </w:num>
  <w:num w:numId="6" w16cid:durableId="1701279797">
    <w:abstractNumId w:val="9"/>
  </w:num>
  <w:num w:numId="7" w16cid:durableId="1439983428">
    <w:abstractNumId w:val="14"/>
  </w:num>
  <w:num w:numId="8" w16cid:durableId="1596131678">
    <w:abstractNumId w:val="15"/>
  </w:num>
  <w:num w:numId="9" w16cid:durableId="7175828">
    <w:abstractNumId w:val="2"/>
  </w:num>
  <w:num w:numId="10" w16cid:durableId="943808414">
    <w:abstractNumId w:val="10"/>
  </w:num>
  <w:num w:numId="11" w16cid:durableId="1174489914">
    <w:abstractNumId w:val="6"/>
  </w:num>
  <w:num w:numId="12" w16cid:durableId="1878004539">
    <w:abstractNumId w:val="0"/>
  </w:num>
  <w:num w:numId="13" w16cid:durableId="1959024751">
    <w:abstractNumId w:val="4"/>
  </w:num>
  <w:num w:numId="14" w16cid:durableId="1631663095">
    <w:abstractNumId w:val="5"/>
  </w:num>
  <w:num w:numId="15" w16cid:durableId="1370178483">
    <w:abstractNumId w:val="25"/>
  </w:num>
  <w:num w:numId="16" w16cid:durableId="1523781378">
    <w:abstractNumId w:val="31"/>
  </w:num>
  <w:num w:numId="17" w16cid:durableId="2107577888">
    <w:abstractNumId w:val="28"/>
  </w:num>
  <w:num w:numId="18" w16cid:durableId="1805613037">
    <w:abstractNumId w:val="12"/>
  </w:num>
  <w:num w:numId="19" w16cid:durableId="1318194364">
    <w:abstractNumId w:val="17"/>
  </w:num>
  <w:num w:numId="20" w16cid:durableId="1430809165">
    <w:abstractNumId w:val="22"/>
  </w:num>
  <w:num w:numId="21" w16cid:durableId="672610831">
    <w:abstractNumId w:val="3"/>
  </w:num>
  <w:num w:numId="22" w16cid:durableId="529799975">
    <w:abstractNumId w:val="30"/>
  </w:num>
  <w:num w:numId="23" w16cid:durableId="1824076909">
    <w:abstractNumId w:val="20"/>
  </w:num>
  <w:num w:numId="24" w16cid:durableId="186991932">
    <w:abstractNumId w:val="18"/>
  </w:num>
  <w:num w:numId="25" w16cid:durableId="52508331">
    <w:abstractNumId w:val="27"/>
  </w:num>
  <w:num w:numId="26" w16cid:durableId="772558707">
    <w:abstractNumId w:val="11"/>
  </w:num>
  <w:num w:numId="27" w16cid:durableId="834884974">
    <w:abstractNumId w:val="7"/>
  </w:num>
  <w:num w:numId="28" w16cid:durableId="1297106405">
    <w:abstractNumId w:val="16"/>
  </w:num>
  <w:num w:numId="29" w16cid:durableId="1303190557">
    <w:abstractNumId w:val="13"/>
  </w:num>
  <w:num w:numId="30" w16cid:durableId="2098817310">
    <w:abstractNumId w:val="26"/>
  </w:num>
  <w:num w:numId="31" w16cid:durableId="1690329230">
    <w:abstractNumId w:val="29"/>
  </w:num>
  <w:num w:numId="32" w16cid:durableId="1028945055">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activeWritingStyle w:appName="MSWord" w:lang="fr-CA"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22"/>
    <w:rsid w:val="000005B1"/>
    <w:rsid w:val="000005DA"/>
    <w:rsid w:val="0000071B"/>
    <w:rsid w:val="00000B2E"/>
    <w:rsid w:val="00000E53"/>
    <w:rsid w:val="0000193A"/>
    <w:rsid w:val="00001EC1"/>
    <w:rsid w:val="00002111"/>
    <w:rsid w:val="00002631"/>
    <w:rsid w:val="00002D6A"/>
    <w:rsid w:val="00003234"/>
    <w:rsid w:val="0000384A"/>
    <w:rsid w:val="00003B2C"/>
    <w:rsid w:val="0000400B"/>
    <w:rsid w:val="00005418"/>
    <w:rsid w:val="00005443"/>
    <w:rsid w:val="000059A5"/>
    <w:rsid w:val="000061C3"/>
    <w:rsid w:val="00006405"/>
    <w:rsid w:val="00006661"/>
    <w:rsid w:val="00006763"/>
    <w:rsid w:val="00006767"/>
    <w:rsid w:val="000069D1"/>
    <w:rsid w:val="00006A06"/>
    <w:rsid w:val="00006B17"/>
    <w:rsid w:val="00006D25"/>
    <w:rsid w:val="00006F86"/>
    <w:rsid w:val="000071D8"/>
    <w:rsid w:val="00007707"/>
    <w:rsid w:val="00007A37"/>
    <w:rsid w:val="000102B1"/>
    <w:rsid w:val="000102B3"/>
    <w:rsid w:val="00010567"/>
    <w:rsid w:val="00010715"/>
    <w:rsid w:val="0001110E"/>
    <w:rsid w:val="000116D2"/>
    <w:rsid w:val="00011961"/>
    <w:rsid w:val="00011A1D"/>
    <w:rsid w:val="00011FA9"/>
    <w:rsid w:val="0001224F"/>
    <w:rsid w:val="000122AC"/>
    <w:rsid w:val="0001255B"/>
    <w:rsid w:val="00012AC2"/>
    <w:rsid w:val="000138A8"/>
    <w:rsid w:val="00013B3A"/>
    <w:rsid w:val="00013DC1"/>
    <w:rsid w:val="00013F15"/>
    <w:rsid w:val="00014241"/>
    <w:rsid w:val="0001494C"/>
    <w:rsid w:val="0001496B"/>
    <w:rsid w:val="00014C38"/>
    <w:rsid w:val="0001533E"/>
    <w:rsid w:val="000159BD"/>
    <w:rsid w:val="00015AE0"/>
    <w:rsid w:val="00016D75"/>
    <w:rsid w:val="00017208"/>
    <w:rsid w:val="00017492"/>
    <w:rsid w:val="00017E6C"/>
    <w:rsid w:val="000200A9"/>
    <w:rsid w:val="0002035D"/>
    <w:rsid w:val="00020635"/>
    <w:rsid w:val="00020C17"/>
    <w:rsid w:val="00020E8D"/>
    <w:rsid w:val="00020FF5"/>
    <w:rsid w:val="000212D8"/>
    <w:rsid w:val="0002130E"/>
    <w:rsid w:val="0002132D"/>
    <w:rsid w:val="00021372"/>
    <w:rsid w:val="000214A6"/>
    <w:rsid w:val="00021541"/>
    <w:rsid w:val="0002165E"/>
    <w:rsid w:val="00021786"/>
    <w:rsid w:val="00021D95"/>
    <w:rsid w:val="000224C8"/>
    <w:rsid w:val="0002259D"/>
    <w:rsid w:val="00022B76"/>
    <w:rsid w:val="00022F7C"/>
    <w:rsid w:val="000230EB"/>
    <w:rsid w:val="0002359E"/>
    <w:rsid w:val="00023F2D"/>
    <w:rsid w:val="00024149"/>
    <w:rsid w:val="000241E3"/>
    <w:rsid w:val="000247C7"/>
    <w:rsid w:val="000249BC"/>
    <w:rsid w:val="00024BA0"/>
    <w:rsid w:val="00024BA3"/>
    <w:rsid w:val="00025311"/>
    <w:rsid w:val="0002562C"/>
    <w:rsid w:val="000258C0"/>
    <w:rsid w:val="00026973"/>
    <w:rsid w:val="00026B85"/>
    <w:rsid w:val="00026C45"/>
    <w:rsid w:val="00026DCF"/>
    <w:rsid w:val="00027C61"/>
    <w:rsid w:val="00027F49"/>
    <w:rsid w:val="00030146"/>
    <w:rsid w:val="0003037F"/>
    <w:rsid w:val="00030A98"/>
    <w:rsid w:val="00030BA7"/>
    <w:rsid w:val="00030C1C"/>
    <w:rsid w:val="00030F47"/>
    <w:rsid w:val="00030F6F"/>
    <w:rsid w:val="0003158D"/>
    <w:rsid w:val="00031AC7"/>
    <w:rsid w:val="00031C50"/>
    <w:rsid w:val="00032428"/>
    <w:rsid w:val="00032BD2"/>
    <w:rsid w:val="00033049"/>
    <w:rsid w:val="00033129"/>
    <w:rsid w:val="000335B9"/>
    <w:rsid w:val="00033638"/>
    <w:rsid w:val="000337FB"/>
    <w:rsid w:val="00034105"/>
    <w:rsid w:val="00034190"/>
    <w:rsid w:val="00034193"/>
    <w:rsid w:val="000347C2"/>
    <w:rsid w:val="00034EB6"/>
    <w:rsid w:val="0003558B"/>
    <w:rsid w:val="000355F0"/>
    <w:rsid w:val="00035757"/>
    <w:rsid w:val="000360A1"/>
    <w:rsid w:val="0003631E"/>
    <w:rsid w:val="0003704F"/>
    <w:rsid w:val="0003719B"/>
    <w:rsid w:val="00037371"/>
    <w:rsid w:val="00037622"/>
    <w:rsid w:val="00037645"/>
    <w:rsid w:val="0003779A"/>
    <w:rsid w:val="000377EE"/>
    <w:rsid w:val="000379C6"/>
    <w:rsid w:val="00040216"/>
    <w:rsid w:val="00040F1D"/>
    <w:rsid w:val="00041124"/>
    <w:rsid w:val="0004152D"/>
    <w:rsid w:val="00042B4F"/>
    <w:rsid w:val="00042FF4"/>
    <w:rsid w:val="000432AE"/>
    <w:rsid w:val="000432EB"/>
    <w:rsid w:val="00043411"/>
    <w:rsid w:val="00043B79"/>
    <w:rsid w:val="00043B8B"/>
    <w:rsid w:val="00043BE8"/>
    <w:rsid w:val="0004429E"/>
    <w:rsid w:val="00044312"/>
    <w:rsid w:val="00044403"/>
    <w:rsid w:val="00045232"/>
    <w:rsid w:val="00045715"/>
    <w:rsid w:val="000458B2"/>
    <w:rsid w:val="00045A28"/>
    <w:rsid w:val="00046F02"/>
    <w:rsid w:val="0004700C"/>
    <w:rsid w:val="0004729C"/>
    <w:rsid w:val="00047337"/>
    <w:rsid w:val="000476AD"/>
    <w:rsid w:val="00047CF4"/>
    <w:rsid w:val="00050214"/>
    <w:rsid w:val="00050A0A"/>
    <w:rsid w:val="00050DD3"/>
    <w:rsid w:val="00051310"/>
    <w:rsid w:val="00051444"/>
    <w:rsid w:val="0005172D"/>
    <w:rsid w:val="000520B8"/>
    <w:rsid w:val="00052668"/>
    <w:rsid w:val="000526FF"/>
    <w:rsid w:val="00052A1C"/>
    <w:rsid w:val="00052A75"/>
    <w:rsid w:val="00052D74"/>
    <w:rsid w:val="000537D0"/>
    <w:rsid w:val="00053940"/>
    <w:rsid w:val="00053AF8"/>
    <w:rsid w:val="00053B5A"/>
    <w:rsid w:val="00053C81"/>
    <w:rsid w:val="0005412C"/>
    <w:rsid w:val="00054176"/>
    <w:rsid w:val="0005443C"/>
    <w:rsid w:val="00055102"/>
    <w:rsid w:val="000552D2"/>
    <w:rsid w:val="00055496"/>
    <w:rsid w:val="000558AC"/>
    <w:rsid w:val="00055D59"/>
    <w:rsid w:val="00055F6A"/>
    <w:rsid w:val="000563BA"/>
    <w:rsid w:val="000566C5"/>
    <w:rsid w:val="00056943"/>
    <w:rsid w:val="00056D2F"/>
    <w:rsid w:val="00057227"/>
    <w:rsid w:val="000573CE"/>
    <w:rsid w:val="0005756E"/>
    <w:rsid w:val="00057678"/>
    <w:rsid w:val="00057726"/>
    <w:rsid w:val="00057838"/>
    <w:rsid w:val="00060093"/>
    <w:rsid w:val="0006018A"/>
    <w:rsid w:val="000602AC"/>
    <w:rsid w:val="00060C79"/>
    <w:rsid w:val="00060DC2"/>
    <w:rsid w:val="00060E5A"/>
    <w:rsid w:val="0006170F"/>
    <w:rsid w:val="000618EE"/>
    <w:rsid w:val="0006239C"/>
    <w:rsid w:val="00063974"/>
    <w:rsid w:val="00064035"/>
    <w:rsid w:val="00064627"/>
    <w:rsid w:val="000650EF"/>
    <w:rsid w:val="00065320"/>
    <w:rsid w:val="00065324"/>
    <w:rsid w:val="00065C0A"/>
    <w:rsid w:val="0006612E"/>
    <w:rsid w:val="000662FE"/>
    <w:rsid w:val="00066CB8"/>
    <w:rsid w:val="000670EE"/>
    <w:rsid w:val="000675B3"/>
    <w:rsid w:val="00067833"/>
    <w:rsid w:val="00067A79"/>
    <w:rsid w:val="00067BA4"/>
    <w:rsid w:val="00070C28"/>
    <w:rsid w:val="00071116"/>
    <w:rsid w:val="00071223"/>
    <w:rsid w:val="0007132F"/>
    <w:rsid w:val="00071541"/>
    <w:rsid w:val="000716C7"/>
    <w:rsid w:val="00071EF1"/>
    <w:rsid w:val="0007200D"/>
    <w:rsid w:val="0007225A"/>
    <w:rsid w:val="0007237A"/>
    <w:rsid w:val="00072441"/>
    <w:rsid w:val="0007247D"/>
    <w:rsid w:val="000724B3"/>
    <w:rsid w:val="000725EC"/>
    <w:rsid w:val="0007286A"/>
    <w:rsid w:val="000728CC"/>
    <w:rsid w:val="00072EDA"/>
    <w:rsid w:val="0007304D"/>
    <w:rsid w:val="00073204"/>
    <w:rsid w:val="0007336A"/>
    <w:rsid w:val="00073481"/>
    <w:rsid w:val="0007385E"/>
    <w:rsid w:val="000739E6"/>
    <w:rsid w:val="00073AD7"/>
    <w:rsid w:val="00074446"/>
    <w:rsid w:val="0007461B"/>
    <w:rsid w:val="000746D1"/>
    <w:rsid w:val="00074820"/>
    <w:rsid w:val="00074B42"/>
    <w:rsid w:val="00074D10"/>
    <w:rsid w:val="00074E0F"/>
    <w:rsid w:val="00075537"/>
    <w:rsid w:val="0007594C"/>
    <w:rsid w:val="00075ABE"/>
    <w:rsid w:val="00076689"/>
    <w:rsid w:val="00076864"/>
    <w:rsid w:val="000769FA"/>
    <w:rsid w:val="00076E0A"/>
    <w:rsid w:val="00076EF3"/>
    <w:rsid w:val="00077030"/>
    <w:rsid w:val="00077A49"/>
    <w:rsid w:val="00077DB0"/>
    <w:rsid w:val="0008010D"/>
    <w:rsid w:val="00080181"/>
    <w:rsid w:val="00080740"/>
    <w:rsid w:val="000808DD"/>
    <w:rsid w:val="000809AA"/>
    <w:rsid w:val="00080C81"/>
    <w:rsid w:val="000811BF"/>
    <w:rsid w:val="00081C8B"/>
    <w:rsid w:val="00082559"/>
    <w:rsid w:val="00082686"/>
    <w:rsid w:val="000828BF"/>
    <w:rsid w:val="000828CF"/>
    <w:rsid w:val="00082C21"/>
    <w:rsid w:val="000831B8"/>
    <w:rsid w:val="00083858"/>
    <w:rsid w:val="000838EC"/>
    <w:rsid w:val="00083962"/>
    <w:rsid w:val="00083A5D"/>
    <w:rsid w:val="00084081"/>
    <w:rsid w:val="0008422C"/>
    <w:rsid w:val="000848DE"/>
    <w:rsid w:val="00084C83"/>
    <w:rsid w:val="00084EB5"/>
    <w:rsid w:val="00084F3E"/>
    <w:rsid w:val="00085680"/>
    <w:rsid w:val="000856A5"/>
    <w:rsid w:val="000857A7"/>
    <w:rsid w:val="00085813"/>
    <w:rsid w:val="00085847"/>
    <w:rsid w:val="00085F0C"/>
    <w:rsid w:val="00085FBE"/>
    <w:rsid w:val="00086457"/>
    <w:rsid w:val="00086668"/>
    <w:rsid w:val="000868B5"/>
    <w:rsid w:val="000869C1"/>
    <w:rsid w:val="00086D0F"/>
    <w:rsid w:val="00087291"/>
    <w:rsid w:val="0008770D"/>
    <w:rsid w:val="00087A0A"/>
    <w:rsid w:val="00087A91"/>
    <w:rsid w:val="00087E69"/>
    <w:rsid w:val="0009019D"/>
    <w:rsid w:val="000907C8"/>
    <w:rsid w:val="00090CAF"/>
    <w:rsid w:val="00090F51"/>
    <w:rsid w:val="00090FD2"/>
    <w:rsid w:val="000910C1"/>
    <w:rsid w:val="0009125A"/>
    <w:rsid w:val="0009142B"/>
    <w:rsid w:val="0009189A"/>
    <w:rsid w:val="00091B2C"/>
    <w:rsid w:val="000922CB"/>
    <w:rsid w:val="000925E8"/>
    <w:rsid w:val="00092F8C"/>
    <w:rsid w:val="00093375"/>
    <w:rsid w:val="00093391"/>
    <w:rsid w:val="0009398B"/>
    <w:rsid w:val="00093BB8"/>
    <w:rsid w:val="00093BFD"/>
    <w:rsid w:val="00093DD3"/>
    <w:rsid w:val="00094412"/>
    <w:rsid w:val="0009477F"/>
    <w:rsid w:val="000947D5"/>
    <w:rsid w:val="00094993"/>
    <w:rsid w:val="00094F42"/>
    <w:rsid w:val="00094FC9"/>
    <w:rsid w:val="0009515A"/>
    <w:rsid w:val="0009562A"/>
    <w:rsid w:val="000964B4"/>
    <w:rsid w:val="0009656D"/>
    <w:rsid w:val="000969A2"/>
    <w:rsid w:val="000969E9"/>
    <w:rsid w:val="00096C8B"/>
    <w:rsid w:val="0009761F"/>
    <w:rsid w:val="0009799A"/>
    <w:rsid w:val="00097A06"/>
    <w:rsid w:val="00097EE6"/>
    <w:rsid w:val="000A0006"/>
    <w:rsid w:val="000A009C"/>
    <w:rsid w:val="000A00C7"/>
    <w:rsid w:val="000A02BC"/>
    <w:rsid w:val="000A0977"/>
    <w:rsid w:val="000A1540"/>
    <w:rsid w:val="000A1AB2"/>
    <w:rsid w:val="000A1CAF"/>
    <w:rsid w:val="000A1F2A"/>
    <w:rsid w:val="000A264A"/>
    <w:rsid w:val="000A2A84"/>
    <w:rsid w:val="000A3586"/>
    <w:rsid w:val="000A3596"/>
    <w:rsid w:val="000A3723"/>
    <w:rsid w:val="000A39C7"/>
    <w:rsid w:val="000A3DEF"/>
    <w:rsid w:val="000A40D9"/>
    <w:rsid w:val="000A42F8"/>
    <w:rsid w:val="000A468E"/>
    <w:rsid w:val="000A48EC"/>
    <w:rsid w:val="000A4967"/>
    <w:rsid w:val="000A4B88"/>
    <w:rsid w:val="000A5303"/>
    <w:rsid w:val="000A5818"/>
    <w:rsid w:val="000A5992"/>
    <w:rsid w:val="000A5F63"/>
    <w:rsid w:val="000A6025"/>
    <w:rsid w:val="000A64C6"/>
    <w:rsid w:val="000A64FE"/>
    <w:rsid w:val="000A6B35"/>
    <w:rsid w:val="000A7738"/>
    <w:rsid w:val="000A7744"/>
    <w:rsid w:val="000A7FD3"/>
    <w:rsid w:val="000B0533"/>
    <w:rsid w:val="000B0F3C"/>
    <w:rsid w:val="000B0FAF"/>
    <w:rsid w:val="000B140A"/>
    <w:rsid w:val="000B14FB"/>
    <w:rsid w:val="000B16B5"/>
    <w:rsid w:val="000B1AA3"/>
    <w:rsid w:val="000B1D59"/>
    <w:rsid w:val="000B1DC1"/>
    <w:rsid w:val="000B202F"/>
    <w:rsid w:val="000B211D"/>
    <w:rsid w:val="000B22BF"/>
    <w:rsid w:val="000B2919"/>
    <w:rsid w:val="000B34E6"/>
    <w:rsid w:val="000B3544"/>
    <w:rsid w:val="000B3CA8"/>
    <w:rsid w:val="000B3FF8"/>
    <w:rsid w:val="000B40EE"/>
    <w:rsid w:val="000B4C9D"/>
    <w:rsid w:val="000B4CB1"/>
    <w:rsid w:val="000B4EE6"/>
    <w:rsid w:val="000B5A38"/>
    <w:rsid w:val="000B5B15"/>
    <w:rsid w:val="000B6382"/>
    <w:rsid w:val="000B6544"/>
    <w:rsid w:val="000B6622"/>
    <w:rsid w:val="000B66B5"/>
    <w:rsid w:val="000B6A2A"/>
    <w:rsid w:val="000B79EB"/>
    <w:rsid w:val="000B7AA7"/>
    <w:rsid w:val="000C00A0"/>
    <w:rsid w:val="000C0733"/>
    <w:rsid w:val="000C0B99"/>
    <w:rsid w:val="000C0F10"/>
    <w:rsid w:val="000C1017"/>
    <w:rsid w:val="000C153F"/>
    <w:rsid w:val="000C16B4"/>
    <w:rsid w:val="000C178D"/>
    <w:rsid w:val="000C1C79"/>
    <w:rsid w:val="000C1EA8"/>
    <w:rsid w:val="000C23BB"/>
    <w:rsid w:val="000C24E1"/>
    <w:rsid w:val="000C252B"/>
    <w:rsid w:val="000C2680"/>
    <w:rsid w:val="000C26EE"/>
    <w:rsid w:val="000C27B1"/>
    <w:rsid w:val="000C2898"/>
    <w:rsid w:val="000C332D"/>
    <w:rsid w:val="000C3725"/>
    <w:rsid w:val="000C45C8"/>
    <w:rsid w:val="000C475C"/>
    <w:rsid w:val="000C4D10"/>
    <w:rsid w:val="000C4E6E"/>
    <w:rsid w:val="000C4F49"/>
    <w:rsid w:val="000C5283"/>
    <w:rsid w:val="000C529C"/>
    <w:rsid w:val="000C5909"/>
    <w:rsid w:val="000C5A2D"/>
    <w:rsid w:val="000C6357"/>
    <w:rsid w:val="000C65D1"/>
    <w:rsid w:val="000C6BD2"/>
    <w:rsid w:val="000C6E3C"/>
    <w:rsid w:val="000C6E67"/>
    <w:rsid w:val="000C6FE2"/>
    <w:rsid w:val="000C7233"/>
    <w:rsid w:val="000C7BB4"/>
    <w:rsid w:val="000C7F58"/>
    <w:rsid w:val="000D0574"/>
    <w:rsid w:val="000D0B16"/>
    <w:rsid w:val="000D0CEF"/>
    <w:rsid w:val="000D0FC8"/>
    <w:rsid w:val="000D10C8"/>
    <w:rsid w:val="000D1170"/>
    <w:rsid w:val="000D1206"/>
    <w:rsid w:val="000D12F7"/>
    <w:rsid w:val="000D1327"/>
    <w:rsid w:val="000D17C2"/>
    <w:rsid w:val="000D1815"/>
    <w:rsid w:val="000D1AD3"/>
    <w:rsid w:val="000D1C3A"/>
    <w:rsid w:val="000D28DB"/>
    <w:rsid w:val="000D2A1B"/>
    <w:rsid w:val="000D2C6E"/>
    <w:rsid w:val="000D38C2"/>
    <w:rsid w:val="000D3CD6"/>
    <w:rsid w:val="000D40C6"/>
    <w:rsid w:val="000D4438"/>
    <w:rsid w:val="000D4709"/>
    <w:rsid w:val="000D4A92"/>
    <w:rsid w:val="000D5960"/>
    <w:rsid w:val="000D5E91"/>
    <w:rsid w:val="000D657A"/>
    <w:rsid w:val="000D6974"/>
    <w:rsid w:val="000D6EE0"/>
    <w:rsid w:val="000D6FA9"/>
    <w:rsid w:val="000D6FD3"/>
    <w:rsid w:val="000D7134"/>
    <w:rsid w:val="000D739B"/>
    <w:rsid w:val="000D7738"/>
    <w:rsid w:val="000E01AB"/>
    <w:rsid w:val="000E0978"/>
    <w:rsid w:val="000E09C0"/>
    <w:rsid w:val="000E13B8"/>
    <w:rsid w:val="000E1A8D"/>
    <w:rsid w:val="000E1E4A"/>
    <w:rsid w:val="000E1FAC"/>
    <w:rsid w:val="000E2BCC"/>
    <w:rsid w:val="000E2DC0"/>
    <w:rsid w:val="000E3207"/>
    <w:rsid w:val="000E33EC"/>
    <w:rsid w:val="000E3448"/>
    <w:rsid w:val="000E36D1"/>
    <w:rsid w:val="000E3808"/>
    <w:rsid w:val="000E3B12"/>
    <w:rsid w:val="000E3EAD"/>
    <w:rsid w:val="000E3F0D"/>
    <w:rsid w:val="000E4B2F"/>
    <w:rsid w:val="000E50A9"/>
    <w:rsid w:val="000E50E3"/>
    <w:rsid w:val="000E532B"/>
    <w:rsid w:val="000E5628"/>
    <w:rsid w:val="000E5A19"/>
    <w:rsid w:val="000E625A"/>
    <w:rsid w:val="000E63C4"/>
    <w:rsid w:val="000E6703"/>
    <w:rsid w:val="000E72FB"/>
    <w:rsid w:val="000E730C"/>
    <w:rsid w:val="000E7622"/>
    <w:rsid w:val="000E76EE"/>
    <w:rsid w:val="000E79A4"/>
    <w:rsid w:val="000E7B95"/>
    <w:rsid w:val="000F03CA"/>
    <w:rsid w:val="000F04EE"/>
    <w:rsid w:val="000F083F"/>
    <w:rsid w:val="000F08AC"/>
    <w:rsid w:val="000F2325"/>
    <w:rsid w:val="000F261B"/>
    <w:rsid w:val="000F2903"/>
    <w:rsid w:val="000F2D1E"/>
    <w:rsid w:val="000F2F35"/>
    <w:rsid w:val="000F33CF"/>
    <w:rsid w:val="000F3A66"/>
    <w:rsid w:val="000F3F9E"/>
    <w:rsid w:val="000F41CE"/>
    <w:rsid w:val="000F47A3"/>
    <w:rsid w:val="000F496E"/>
    <w:rsid w:val="000F548F"/>
    <w:rsid w:val="000F57EE"/>
    <w:rsid w:val="000F58D2"/>
    <w:rsid w:val="000F620D"/>
    <w:rsid w:val="000F621D"/>
    <w:rsid w:val="000F69B8"/>
    <w:rsid w:val="000F6B58"/>
    <w:rsid w:val="000F6DFE"/>
    <w:rsid w:val="000F74B5"/>
    <w:rsid w:val="000F78F0"/>
    <w:rsid w:val="001002A0"/>
    <w:rsid w:val="001003BC"/>
    <w:rsid w:val="0010043F"/>
    <w:rsid w:val="00100440"/>
    <w:rsid w:val="00100A55"/>
    <w:rsid w:val="00100D76"/>
    <w:rsid w:val="00101338"/>
    <w:rsid w:val="00101482"/>
    <w:rsid w:val="00101825"/>
    <w:rsid w:val="0010184F"/>
    <w:rsid w:val="00101C5A"/>
    <w:rsid w:val="00101C97"/>
    <w:rsid w:val="00102241"/>
    <w:rsid w:val="00102622"/>
    <w:rsid w:val="00102DF4"/>
    <w:rsid w:val="0010317A"/>
    <w:rsid w:val="00103299"/>
    <w:rsid w:val="0010399A"/>
    <w:rsid w:val="00103C38"/>
    <w:rsid w:val="00103C9F"/>
    <w:rsid w:val="001041D7"/>
    <w:rsid w:val="00104275"/>
    <w:rsid w:val="0010427B"/>
    <w:rsid w:val="00104482"/>
    <w:rsid w:val="001046DF"/>
    <w:rsid w:val="00104743"/>
    <w:rsid w:val="001052A0"/>
    <w:rsid w:val="00105B29"/>
    <w:rsid w:val="00105DA1"/>
    <w:rsid w:val="00106327"/>
    <w:rsid w:val="0010655C"/>
    <w:rsid w:val="001066A0"/>
    <w:rsid w:val="001067C1"/>
    <w:rsid w:val="001067D1"/>
    <w:rsid w:val="0010684F"/>
    <w:rsid w:val="00106A7A"/>
    <w:rsid w:val="00106B72"/>
    <w:rsid w:val="00106DF3"/>
    <w:rsid w:val="00106E7B"/>
    <w:rsid w:val="00107358"/>
    <w:rsid w:val="0010751E"/>
    <w:rsid w:val="00107EAD"/>
    <w:rsid w:val="00107F49"/>
    <w:rsid w:val="001101C7"/>
    <w:rsid w:val="001102B8"/>
    <w:rsid w:val="001102BA"/>
    <w:rsid w:val="001103AD"/>
    <w:rsid w:val="0011077F"/>
    <w:rsid w:val="00110B0B"/>
    <w:rsid w:val="00110DD2"/>
    <w:rsid w:val="001112D4"/>
    <w:rsid w:val="001118E4"/>
    <w:rsid w:val="00111A01"/>
    <w:rsid w:val="00112655"/>
    <w:rsid w:val="00113373"/>
    <w:rsid w:val="00113C62"/>
    <w:rsid w:val="001140EB"/>
    <w:rsid w:val="001147D6"/>
    <w:rsid w:val="00114879"/>
    <w:rsid w:val="00114ADB"/>
    <w:rsid w:val="00114CA3"/>
    <w:rsid w:val="001151F4"/>
    <w:rsid w:val="00115632"/>
    <w:rsid w:val="00115876"/>
    <w:rsid w:val="001158E6"/>
    <w:rsid w:val="00115AD6"/>
    <w:rsid w:val="00115C6F"/>
    <w:rsid w:val="00115FEC"/>
    <w:rsid w:val="001160F3"/>
    <w:rsid w:val="001164DB"/>
    <w:rsid w:val="0011680D"/>
    <w:rsid w:val="00116F13"/>
    <w:rsid w:val="0011701F"/>
    <w:rsid w:val="00117036"/>
    <w:rsid w:val="00117440"/>
    <w:rsid w:val="00117612"/>
    <w:rsid w:val="001176C4"/>
    <w:rsid w:val="001178E3"/>
    <w:rsid w:val="001202CC"/>
    <w:rsid w:val="0012083D"/>
    <w:rsid w:val="00120A63"/>
    <w:rsid w:val="00120BED"/>
    <w:rsid w:val="00120C73"/>
    <w:rsid w:val="00120EE9"/>
    <w:rsid w:val="001215F2"/>
    <w:rsid w:val="001220D5"/>
    <w:rsid w:val="00122D8C"/>
    <w:rsid w:val="00122DDD"/>
    <w:rsid w:val="00123016"/>
    <w:rsid w:val="0012342E"/>
    <w:rsid w:val="00123753"/>
    <w:rsid w:val="0012393B"/>
    <w:rsid w:val="00123E04"/>
    <w:rsid w:val="001241D3"/>
    <w:rsid w:val="0012420E"/>
    <w:rsid w:val="001242D0"/>
    <w:rsid w:val="00124C0B"/>
    <w:rsid w:val="0012530E"/>
    <w:rsid w:val="00125331"/>
    <w:rsid w:val="00125445"/>
    <w:rsid w:val="001256B9"/>
    <w:rsid w:val="001257DE"/>
    <w:rsid w:val="00125882"/>
    <w:rsid w:val="001259BD"/>
    <w:rsid w:val="00125B1D"/>
    <w:rsid w:val="0012632E"/>
    <w:rsid w:val="001265B4"/>
    <w:rsid w:val="00126681"/>
    <w:rsid w:val="001266E0"/>
    <w:rsid w:val="00126996"/>
    <w:rsid w:val="00126BC4"/>
    <w:rsid w:val="001270D8"/>
    <w:rsid w:val="0012751F"/>
    <w:rsid w:val="001278ED"/>
    <w:rsid w:val="0013025B"/>
    <w:rsid w:val="00130284"/>
    <w:rsid w:val="001309A8"/>
    <w:rsid w:val="00130A6E"/>
    <w:rsid w:val="00130B58"/>
    <w:rsid w:val="0013156F"/>
    <w:rsid w:val="00131B52"/>
    <w:rsid w:val="00131E31"/>
    <w:rsid w:val="00132103"/>
    <w:rsid w:val="0013241B"/>
    <w:rsid w:val="00132673"/>
    <w:rsid w:val="00133311"/>
    <w:rsid w:val="00133442"/>
    <w:rsid w:val="00133A06"/>
    <w:rsid w:val="00134C91"/>
    <w:rsid w:val="00134DB4"/>
    <w:rsid w:val="00135D0D"/>
    <w:rsid w:val="001363D2"/>
    <w:rsid w:val="001363FE"/>
    <w:rsid w:val="00136AD7"/>
    <w:rsid w:val="00136E21"/>
    <w:rsid w:val="00136FA6"/>
    <w:rsid w:val="001370C5"/>
    <w:rsid w:val="00137233"/>
    <w:rsid w:val="0013786A"/>
    <w:rsid w:val="00137B8A"/>
    <w:rsid w:val="00140105"/>
    <w:rsid w:val="001406E4"/>
    <w:rsid w:val="00140820"/>
    <w:rsid w:val="0014098C"/>
    <w:rsid w:val="00140E1C"/>
    <w:rsid w:val="00141184"/>
    <w:rsid w:val="0014158A"/>
    <w:rsid w:val="00141CF4"/>
    <w:rsid w:val="00142129"/>
    <w:rsid w:val="00142818"/>
    <w:rsid w:val="00142A7B"/>
    <w:rsid w:val="001430A1"/>
    <w:rsid w:val="001431AD"/>
    <w:rsid w:val="001431AF"/>
    <w:rsid w:val="00143326"/>
    <w:rsid w:val="00143351"/>
    <w:rsid w:val="001438CB"/>
    <w:rsid w:val="00143B8A"/>
    <w:rsid w:val="00143BFE"/>
    <w:rsid w:val="001444D5"/>
    <w:rsid w:val="001444F3"/>
    <w:rsid w:val="00144903"/>
    <w:rsid w:val="001450CC"/>
    <w:rsid w:val="001450DB"/>
    <w:rsid w:val="00145618"/>
    <w:rsid w:val="00145F4C"/>
    <w:rsid w:val="00145F6D"/>
    <w:rsid w:val="001465E8"/>
    <w:rsid w:val="00146A4A"/>
    <w:rsid w:val="00146E26"/>
    <w:rsid w:val="001472AC"/>
    <w:rsid w:val="001501F9"/>
    <w:rsid w:val="001509C2"/>
    <w:rsid w:val="00150DBF"/>
    <w:rsid w:val="0015109E"/>
    <w:rsid w:val="001512F3"/>
    <w:rsid w:val="00151657"/>
    <w:rsid w:val="00151678"/>
    <w:rsid w:val="00151913"/>
    <w:rsid w:val="00151B2D"/>
    <w:rsid w:val="001522B6"/>
    <w:rsid w:val="001536CC"/>
    <w:rsid w:val="00153BB9"/>
    <w:rsid w:val="00153BFD"/>
    <w:rsid w:val="00154077"/>
    <w:rsid w:val="00154114"/>
    <w:rsid w:val="001543EE"/>
    <w:rsid w:val="001549A0"/>
    <w:rsid w:val="00154C7F"/>
    <w:rsid w:val="00154DDF"/>
    <w:rsid w:val="00155397"/>
    <w:rsid w:val="00155470"/>
    <w:rsid w:val="0015580B"/>
    <w:rsid w:val="00155904"/>
    <w:rsid w:val="00155B95"/>
    <w:rsid w:val="00155CFC"/>
    <w:rsid w:val="0015612C"/>
    <w:rsid w:val="001562D4"/>
    <w:rsid w:val="001562F1"/>
    <w:rsid w:val="00156494"/>
    <w:rsid w:val="001564CD"/>
    <w:rsid w:val="00156660"/>
    <w:rsid w:val="00156670"/>
    <w:rsid w:val="00156742"/>
    <w:rsid w:val="00156886"/>
    <w:rsid w:val="00156D5B"/>
    <w:rsid w:val="00157A49"/>
    <w:rsid w:val="00157C51"/>
    <w:rsid w:val="00157C99"/>
    <w:rsid w:val="00160B74"/>
    <w:rsid w:val="00160BCF"/>
    <w:rsid w:val="001616F0"/>
    <w:rsid w:val="00161CB2"/>
    <w:rsid w:val="00161D81"/>
    <w:rsid w:val="00161FA5"/>
    <w:rsid w:val="001626D5"/>
    <w:rsid w:val="00162894"/>
    <w:rsid w:val="001629FF"/>
    <w:rsid w:val="00162AC8"/>
    <w:rsid w:val="00162B14"/>
    <w:rsid w:val="00162C06"/>
    <w:rsid w:val="00162FC0"/>
    <w:rsid w:val="00163D3A"/>
    <w:rsid w:val="001642AA"/>
    <w:rsid w:val="001654C3"/>
    <w:rsid w:val="001654C8"/>
    <w:rsid w:val="0016599B"/>
    <w:rsid w:val="0016609C"/>
    <w:rsid w:val="00166130"/>
    <w:rsid w:val="0016625C"/>
    <w:rsid w:val="00166722"/>
    <w:rsid w:val="001668C5"/>
    <w:rsid w:val="00170FA4"/>
    <w:rsid w:val="001711A1"/>
    <w:rsid w:val="00171283"/>
    <w:rsid w:val="001716B3"/>
    <w:rsid w:val="00172479"/>
    <w:rsid w:val="00172803"/>
    <w:rsid w:val="001728AF"/>
    <w:rsid w:val="00172902"/>
    <w:rsid w:val="00172FE1"/>
    <w:rsid w:val="001733A0"/>
    <w:rsid w:val="0017376E"/>
    <w:rsid w:val="001738A9"/>
    <w:rsid w:val="001744A7"/>
    <w:rsid w:val="001745BC"/>
    <w:rsid w:val="00174659"/>
    <w:rsid w:val="00174952"/>
    <w:rsid w:val="00174B5A"/>
    <w:rsid w:val="00175112"/>
    <w:rsid w:val="0017543A"/>
    <w:rsid w:val="00175497"/>
    <w:rsid w:val="001754C3"/>
    <w:rsid w:val="001767D2"/>
    <w:rsid w:val="00176883"/>
    <w:rsid w:val="001769DE"/>
    <w:rsid w:val="00176A7E"/>
    <w:rsid w:val="00176F5B"/>
    <w:rsid w:val="0017720A"/>
    <w:rsid w:val="0017751C"/>
    <w:rsid w:val="00177536"/>
    <w:rsid w:val="00177EB9"/>
    <w:rsid w:val="0018023B"/>
    <w:rsid w:val="00180710"/>
    <w:rsid w:val="00180F01"/>
    <w:rsid w:val="001811B0"/>
    <w:rsid w:val="00181265"/>
    <w:rsid w:val="0018136A"/>
    <w:rsid w:val="0018154C"/>
    <w:rsid w:val="0018269F"/>
    <w:rsid w:val="001828E0"/>
    <w:rsid w:val="00182B85"/>
    <w:rsid w:val="00182BD8"/>
    <w:rsid w:val="00182DB1"/>
    <w:rsid w:val="00183001"/>
    <w:rsid w:val="00183774"/>
    <w:rsid w:val="0018393F"/>
    <w:rsid w:val="0018398D"/>
    <w:rsid w:val="00183ACB"/>
    <w:rsid w:val="00184EB1"/>
    <w:rsid w:val="00185210"/>
    <w:rsid w:val="0018533B"/>
    <w:rsid w:val="001859A0"/>
    <w:rsid w:val="00185B5B"/>
    <w:rsid w:val="0018611A"/>
    <w:rsid w:val="00186776"/>
    <w:rsid w:val="00186A36"/>
    <w:rsid w:val="00186C2B"/>
    <w:rsid w:val="00186CD0"/>
    <w:rsid w:val="0018741E"/>
    <w:rsid w:val="00187660"/>
    <w:rsid w:val="001878FA"/>
    <w:rsid w:val="00187C15"/>
    <w:rsid w:val="0019057E"/>
    <w:rsid w:val="001906E8"/>
    <w:rsid w:val="0019132E"/>
    <w:rsid w:val="00191B59"/>
    <w:rsid w:val="001921F1"/>
    <w:rsid w:val="00192296"/>
    <w:rsid w:val="001923A5"/>
    <w:rsid w:val="001923E6"/>
    <w:rsid w:val="00192747"/>
    <w:rsid w:val="00192782"/>
    <w:rsid w:val="00192A19"/>
    <w:rsid w:val="00192BCD"/>
    <w:rsid w:val="00192CA7"/>
    <w:rsid w:val="00193699"/>
    <w:rsid w:val="001939C3"/>
    <w:rsid w:val="00193DC9"/>
    <w:rsid w:val="001942E2"/>
    <w:rsid w:val="00194402"/>
    <w:rsid w:val="00194B05"/>
    <w:rsid w:val="00194B55"/>
    <w:rsid w:val="00194BC2"/>
    <w:rsid w:val="00194CBE"/>
    <w:rsid w:val="001952FE"/>
    <w:rsid w:val="001956C7"/>
    <w:rsid w:val="0019595C"/>
    <w:rsid w:val="00195A07"/>
    <w:rsid w:val="00195A30"/>
    <w:rsid w:val="00195BE6"/>
    <w:rsid w:val="00195CD6"/>
    <w:rsid w:val="001965E4"/>
    <w:rsid w:val="001965EC"/>
    <w:rsid w:val="0019660C"/>
    <w:rsid w:val="00196743"/>
    <w:rsid w:val="00196BCD"/>
    <w:rsid w:val="00196DA1"/>
    <w:rsid w:val="00196DB0"/>
    <w:rsid w:val="0019704D"/>
    <w:rsid w:val="001972C0"/>
    <w:rsid w:val="00197AAA"/>
    <w:rsid w:val="00197AF7"/>
    <w:rsid w:val="00197BB0"/>
    <w:rsid w:val="00197E0F"/>
    <w:rsid w:val="001A011C"/>
    <w:rsid w:val="001A0ABE"/>
    <w:rsid w:val="001A0E38"/>
    <w:rsid w:val="001A0E4D"/>
    <w:rsid w:val="001A0E6F"/>
    <w:rsid w:val="001A187C"/>
    <w:rsid w:val="001A1B1C"/>
    <w:rsid w:val="001A1BB7"/>
    <w:rsid w:val="001A1C36"/>
    <w:rsid w:val="001A2237"/>
    <w:rsid w:val="001A2454"/>
    <w:rsid w:val="001A24A7"/>
    <w:rsid w:val="001A2E2B"/>
    <w:rsid w:val="001A2EE6"/>
    <w:rsid w:val="001A2F92"/>
    <w:rsid w:val="001A308D"/>
    <w:rsid w:val="001A356A"/>
    <w:rsid w:val="001A392F"/>
    <w:rsid w:val="001A3989"/>
    <w:rsid w:val="001A3C5C"/>
    <w:rsid w:val="001A4F86"/>
    <w:rsid w:val="001A500C"/>
    <w:rsid w:val="001A526E"/>
    <w:rsid w:val="001A557F"/>
    <w:rsid w:val="001A58EB"/>
    <w:rsid w:val="001A5ACA"/>
    <w:rsid w:val="001A5C3E"/>
    <w:rsid w:val="001A5C60"/>
    <w:rsid w:val="001A606E"/>
    <w:rsid w:val="001A6234"/>
    <w:rsid w:val="001A6530"/>
    <w:rsid w:val="001A6C0B"/>
    <w:rsid w:val="001A6FF6"/>
    <w:rsid w:val="001A7295"/>
    <w:rsid w:val="001A7696"/>
    <w:rsid w:val="001B05C3"/>
    <w:rsid w:val="001B070D"/>
    <w:rsid w:val="001B0C0F"/>
    <w:rsid w:val="001B0E6F"/>
    <w:rsid w:val="001B112B"/>
    <w:rsid w:val="001B1259"/>
    <w:rsid w:val="001B165D"/>
    <w:rsid w:val="001B17A2"/>
    <w:rsid w:val="001B1C35"/>
    <w:rsid w:val="001B1E32"/>
    <w:rsid w:val="001B2480"/>
    <w:rsid w:val="001B256D"/>
    <w:rsid w:val="001B280B"/>
    <w:rsid w:val="001B2A91"/>
    <w:rsid w:val="001B3674"/>
    <w:rsid w:val="001B3B12"/>
    <w:rsid w:val="001B44DB"/>
    <w:rsid w:val="001B4884"/>
    <w:rsid w:val="001B510E"/>
    <w:rsid w:val="001B558B"/>
    <w:rsid w:val="001B57DD"/>
    <w:rsid w:val="001B5BF6"/>
    <w:rsid w:val="001B632D"/>
    <w:rsid w:val="001B6986"/>
    <w:rsid w:val="001B6B64"/>
    <w:rsid w:val="001B75E8"/>
    <w:rsid w:val="001B774A"/>
    <w:rsid w:val="001B78BA"/>
    <w:rsid w:val="001B7EA2"/>
    <w:rsid w:val="001C07AC"/>
    <w:rsid w:val="001C08F0"/>
    <w:rsid w:val="001C13B7"/>
    <w:rsid w:val="001C14AE"/>
    <w:rsid w:val="001C1847"/>
    <w:rsid w:val="001C1BA5"/>
    <w:rsid w:val="001C1D8C"/>
    <w:rsid w:val="001C23D5"/>
    <w:rsid w:val="001C24F4"/>
    <w:rsid w:val="001C2B58"/>
    <w:rsid w:val="001C2F8E"/>
    <w:rsid w:val="001C2FDF"/>
    <w:rsid w:val="001C3285"/>
    <w:rsid w:val="001C3CBE"/>
    <w:rsid w:val="001C3CE3"/>
    <w:rsid w:val="001C3DEE"/>
    <w:rsid w:val="001C3FD7"/>
    <w:rsid w:val="001C458D"/>
    <w:rsid w:val="001C460D"/>
    <w:rsid w:val="001C4626"/>
    <w:rsid w:val="001C4896"/>
    <w:rsid w:val="001C4D86"/>
    <w:rsid w:val="001C5673"/>
    <w:rsid w:val="001C587C"/>
    <w:rsid w:val="001C5B2C"/>
    <w:rsid w:val="001C5E85"/>
    <w:rsid w:val="001C6242"/>
    <w:rsid w:val="001C7147"/>
    <w:rsid w:val="001C7391"/>
    <w:rsid w:val="001C7722"/>
    <w:rsid w:val="001C7980"/>
    <w:rsid w:val="001C7FB8"/>
    <w:rsid w:val="001D04DE"/>
    <w:rsid w:val="001D1825"/>
    <w:rsid w:val="001D18E9"/>
    <w:rsid w:val="001D19F6"/>
    <w:rsid w:val="001D1E96"/>
    <w:rsid w:val="001D2487"/>
    <w:rsid w:val="001D2939"/>
    <w:rsid w:val="001D2BF1"/>
    <w:rsid w:val="001D2E92"/>
    <w:rsid w:val="001D3286"/>
    <w:rsid w:val="001D340D"/>
    <w:rsid w:val="001D3985"/>
    <w:rsid w:val="001D3C7F"/>
    <w:rsid w:val="001D3CCC"/>
    <w:rsid w:val="001D411B"/>
    <w:rsid w:val="001D4B87"/>
    <w:rsid w:val="001D531B"/>
    <w:rsid w:val="001D5BB7"/>
    <w:rsid w:val="001D6169"/>
    <w:rsid w:val="001D62E0"/>
    <w:rsid w:val="001D6822"/>
    <w:rsid w:val="001D7080"/>
    <w:rsid w:val="001D7410"/>
    <w:rsid w:val="001D79B8"/>
    <w:rsid w:val="001D7F82"/>
    <w:rsid w:val="001E0150"/>
    <w:rsid w:val="001E01E7"/>
    <w:rsid w:val="001E04AB"/>
    <w:rsid w:val="001E0775"/>
    <w:rsid w:val="001E084B"/>
    <w:rsid w:val="001E0A45"/>
    <w:rsid w:val="001E0BD4"/>
    <w:rsid w:val="001E0FE4"/>
    <w:rsid w:val="001E1089"/>
    <w:rsid w:val="001E13D0"/>
    <w:rsid w:val="001E1932"/>
    <w:rsid w:val="001E2E64"/>
    <w:rsid w:val="001E322A"/>
    <w:rsid w:val="001E34FC"/>
    <w:rsid w:val="001E3F38"/>
    <w:rsid w:val="001E3FD5"/>
    <w:rsid w:val="001E489E"/>
    <w:rsid w:val="001E49D1"/>
    <w:rsid w:val="001E4B09"/>
    <w:rsid w:val="001E4E8D"/>
    <w:rsid w:val="001E50F8"/>
    <w:rsid w:val="001E5450"/>
    <w:rsid w:val="001E5784"/>
    <w:rsid w:val="001E59B6"/>
    <w:rsid w:val="001E6278"/>
    <w:rsid w:val="001E6415"/>
    <w:rsid w:val="001E64FD"/>
    <w:rsid w:val="001E680D"/>
    <w:rsid w:val="001E68D3"/>
    <w:rsid w:val="001E7907"/>
    <w:rsid w:val="001E7ACB"/>
    <w:rsid w:val="001E7D1B"/>
    <w:rsid w:val="001F010F"/>
    <w:rsid w:val="001F04D7"/>
    <w:rsid w:val="001F054B"/>
    <w:rsid w:val="001F0598"/>
    <w:rsid w:val="001F06C0"/>
    <w:rsid w:val="001F0998"/>
    <w:rsid w:val="001F0FE4"/>
    <w:rsid w:val="001F1163"/>
    <w:rsid w:val="001F136D"/>
    <w:rsid w:val="001F16F7"/>
    <w:rsid w:val="001F1E89"/>
    <w:rsid w:val="001F2959"/>
    <w:rsid w:val="001F2A1E"/>
    <w:rsid w:val="001F30F0"/>
    <w:rsid w:val="001F3109"/>
    <w:rsid w:val="001F31D2"/>
    <w:rsid w:val="001F333F"/>
    <w:rsid w:val="001F3909"/>
    <w:rsid w:val="001F3D5B"/>
    <w:rsid w:val="001F3EA6"/>
    <w:rsid w:val="001F4187"/>
    <w:rsid w:val="001F4482"/>
    <w:rsid w:val="001F473F"/>
    <w:rsid w:val="001F479D"/>
    <w:rsid w:val="001F4C5D"/>
    <w:rsid w:val="001F4DAD"/>
    <w:rsid w:val="001F4E12"/>
    <w:rsid w:val="001F5621"/>
    <w:rsid w:val="001F5AF2"/>
    <w:rsid w:val="001F5BC8"/>
    <w:rsid w:val="001F5DA7"/>
    <w:rsid w:val="001F5DB2"/>
    <w:rsid w:val="001F6379"/>
    <w:rsid w:val="001F686C"/>
    <w:rsid w:val="001F6CA9"/>
    <w:rsid w:val="001F6F88"/>
    <w:rsid w:val="001F7305"/>
    <w:rsid w:val="001F75E7"/>
    <w:rsid w:val="001F7718"/>
    <w:rsid w:val="001F7E58"/>
    <w:rsid w:val="001F7EE6"/>
    <w:rsid w:val="002006C6"/>
    <w:rsid w:val="002006F2"/>
    <w:rsid w:val="00200850"/>
    <w:rsid w:val="00201064"/>
    <w:rsid w:val="00201AA9"/>
    <w:rsid w:val="00201CC1"/>
    <w:rsid w:val="002022EC"/>
    <w:rsid w:val="0020267E"/>
    <w:rsid w:val="002028E5"/>
    <w:rsid w:val="00202F21"/>
    <w:rsid w:val="0020316B"/>
    <w:rsid w:val="00203E51"/>
    <w:rsid w:val="002044D5"/>
    <w:rsid w:val="00204BDE"/>
    <w:rsid w:val="00204C09"/>
    <w:rsid w:val="00205237"/>
    <w:rsid w:val="00205769"/>
    <w:rsid w:val="00205965"/>
    <w:rsid w:val="00205C2A"/>
    <w:rsid w:val="00205D9F"/>
    <w:rsid w:val="002061EB"/>
    <w:rsid w:val="002064CC"/>
    <w:rsid w:val="00206752"/>
    <w:rsid w:val="00206CA3"/>
    <w:rsid w:val="00206FAA"/>
    <w:rsid w:val="00207615"/>
    <w:rsid w:val="00207A3C"/>
    <w:rsid w:val="00207A86"/>
    <w:rsid w:val="00207AC8"/>
    <w:rsid w:val="00207EDC"/>
    <w:rsid w:val="0021025F"/>
    <w:rsid w:val="002105D3"/>
    <w:rsid w:val="00210800"/>
    <w:rsid w:val="00211083"/>
    <w:rsid w:val="00211BFD"/>
    <w:rsid w:val="00212152"/>
    <w:rsid w:val="00212217"/>
    <w:rsid w:val="00212232"/>
    <w:rsid w:val="0021233F"/>
    <w:rsid w:val="00212371"/>
    <w:rsid w:val="0021241B"/>
    <w:rsid w:val="00212656"/>
    <w:rsid w:val="002129F1"/>
    <w:rsid w:val="00212AEB"/>
    <w:rsid w:val="00212C1D"/>
    <w:rsid w:val="00212EA2"/>
    <w:rsid w:val="00212F6C"/>
    <w:rsid w:val="00213107"/>
    <w:rsid w:val="002133A5"/>
    <w:rsid w:val="0021340B"/>
    <w:rsid w:val="00213567"/>
    <w:rsid w:val="002136BE"/>
    <w:rsid w:val="00213769"/>
    <w:rsid w:val="00213A6D"/>
    <w:rsid w:val="00213FE6"/>
    <w:rsid w:val="00214207"/>
    <w:rsid w:val="00214306"/>
    <w:rsid w:val="0021501C"/>
    <w:rsid w:val="00215252"/>
    <w:rsid w:val="0021549E"/>
    <w:rsid w:val="0021570D"/>
    <w:rsid w:val="0021586B"/>
    <w:rsid w:val="0021590F"/>
    <w:rsid w:val="00215A9C"/>
    <w:rsid w:val="00215B68"/>
    <w:rsid w:val="00216926"/>
    <w:rsid w:val="00217196"/>
    <w:rsid w:val="002171F6"/>
    <w:rsid w:val="0021730D"/>
    <w:rsid w:val="0021796C"/>
    <w:rsid w:val="00217BD7"/>
    <w:rsid w:val="00217BDF"/>
    <w:rsid w:val="00217BF7"/>
    <w:rsid w:val="00217C42"/>
    <w:rsid w:val="00220649"/>
    <w:rsid w:val="00220680"/>
    <w:rsid w:val="00220C71"/>
    <w:rsid w:val="00220FD3"/>
    <w:rsid w:val="00221A8E"/>
    <w:rsid w:val="00221C82"/>
    <w:rsid w:val="00221FED"/>
    <w:rsid w:val="002223E1"/>
    <w:rsid w:val="00222725"/>
    <w:rsid w:val="00222F5C"/>
    <w:rsid w:val="00222F91"/>
    <w:rsid w:val="002235EA"/>
    <w:rsid w:val="00223EAE"/>
    <w:rsid w:val="002241D0"/>
    <w:rsid w:val="002243F8"/>
    <w:rsid w:val="002245F8"/>
    <w:rsid w:val="0022475A"/>
    <w:rsid w:val="002260A1"/>
    <w:rsid w:val="002266BB"/>
    <w:rsid w:val="0022679C"/>
    <w:rsid w:val="0022688A"/>
    <w:rsid w:val="00226B36"/>
    <w:rsid w:val="00226C42"/>
    <w:rsid w:val="00226CE6"/>
    <w:rsid w:val="0022702E"/>
    <w:rsid w:val="002270F4"/>
    <w:rsid w:val="002271EF"/>
    <w:rsid w:val="00227407"/>
    <w:rsid w:val="002275FB"/>
    <w:rsid w:val="002277D3"/>
    <w:rsid w:val="00227884"/>
    <w:rsid w:val="00227D16"/>
    <w:rsid w:val="00230292"/>
    <w:rsid w:val="0023069F"/>
    <w:rsid w:val="002308A3"/>
    <w:rsid w:val="0023150A"/>
    <w:rsid w:val="002319E8"/>
    <w:rsid w:val="00231E4A"/>
    <w:rsid w:val="00231F68"/>
    <w:rsid w:val="00232126"/>
    <w:rsid w:val="0023260B"/>
    <w:rsid w:val="002326D1"/>
    <w:rsid w:val="002327DF"/>
    <w:rsid w:val="00232BEA"/>
    <w:rsid w:val="00232D03"/>
    <w:rsid w:val="00233116"/>
    <w:rsid w:val="0023346E"/>
    <w:rsid w:val="00233B2D"/>
    <w:rsid w:val="00233E17"/>
    <w:rsid w:val="00233FD1"/>
    <w:rsid w:val="00234AE4"/>
    <w:rsid w:val="00234EF6"/>
    <w:rsid w:val="0023522D"/>
    <w:rsid w:val="00235260"/>
    <w:rsid w:val="002356F7"/>
    <w:rsid w:val="00235BCC"/>
    <w:rsid w:val="00235E1F"/>
    <w:rsid w:val="002360DE"/>
    <w:rsid w:val="002364F9"/>
    <w:rsid w:val="00237214"/>
    <w:rsid w:val="00237314"/>
    <w:rsid w:val="0023762F"/>
    <w:rsid w:val="00237A92"/>
    <w:rsid w:val="00237D0D"/>
    <w:rsid w:val="00237DAB"/>
    <w:rsid w:val="00237DCF"/>
    <w:rsid w:val="00237DFE"/>
    <w:rsid w:val="0024009D"/>
    <w:rsid w:val="002400E3"/>
    <w:rsid w:val="0024056B"/>
    <w:rsid w:val="002406AD"/>
    <w:rsid w:val="00240CA4"/>
    <w:rsid w:val="00240CA6"/>
    <w:rsid w:val="00241186"/>
    <w:rsid w:val="00242535"/>
    <w:rsid w:val="002425FB"/>
    <w:rsid w:val="00242802"/>
    <w:rsid w:val="00242CE8"/>
    <w:rsid w:val="00243104"/>
    <w:rsid w:val="002431D4"/>
    <w:rsid w:val="00243CCF"/>
    <w:rsid w:val="00243FFA"/>
    <w:rsid w:val="0024401E"/>
    <w:rsid w:val="0024417A"/>
    <w:rsid w:val="002445C6"/>
    <w:rsid w:val="00244D03"/>
    <w:rsid w:val="002458B1"/>
    <w:rsid w:val="0024597E"/>
    <w:rsid w:val="00245E9E"/>
    <w:rsid w:val="0024646D"/>
    <w:rsid w:val="002466FF"/>
    <w:rsid w:val="00246C53"/>
    <w:rsid w:val="00247079"/>
    <w:rsid w:val="0024710C"/>
    <w:rsid w:val="002471F6"/>
    <w:rsid w:val="00247303"/>
    <w:rsid w:val="00247A23"/>
    <w:rsid w:val="002500CE"/>
    <w:rsid w:val="00250691"/>
    <w:rsid w:val="00250701"/>
    <w:rsid w:val="00250817"/>
    <w:rsid w:val="00250A92"/>
    <w:rsid w:val="00250CC7"/>
    <w:rsid w:val="00250F23"/>
    <w:rsid w:val="002512B3"/>
    <w:rsid w:val="00251B8F"/>
    <w:rsid w:val="00251EAB"/>
    <w:rsid w:val="00251F35"/>
    <w:rsid w:val="00252095"/>
    <w:rsid w:val="002520C3"/>
    <w:rsid w:val="00252204"/>
    <w:rsid w:val="0025244C"/>
    <w:rsid w:val="00252E0A"/>
    <w:rsid w:val="00253153"/>
    <w:rsid w:val="0025318D"/>
    <w:rsid w:val="0025332A"/>
    <w:rsid w:val="00253668"/>
    <w:rsid w:val="00253870"/>
    <w:rsid w:val="00253A1B"/>
    <w:rsid w:val="00254CB1"/>
    <w:rsid w:val="0025501D"/>
    <w:rsid w:val="0025529D"/>
    <w:rsid w:val="0025554A"/>
    <w:rsid w:val="002556B0"/>
    <w:rsid w:val="00255780"/>
    <w:rsid w:val="00255877"/>
    <w:rsid w:val="00255C0E"/>
    <w:rsid w:val="00255C8E"/>
    <w:rsid w:val="00255E5D"/>
    <w:rsid w:val="002563B3"/>
    <w:rsid w:val="00256840"/>
    <w:rsid w:val="0025694A"/>
    <w:rsid w:val="00256999"/>
    <w:rsid w:val="002571AF"/>
    <w:rsid w:val="00257669"/>
    <w:rsid w:val="00257ED9"/>
    <w:rsid w:val="002606FD"/>
    <w:rsid w:val="00260723"/>
    <w:rsid w:val="00261A43"/>
    <w:rsid w:val="00261FF8"/>
    <w:rsid w:val="002625A5"/>
    <w:rsid w:val="002628BC"/>
    <w:rsid w:val="002638A1"/>
    <w:rsid w:val="00263F61"/>
    <w:rsid w:val="0026431C"/>
    <w:rsid w:val="002648F1"/>
    <w:rsid w:val="00265339"/>
    <w:rsid w:val="00265D31"/>
    <w:rsid w:val="002660BC"/>
    <w:rsid w:val="00266B03"/>
    <w:rsid w:val="00266BAA"/>
    <w:rsid w:val="002671C5"/>
    <w:rsid w:val="002672EF"/>
    <w:rsid w:val="00267591"/>
    <w:rsid w:val="00267A72"/>
    <w:rsid w:val="00267CFC"/>
    <w:rsid w:val="00267D54"/>
    <w:rsid w:val="002701F0"/>
    <w:rsid w:val="002702F0"/>
    <w:rsid w:val="0027034D"/>
    <w:rsid w:val="00270564"/>
    <w:rsid w:val="00270E32"/>
    <w:rsid w:val="002711F5"/>
    <w:rsid w:val="00271667"/>
    <w:rsid w:val="002725A3"/>
    <w:rsid w:val="00272605"/>
    <w:rsid w:val="00272CEC"/>
    <w:rsid w:val="00273127"/>
    <w:rsid w:val="002735B5"/>
    <w:rsid w:val="0027362A"/>
    <w:rsid w:val="00273C67"/>
    <w:rsid w:val="00273D85"/>
    <w:rsid w:val="00273D97"/>
    <w:rsid w:val="002742E1"/>
    <w:rsid w:val="002744B4"/>
    <w:rsid w:val="0027491C"/>
    <w:rsid w:val="0027533B"/>
    <w:rsid w:val="0027535E"/>
    <w:rsid w:val="00275786"/>
    <w:rsid w:val="00275F38"/>
    <w:rsid w:val="00276AB3"/>
    <w:rsid w:val="00276B1C"/>
    <w:rsid w:val="00276D03"/>
    <w:rsid w:val="00276D2C"/>
    <w:rsid w:val="00276ECC"/>
    <w:rsid w:val="002774EA"/>
    <w:rsid w:val="002777E5"/>
    <w:rsid w:val="00277B7B"/>
    <w:rsid w:val="00277EB7"/>
    <w:rsid w:val="00280B02"/>
    <w:rsid w:val="00280D18"/>
    <w:rsid w:val="002810D2"/>
    <w:rsid w:val="00281277"/>
    <w:rsid w:val="002812A3"/>
    <w:rsid w:val="00281614"/>
    <w:rsid w:val="00281987"/>
    <w:rsid w:val="00281BF1"/>
    <w:rsid w:val="002824A2"/>
    <w:rsid w:val="002824C0"/>
    <w:rsid w:val="00282576"/>
    <w:rsid w:val="00282E3B"/>
    <w:rsid w:val="00283066"/>
    <w:rsid w:val="00283660"/>
    <w:rsid w:val="0028385B"/>
    <w:rsid w:val="00283A65"/>
    <w:rsid w:val="0028426A"/>
    <w:rsid w:val="00284282"/>
    <w:rsid w:val="002843C3"/>
    <w:rsid w:val="0028457E"/>
    <w:rsid w:val="002848D6"/>
    <w:rsid w:val="00284BF1"/>
    <w:rsid w:val="00285355"/>
    <w:rsid w:val="00285499"/>
    <w:rsid w:val="002854DB"/>
    <w:rsid w:val="0028565F"/>
    <w:rsid w:val="00285701"/>
    <w:rsid w:val="00285832"/>
    <w:rsid w:val="00285CC1"/>
    <w:rsid w:val="002863B0"/>
    <w:rsid w:val="002863EC"/>
    <w:rsid w:val="002866EE"/>
    <w:rsid w:val="00286920"/>
    <w:rsid w:val="00286D5E"/>
    <w:rsid w:val="002870F9"/>
    <w:rsid w:val="00287615"/>
    <w:rsid w:val="002878A0"/>
    <w:rsid w:val="00287F66"/>
    <w:rsid w:val="00290868"/>
    <w:rsid w:val="002908F3"/>
    <w:rsid w:val="00290E9D"/>
    <w:rsid w:val="00291EBB"/>
    <w:rsid w:val="00291F98"/>
    <w:rsid w:val="00293722"/>
    <w:rsid w:val="00293826"/>
    <w:rsid w:val="002938D1"/>
    <w:rsid w:val="00293A67"/>
    <w:rsid w:val="00293B52"/>
    <w:rsid w:val="00293E51"/>
    <w:rsid w:val="00293FFA"/>
    <w:rsid w:val="00294276"/>
    <w:rsid w:val="00294979"/>
    <w:rsid w:val="00294A49"/>
    <w:rsid w:val="00294A4E"/>
    <w:rsid w:val="00294BE7"/>
    <w:rsid w:val="00294E8F"/>
    <w:rsid w:val="002952DB"/>
    <w:rsid w:val="00295CA6"/>
    <w:rsid w:val="00295E3F"/>
    <w:rsid w:val="00295F1F"/>
    <w:rsid w:val="00296427"/>
    <w:rsid w:val="002965E8"/>
    <w:rsid w:val="0029679A"/>
    <w:rsid w:val="002970F3"/>
    <w:rsid w:val="0029787C"/>
    <w:rsid w:val="00297D40"/>
    <w:rsid w:val="002A0C5D"/>
    <w:rsid w:val="002A0F95"/>
    <w:rsid w:val="002A1236"/>
    <w:rsid w:val="002A136B"/>
    <w:rsid w:val="002A184E"/>
    <w:rsid w:val="002A1A7D"/>
    <w:rsid w:val="002A1C5A"/>
    <w:rsid w:val="002A200B"/>
    <w:rsid w:val="002A25D1"/>
    <w:rsid w:val="002A28E5"/>
    <w:rsid w:val="002A2909"/>
    <w:rsid w:val="002A3449"/>
    <w:rsid w:val="002A34A6"/>
    <w:rsid w:val="002A3620"/>
    <w:rsid w:val="002A37B3"/>
    <w:rsid w:val="002A38C8"/>
    <w:rsid w:val="002A3CDB"/>
    <w:rsid w:val="002A3E2C"/>
    <w:rsid w:val="002A3E73"/>
    <w:rsid w:val="002A4035"/>
    <w:rsid w:val="002A4409"/>
    <w:rsid w:val="002A45F4"/>
    <w:rsid w:val="002A4876"/>
    <w:rsid w:val="002A4971"/>
    <w:rsid w:val="002A4AF4"/>
    <w:rsid w:val="002A55CD"/>
    <w:rsid w:val="002A5B60"/>
    <w:rsid w:val="002A5FB0"/>
    <w:rsid w:val="002A6316"/>
    <w:rsid w:val="002A6620"/>
    <w:rsid w:val="002A68A8"/>
    <w:rsid w:val="002A71D3"/>
    <w:rsid w:val="002A74D4"/>
    <w:rsid w:val="002A7754"/>
    <w:rsid w:val="002A7893"/>
    <w:rsid w:val="002B015E"/>
    <w:rsid w:val="002B038C"/>
    <w:rsid w:val="002B070C"/>
    <w:rsid w:val="002B0741"/>
    <w:rsid w:val="002B0C39"/>
    <w:rsid w:val="002B0F65"/>
    <w:rsid w:val="002B1250"/>
    <w:rsid w:val="002B1311"/>
    <w:rsid w:val="002B1479"/>
    <w:rsid w:val="002B173C"/>
    <w:rsid w:val="002B19E1"/>
    <w:rsid w:val="002B2A8C"/>
    <w:rsid w:val="002B2B71"/>
    <w:rsid w:val="002B2BC5"/>
    <w:rsid w:val="002B3017"/>
    <w:rsid w:val="002B32F9"/>
    <w:rsid w:val="002B3465"/>
    <w:rsid w:val="002B3C0A"/>
    <w:rsid w:val="002B3E92"/>
    <w:rsid w:val="002B408B"/>
    <w:rsid w:val="002B4162"/>
    <w:rsid w:val="002B41F6"/>
    <w:rsid w:val="002B4C39"/>
    <w:rsid w:val="002B4D3A"/>
    <w:rsid w:val="002B4FDA"/>
    <w:rsid w:val="002B5505"/>
    <w:rsid w:val="002B56E1"/>
    <w:rsid w:val="002B58E0"/>
    <w:rsid w:val="002B5CF8"/>
    <w:rsid w:val="002B5F92"/>
    <w:rsid w:val="002B632C"/>
    <w:rsid w:val="002B63ED"/>
    <w:rsid w:val="002B68C0"/>
    <w:rsid w:val="002B6A0D"/>
    <w:rsid w:val="002B719B"/>
    <w:rsid w:val="002B71F6"/>
    <w:rsid w:val="002C0780"/>
    <w:rsid w:val="002C088A"/>
    <w:rsid w:val="002C0A79"/>
    <w:rsid w:val="002C0DD7"/>
    <w:rsid w:val="002C1046"/>
    <w:rsid w:val="002C162D"/>
    <w:rsid w:val="002C1A4D"/>
    <w:rsid w:val="002C225A"/>
    <w:rsid w:val="002C227B"/>
    <w:rsid w:val="002C23CB"/>
    <w:rsid w:val="002C28BC"/>
    <w:rsid w:val="002C2F6F"/>
    <w:rsid w:val="002C36AA"/>
    <w:rsid w:val="002C36FB"/>
    <w:rsid w:val="002C394C"/>
    <w:rsid w:val="002C3A64"/>
    <w:rsid w:val="002C3CB2"/>
    <w:rsid w:val="002C3CFC"/>
    <w:rsid w:val="002C3D14"/>
    <w:rsid w:val="002C402A"/>
    <w:rsid w:val="002C4240"/>
    <w:rsid w:val="002C4DA8"/>
    <w:rsid w:val="002C4E51"/>
    <w:rsid w:val="002C4EED"/>
    <w:rsid w:val="002C4F56"/>
    <w:rsid w:val="002C4FE0"/>
    <w:rsid w:val="002C51AA"/>
    <w:rsid w:val="002C5630"/>
    <w:rsid w:val="002C5E92"/>
    <w:rsid w:val="002C5F1A"/>
    <w:rsid w:val="002C6046"/>
    <w:rsid w:val="002C65CA"/>
    <w:rsid w:val="002C6A4E"/>
    <w:rsid w:val="002C6B57"/>
    <w:rsid w:val="002C6D86"/>
    <w:rsid w:val="002C6F79"/>
    <w:rsid w:val="002C704C"/>
    <w:rsid w:val="002C7186"/>
    <w:rsid w:val="002C7D88"/>
    <w:rsid w:val="002D00E9"/>
    <w:rsid w:val="002D0130"/>
    <w:rsid w:val="002D0654"/>
    <w:rsid w:val="002D091C"/>
    <w:rsid w:val="002D0ED9"/>
    <w:rsid w:val="002D1433"/>
    <w:rsid w:val="002D18B4"/>
    <w:rsid w:val="002D2050"/>
    <w:rsid w:val="002D21C1"/>
    <w:rsid w:val="002D2B6A"/>
    <w:rsid w:val="002D2C49"/>
    <w:rsid w:val="002D2CBA"/>
    <w:rsid w:val="002D332C"/>
    <w:rsid w:val="002D3643"/>
    <w:rsid w:val="002D3A4D"/>
    <w:rsid w:val="002D3E53"/>
    <w:rsid w:val="002D42A9"/>
    <w:rsid w:val="002D42C3"/>
    <w:rsid w:val="002D4A7D"/>
    <w:rsid w:val="002D4CAA"/>
    <w:rsid w:val="002D4D2C"/>
    <w:rsid w:val="002D4EF4"/>
    <w:rsid w:val="002D4FAA"/>
    <w:rsid w:val="002D56B1"/>
    <w:rsid w:val="002D5744"/>
    <w:rsid w:val="002D58A6"/>
    <w:rsid w:val="002D5A35"/>
    <w:rsid w:val="002D5D1D"/>
    <w:rsid w:val="002D61A8"/>
    <w:rsid w:val="002D6225"/>
    <w:rsid w:val="002D62C3"/>
    <w:rsid w:val="002D6438"/>
    <w:rsid w:val="002D644E"/>
    <w:rsid w:val="002D6595"/>
    <w:rsid w:val="002D684D"/>
    <w:rsid w:val="002D6853"/>
    <w:rsid w:val="002D6BB3"/>
    <w:rsid w:val="002D7032"/>
    <w:rsid w:val="002D72B6"/>
    <w:rsid w:val="002D7640"/>
    <w:rsid w:val="002D76C2"/>
    <w:rsid w:val="002D775C"/>
    <w:rsid w:val="002D7D47"/>
    <w:rsid w:val="002E01E4"/>
    <w:rsid w:val="002E021D"/>
    <w:rsid w:val="002E05AA"/>
    <w:rsid w:val="002E0CA1"/>
    <w:rsid w:val="002E110F"/>
    <w:rsid w:val="002E1216"/>
    <w:rsid w:val="002E1E02"/>
    <w:rsid w:val="002E2094"/>
    <w:rsid w:val="002E215F"/>
    <w:rsid w:val="002E2578"/>
    <w:rsid w:val="002E261A"/>
    <w:rsid w:val="002E2812"/>
    <w:rsid w:val="002E297D"/>
    <w:rsid w:val="002E3028"/>
    <w:rsid w:val="002E3635"/>
    <w:rsid w:val="002E3882"/>
    <w:rsid w:val="002E39E7"/>
    <w:rsid w:val="002E3B8B"/>
    <w:rsid w:val="002E3C8A"/>
    <w:rsid w:val="002E3E41"/>
    <w:rsid w:val="002E3F05"/>
    <w:rsid w:val="002E40F2"/>
    <w:rsid w:val="002E4509"/>
    <w:rsid w:val="002E47AD"/>
    <w:rsid w:val="002E5485"/>
    <w:rsid w:val="002E5704"/>
    <w:rsid w:val="002E5817"/>
    <w:rsid w:val="002E594A"/>
    <w:rsid w:val="002E59C9"/>
    <w:rsid w:val="002E624B"/>
    <w:rsid w:val="002E694D"/>
    <w:rsid w:val="002E6A0B"/>
    <w:rsid w:val="002E6DD6"/>
    <w:rsid w:val="002E6FA7"/>
    <w:rsid w:val="002E7C19"/>
    <w:rsid w:val="002F0493"/>
    <w:rsid w:val="002F059A"/>
    <w:rsid w:val="002F06F3"/>
    <w:rsid w:val="002F0C15"/>
    <w:rsid w:val="002F1E4E"/>
    <w:rsid w:val="002F1E81"/>
    <w:rsid w:val="002F21AD"/>
    <w:rsid w:val="002F251D"/>
    <w:rsid w:val="002F257D"/>
    <w:rsid w:val="002F2945"/>
    <w:rsid w:val="002F2AD3"/>
    <w:rsid w:val="002F2E97"/>
    <w:rsid w:val="002F314D"/>
    <w:rsid w:val="002F33A9"/>
    <w:rsid w:val="002F3561"/>
    <w:rsid w:val="002F390A"/>
    <w:rsid w:val="002F39C3"/>
    <w:rsid w:val="002F3ED7"/>
    <w:rsid w:val="002F3FB0"/>
    <w:rsid w:val="002F40E2"/>
    <w:rsid w:val="002F4594"/>
    <w:rsid w:val="002F5382"/>
    <w:rsid w:val="002F55E4"/>
    <w:rsid w:val="002F5BDA"/>
    <w:rsid w:val="002F5F02"/>
    <w:rsid w:val="002F64B2"/>
    <w:rsid w:val="002F6AB4"/>
    <w:rsid w:val="002F6CFF"/>
    <w:rsid w:val="002F6FA0"/>
    <w:rsid w:val="002F7057"/>
    <w:rsid w:val="002F72FF"/>
    <w:rsid w:val="002F7397"/>
    <w:rsid w:val="002F78B8"/>
    <w:rsid w:val="002F7B86"/>
    <w:rsid w:val="002F7D56"/>
    <w:rsid w:val="0030040E"/>
    <w:rsid w:val="00300982"/>
    <w:rsid w:val="003015AA"/>
    <w:rsid w:val="00301B9D"/>
    <w:rsid w:val="00301FD1"/>
    <w:rsid w:val="0030244A"/>
    <w:rsid w:val="003024D2"/>
    <w:rsid w:val="003026D4"/>
    <w:rsid w:val="00302A12"/>
    <w:rsid w:val="00302DB3"/>
    <w:rsid w:val="00302EAC"/>
    <w:rsid w:val="00302F0B"/>
    <w:rsid w:val="00303181"/>
    <w:rsid w:val="00303BCF"/>
    <w:rsid w:val="00303C88"/>
    <w:rsid w:val="00304137"/>
    <w:rsid w:val="0030459F"/>
    <w:rsid w:val="00305034"/>
    <w:rsid w:val="0030538F"/>
    <w:rsid w:val="003055D0"/>
    <w:rsid w:val="0030572E"/>
    <w:rsid w:val="00305815"/>
    <w:rsid w:val="00305844"/>
    <w:rsid w:val="00305965"/>
    <w:rsid w:val="00305D45"/>
    <w:rsid w:val="0030660F"/>
    <w:rsid w:val="00307335"/>
    <w:rsid w:val="003074C0"/>
    <w:rsid w:val="0031004D"/>
    <w:rsid w:val="00310820"/>
    <w:rsid w:val="00310A66"/>
    <w:rsid w:val="00310FEC"/>
    <w:rsid w:val="00311C81"/>
    <w:rsid w:val="00312665"/>
    <w:rsid w:val="00312A14"/>
    <w:rsid w:val="00312FA6"/>
    <w:rsid w:val="00313067"/>
    <w:rsid w:val="0031306D"/>
    <w:rsid w:val="003130D5"/>
    <w:rsid w:val="0031322A"/>
    <w:rsid w:val="00313326"/>
    <w:rsid w:val="00313580"/>
    <w:rsid w:val="00313587"/>
    <w:rsid w:val="0031366E"/>
    <w:rsid w:val="003137AA"/>
    <w:rsid w:val="00313B47"/>
    <w:rsid w:val="00313D8E"/>
    <w:rsid w:val="00314118"/>
    <w:rsid w:val="00314D2B"/>
    <w:rsid w:val="003151B0"/>
    <w:rsid w:val="0031534B"/>
    <w:rsid w:val="003154A1"/>
    <w:rsid w:val="0031555E"/>
    <w:rsid w:val="00315893"/>
    <w:rsid w:val="0031596B"/>
    <w:rsid w:val="0031597E"/>
    <w:rsid w:val="0031599B"/>
    <w:rsid w:val="00315CAF"/>
    <w:rsid w:val="0031625B"/>
    <w:rsid w:val="0031646E"/>
    <w:rsid w:val="00316736"/>
    <w:rsid w:val="0031697B"/>
    <w:rsid w:val="00316AF0"/>
    <w:rsid w:val="00317397"/>
    <w:rsid w:val="00317659"/>
    <w:rsid w:val="00317E86"/>
    <w:rsid w:val="00320022"/>
    <w:rsid w:val="00320ACF"/>
    <w:rsid w:val="00320ED6"/>
    <w:rsid w:val="00321279"/>
    <w:rsid w:val="00322202"/>
    <w:rsid w:val="0032241D"/>
    <w:rsid w:val="00322586"/>
    <w:rsid w:val="00322803"/>
    <w:rsid w:val="00322A5B"/>
    <w:rsid w:val="00322B46"/>
    <w:rsid w:val="00322BE7"/>
    <w:rsid w:val="00322FCE"/>
    <w:rsid w:val="00323387"/>
    <w:rsid w:val="00323BFB"/>
    <w:rsid w:val="00323D2F"/>
    <w:rsid w:val="00323E20"/>
    <w:rsid w:val="00323E59"/>
    <w:rsid w:val="003240A3"/>
    <w:rsid w:val="0032410F"/>
    <w:rsid w:val="003242D4"/>
    <w:rsid w:val="00324EE6"/>
    <w:rsid w:val="00325DBC"/>
    <w:rsid w:val="00326230"/>
    <w:rsid w:val="003265A7"/>
    <w:rsid w:val="0032704C"/>
    <w:rsid w:val="003271BF"/>
    <w:rsid w:val="0032785E"/>
    <w:rsid w:val="00327A1E"/>
    <w:rsid w:val="00327CF5"/>
    <w:rsid w:val="003305D8"/>
    <w:rsid w:val="00330EF6"/>
    <w:rsid w:val="00331245"/>
    <w:rsid w:val="003314AD"/>
    <w:rsid w:val="00331858"/>
    <w:rsid w:val="003318C3"/>
    <w:rsid w:val="00332EDD"/>
    <w:rsid w:val="003334E3"/>
    <w:rsid w:val="00333576"/>
    <w:rsid w:val="003338E9"/>
    <w:rsid w:val="00333A51"/>
    <w:rsid w:val="003343EB"/>
    <w:rsid w:val="00334680"/>
    <w:rsid w:val="0033484C"/>
    <w:rsid w:val="00334BAE"/>
    <w:rsid w:val="00334F17"/>
    <w:rsid w:val="00335159"/>
    <w:rsid w:val="003351DF"/>
    <w:rsid w:val="0033530F"/>
    <w:rsid w:val="003355DC"/>
    <w:rsid w:val="00336424"/>
    <w:rsid w:val="00336DD2"/>
    <w:rsid w:val="00336F99"/>
    <w:rsid w:val="0033734C"/>
    <w:rsid w:val="00337909"/>
    <w:rsid w:val="003379EB"/>
    <w:rsid w:val="0034056D"/>
    <w:rsid w:val="0034078A"/>
    <w:rsid w:val="00340901"/>
    <w:rsid w:val="00341513"/>
    <w:rsid w:val="003416CC"/>
    <w:rsid w:val="0034180F"/>
    <w:rsid w:val="00341815"/>
    <w:rsid w:val="00341944"/>
    <w:rsid w:val="003419EB"/>
    <w:rsid w:val="00343366"/>
    <w:rsid w:val="003433A4"/>
    <w:rsid w:val="0034360A"/>
    <w:rsid w:val="003438B2"/>
    <w:rsid w:val="00344210"/>
    <w:rsid w:val="00344551"/>
    <w:rsid w:val="003448FD"/>
    <w:rsid w:val="003449A5"/>
    <w:rsid w:val="00345271"/>
    <w:rsid w:val="00346110"/>
    <w:rsid w:val="00346507"/>
    <w:rsid w:val="003469D7"/>
    <w:rsid w:val="00346A9E"/>
    <w:rsid w:val="00346B09"/>
    <w:rsid w:val="00347B27"/>
    <w:rsid w:val="0035024D"/>
    <w:rsid w:val="003508E6"/>
    <w:rsid w:val="00350B80"/>
    <w:rsid w:val="00351333"/>
    <w:rsid w:val="0035158A"/>
    <w:rsid w:val="00351651"/>
    <w:rsid w:val="0035209F"/>
    <w:rsid w:val="003521B5"/>
    <w:rsid w:val="003528D4"/>
    <w:rsid w:val="00352ABB"/>
    <w:rsid w:val="00353BA9"/>
    <w:rsid w:val="00353EB6"/>
    <w:rsid w:val="00353FBD"/>
    <w:rsid w:val="00354598"/>
    <w:rsid w:val="00354614"/>
    <w:rsid w:val="00354BAB"/>
    <w:rsid w:val="00355A4F"/>
    <w:rsid w:val="00355C7A"/>
    <w:rsid w:val="0035630A"/>
    <w:rsid w:val="0035670F"/>
    <w:rsid w:val="00356BA9"/>
    <w:rsid w:val="003574D7"/>
    <w:rsid w:val="0035793B"/>
    <w:rsid w:val="00360069"/>
    <w:rsid w:val="00360463"/>
    <w:rsid w:val="0036065C"/>
    <w:rsid w:val="003609E3"/>
    <w:rsid w:val="00360CF0"/>
    <w:rsid w:val="00360D53"/>
    <w:rsid w:val="003610DB"/>
    <w:rsid w:val="003621A0"/>
    <w:rsid w:val="00362357"/>
    <w:rsid w:val="00362666"/>
    <w:rsid w:val="003627E0"/>
    <w:rsid w:val="00362C7C"/>
    <w:rsid w:val="003637BE"/>
    <w:rsid w:val="00364FE1"/>
    <w:rsid w:val="003651A5"/>
    <w:rsid w:val="00365891"/>
    <w:rsid w:val="00365C4C"/>
    <w:rsid w:val="00365C5D"/>
    <w:rsid w:val="00365C99"/>
    <w:rsid w:val="00365ED1"/>
    <w:rsid w:val="00365FE4"/>
    <w:rsid w:val="00366026"/>
    <w:rsid w:val="003661CF"/>
    <w:rsid w:val="00366293"/>
    <w:rsid w:val="0036643B"/>
    <w:rsid w:val="0036654E"/>
    <w:rsid w:val="00366567"/>
    <w:rsid w:val="003665C6"/>
    <w:rsid w:val="00367150"/>
    <w:rsid w:val="0036740F"/>
    <w:rsid w:val="00367772"/>
    <w:rsid w:val="00370791"/>
    <w:rsid w:val="003708D0"/>
    <w:rsid w:val="00370939"/>
    <w:rsid w:val="00370FC4"/>
    <w:rsid w:val="00371331"/>
    <w:rsid w:val="00371532"/>
    <w:rsid w:val="00371709"/>
    <w:rsid w:val="003718EB"/>
    <w:rsid w:val="003724B4"/>
    <w:rsid w:val="003734AA"/>
    <w:rsid w:val="00373A0E"/>
    <w:rsid w:val="00373AE2"/>
    <w:rsid w:val="00373BBB"/>
    <w:rsid w:val="0037454B"/>
    <w:rsid w:val="00375356"/>
    <w:rsid w:val="00375668"/>
    <w:rsid w:val="0037580C"/>
    <w:rsid w:val="00375C7B"/>
    <w:rsid w:val="003760A2"/>
    <w:rsid w:val="003767F3"/>
    <w:rsid w:val="00376928"/>
    <w:rsid w:val="00376EEA"/>
    <w:rsid w:val="00377175"/>
    <w:rsid w:val="00377CA3"/>
    <w:rsid w:val="00377EB2"/>
    <w:rsid w:val="0038086E"/>
    <w:rsid w:val="0038124C"/>
    <w:rsid w:val="00381707"/>
    <w:rsid w:val="00381C73"/>
    <w:rsid w:val="00381DDF"/>
    <w:rsid w:val="00381E21"/>
    <w:rsid w:val="0038216E"/>
    <w:rsid w:val="0038304B"/>
    <w:rsid w:val="0038357D"/>
    <w:rsid w:val="00383C91"/>
    <w:rsid w:val="00384691"/>
    <w:rsid w:val="003848DF"/>
    <w:rsid w:val="00384D0A"/>
    <w:rsid w:val="00385103"/>
    <w:rsid w:val="0038535C"/>
    <w:rsid w:val="003857F2"/>
    <w:rsid w:val="00385BBA"/>
    <w:rsid w:val="00385D88"/>
    <w:rsid w:val="00386082"/>
    <w:rsid w:val="00386113"/>
    <w:rsid w:val="00386436"/>
    <w:rsid w:val="0038664A"/>
    <w:rsid w:val="00386775"/>
    <w:rsid w:val="00386A18"/>
    <w:rsid w:val="00386CCC"/>
    <w:rsid w:val="0038750C"/>
    <w:rsid w:val="00387997"/>
    <w:rsid w:val="00387D21"/>
    <w:rsid w:val="00387D5D"/>
    <w:rsid w:val="00390429"/>
    <w:rsid w:val="00390EC3"/>
    <w:rsid w:val="00391D2A"/>
    <w:rsid w:val="00392661"/>
    <w:rsid w:val="00392ACC"/>
    <w:rsid w:val="00392C20"/>
    <w:rsid w:val="00392C83"/>
    <w:rsid w:val="00392C9B"/>
    <w:rsid w:val="003936B5"/>
    <w:rsid w:val="003939D1"/>
    <w:rsid w:val="00393A96"/>
    <w:rsid w:val="00393FEE"/>
    <w:rsid w:val="003942F8"/>
    <w:rsid w:val="0039443C"/>
    <w:rsid w:val="003944B5"/>
    <w:rsid w:val="00394664"/>
    <w:rsid w:val="00394727"/>
    <w:rsid w:val="00394BFB"/>
    <w:rsid w:val="00394C33"/>
    <w:rsid w:val="00394C85"/>
    <w:rsid w:val="003955F3"/>
    <w:rsid w:val="00395635"/>
    <w:rsid w:val="003957AF"/>
    <w:rsid w:val="0039583D"/>
    <w:rsid w:val="00395E91"/>
    <w:rsid w:val="00396104"/>
    <w:rsid w:val="003965AC"/>
    <w:rsid w:val="003965EF"/>
    <w:rsid w:val="00396CBC"/>
    <w:rsid w:val="00396F62"/>
    <w:rsid w:val="0039721F"/>
    <w:rsid w:val="00397240"/>
    <w:rsid w:val="0039740E"/>
    <w:rsid w:val="003978FE"/>
    <w:rsid w:val="00397E19"/>
    <w:rsid w:val="003A0100"/>
    <w:rsid w:val="003A07F7"/>
    <w:rsid w:val="003A0DF9"/>
    <w:rsid w:val="003A107C"/>
    <w:rsid w:val="003A123D"/>
    <w:rsid w:val="003A1453"/>
    <w:rsid w:val="003A24CB"/>
    <w:rsid w:val="003A24FC"/>
    <w:rsid w:val="003A28EA"/>
    <w:rsid w:val="003A2FEE"/>
    <w:rsid w:val="003A3145"/>
    <w:rsid w:val="003A3249"/>
    <w:rsid w:val="003A3690"/>
    <w:rsid w:val="003A3D27"/>
    <w:rsid w:val="003A3E14"/>
    <w:rsid w:val="003A4128"/>
    <w:rsid w:val="003A4455"/>
    <w:rsid w:val="003A4811"/>
    <w:rsid w:val="003A51CA"/>
    <w:rsid w:val="003A5776"/>
    <w:rsid w:val="003A589D"/>
    <w:rsid w:val="003A5AAD"/>
    <w:rsid w:val="003A5B47"/>
    <w:rsid w:val="003A5ED2"/>
    <w:rsid w:val="003A6153"/>
    <w:rsid w:val="003A675E"/>
    <w:rsid w:val="003A6992"/>
    <w:rsid w:val="003A6B64"/>
    <w:rsid w:val="003A6B9D"/>
    <w:rsid w:val="003A6D78"/>
    <w:rsid w:val="003A715D"/>
    <w:rsid w:val="003A745E"/>
    <w:rsid w:val="003A794E"/>
    <w:rsid w:val="003A7D07"/>
    <w:rsid w:val="003B0194"/>
    <w:rsid w:val="003B0883"/>
    <w:rsid w:val="003B0A53"/>
    <w:rsid w:val="003B0A68"/>
    <w:rsid w:val="003B0CF1"/>
    <w:rsid w:val="003B126D"/>
    <w:rsid w:val="003B156D"/>
    <w:rsid w:val="003B16ED"/>
    <w:rsid w:val="003B1DF5"/>
    <w:rsid w:val="003B277D"/>
    <w:rsid w:val="003B3692"/>
    <w:rsid w:val="003B3DFB"/>
    <w:rsid w:val="003B4207"/>
    <w:rsid w:val="003B4747"/>
    <w:rsid w:val="003B48C1"/>
    <w:rsid w:val="003B48D8"/>
    <w:rsid w:val="003B4D7A"/>
    <w:rsid w:val="003B50E5"/>
    <w:rsid w:val="003B52A6"/>
    <w:rsid w:val="003B5849"/>
    <w:rsid w:val="003B5859"/>
    <w:rsid w:val="003B596B"/>
    <w:rsid w:val="003B5DBC"/>
    <w:rsid w:val="003B6105"/>
    <w:rsid w:val="003B690B"/>
    <w:rsid w:val="003B6D59"/>
    <w:rsid w:val="003B6E0B"/>
    <w:rsid w:val="003B72E3"/>
    <w:rsid w:val="003B7D27"/>
    <w:rsid w:val="003C0341"/>
    <w:rsid w:val="003C05BE"/>
    <w:rsid w:val="003C13C9"/>
    <w:rsid w:val="003C1C7B"/>
    <w:rsid w:val="003C1D00"/>
    <w:rsid w:val="003C1E0E"/>
    <w:rsid w:val="003C1F47"/>
    <w:rsid w:val="003C2080"/>
    <w:rsid w:val="003C2272"/>
    <w:rsid w:val="003C256D"/>
    <w:rsid w:val="003C26EF"/>
    <w:rsid w:val="003C2B2A"/>
    <w:rsid w:val="003C2B33"/>
    <w:rsid w:val="003C2C15"/>
    <w:rsid w:val="003C398E"/>
    <w:rsid w:val="003C3B4F"/>
    <w:rsid w:val="003C3DA9"/>
    <w:rsid w:val="003C3E38"/>
    <w:rsid w:val="003C4312"/>
    <w:rsid w:val="003C4380"/>
    <w:rsid w:val="003C4C4D"/>
    <w:rsid w:val="003C538D"/>
    <w:rsid w:val="003C539F"/>
    <w:rsid w:val="003C5B61"/>
    <w:rsid w:val="003C5C37"/>
    <w:rsid w:val="003C6344"/>
    <w:rsid w:val="003C676E"/>
    <w:rsid w:val="003C6777"/>
    <w:rsid w:val="003C7C91"/>
    <w:rsid w:val="003C7D9C"/>
    <w:rsid w:val="003D022A"/>
    <w:rsid w:val="003D02C3"/>
    <w:rsid w:val="003D07B4"/>
    <w:rsid w:val="003D1181"/>
    <w:rsid w:val="003D1E80"/>
    <w:rsid w:val="003D2209"/>
    <w:rsid w:val="003D2771"/>
    <w:rsid w:val="003D2924"/>
    <w:rsid w:val="003D2A11"/>
    <w:rsid w:val="003D2D22"/>
    <w:rsid w:val="003D367F"/>
    <w:rsid w:val="003D3724"/>
    <w:rsid w:val="003D3762"/>
    <w:rsid w:val="003D3978"/>
    <w:rsid w:val="003D3AF8"/>
    <w:rsid w:val="003D3BE0"/>
    <w:rsid w:val="003D4160"/>
    <w:rsid w:val="003D4583"/>
    <w:rsid w:val="003D4631"/>
    <w:rsid w:val="003D4ABC"/>
    <w:rsid w:val="003D4D6C"/>
    <w:rsid w:val="003D50AA"/>
    <w:rsid w:val="003D53BC"/>
    <w:rsid w:val="003D58EA"/>
    <w:rsid w:val="003D5929"/>
    <w:rsid w:val="003D5A61"/>
    <w:rsid w:val="003D5D6F"/>
    <w:rsid w:val="003D5E88"/>
    <w:rsid w:val="003D642E"/>
    <w:rsid w:val="003D6904"/>
    <w:rsid w:val="003D6B67"/>
    <w:rsid w:val="003D6D32"/>
    <w:rsid w:val="003D6D3A"/>
    <w:rsid w:val="003D6E1F"/>
    <w:rsid w:val="003D711C"/>
    <w:rsid w:val="003E0128"/>
    <w:rsid w:val="003E0349"/>
    <w:rsid w:val="003E0CDC"/>
    <w:rsid w:val="003E0CEB"/>
    <w:rsid w:val="003E13A0"/>
    <w:rsid w:val="003E14D0"/>
    <w:rsid w:val="003E1DAB"/>
    <w:rsid w:val="003E21ED"/>
    <w:rsid w:val="003E2A5F"/>
    <w:rsid w:val="003E2BAD"/>
    <w:rsid w:val="003E2BF8"/>
    <w:rsid w:val="003E2CA3"/>
    <w:rsid w:val="003E2E27"/>
    <w:rsid w:val="003E3594"/>
    <w:rsid w:val="003E3BB9"/>
    <w:rsid w:val="003E4526"/>
    <w:rsid w:val="003E49A9"/>
    <w:rsid w:val="003E4A75"/>
    <w:rsid w:val="003E4AA5"/>
    <w:rsid w:val="003E4E71"/>
    <w:rsid w:val="003E4F31"/>
    <w:rsid w:val="003E51FD"/>
    <w:rsid w:val="003E57D1"/>
    <w:rsid w:val="003E5893"/>
    <w:rsid w:val="003E5F32"/>
    <w:rsid w:val="003E614F"/>
    <w:rsid w:val="003E6702"/>
    <w:rsid w:val="003E74C1"/>
    <w:rsid w:val="003F0008"/>
    <w:rsid w:val="003F0224"/>
    <w:rsid w:val="003F0A06"/>
    <w:rsid w:val="003F0E11"/>
    <w:rsid w:val="003F1E35"/>
    <w:rsid w:val="003F2283"/>
    <w:rsid w:val="003F2815"/>
    <w:rsid w:val="003F2CE8"/>
    <w:rsid w:val="003F2D56"/>
    <w:rsid w:val="003F2FE4"/>
    <w:rsid w:val="003F310A"/>
    <w:rsid w:val="003F3147"/>
    <w:rsid w:val="003F327C"/>
    <w:rsid w:val="003F339D"/>
    <w:rsid w:val="003F38F4"/>
    <w:rsid w:val="003F3AC1"/>
    <w:rsid w:val="003F45C5"/>
    <w:rsid w:val="003F4D94"/>
    <w:rsid w:val="003F51D5"/>
    <w:rsid w:val="003F5625"/>
    <w:rsid w:val="003F5919"/>
    <w:rsid w:val="003F5B60"/>
    <w:rsid w:val="003F60F9"/>
    <w:rsid w:val="003F6408"/>
    <w:rsid w:val="003F68EF"/>
    <w:rsid w:val="003F7C8E"/>
    <w:rsid w:val="003F7FAE"/>
    <w:rsid w:val="0040002D"/>
    <w:rsid w:val="0040017F"/>
    <w:rsid w:val="004001C1"/>
    <w:rsid w:val="004002B9"/>
    <w:rsid w:val="004003A2"/>
    <w:rsid w:val="00400531"/>
    <w:rsid w:val="0040086F"/>
    <w:rsid w:val="00400FEE"/>
    <w:rsid w:val="004011D5"/>
    <w:rsid w:val="004027A9"/>
    <w:rsid w:val="004028F1"/>
    <w:rsid w:val="00402940"/>
    <w:rsid w:val="00402B4F"/>
    <w:rsid w:val="00402E94"/>
    <w:rsid w:val="004035AD"/>
    <w:rsid w:val="00403791"/>
    <w:rsid w:val="0040385B"/>
    <w:rsid w:val="00403879"/>
    <w:rsid w:val="00403B88"/>
    <w:rsid w:val="00403DF0"/>
    <w:rsid w:val="00403FA0"/>
    <w:rsid w:val="0040416E"/>
    <w:rsid w:val="004042B5"/>
    <w:rsid w:val="0040431A"/>
    <w:rsid w:val="0040444C"/>
    <w:rsid w:val="00404BBE"/>
    <w:rsid w:val="00404C6B"/>
    <w:rsid w:val="00404D34"/>
    <w:rsid w:val="00404E40"/>
    <w:rsid w:val="004055E3"/>
    <w:rsid w:val="00405618"/>
    <w:rsid w:val="004057A7"/>
    <w:rsid w:val="00405BB0"/>
    <w:rsid w:val="00405D33"/>
    <w:rsid w:val="00405E53"/>
    <w:rsid w:val="00405E66"/>
    <w:rsid w:val="00406BEA"/>
    <w:rsid w:val="00406D2C"/>
    <w:rsid w:val="00406EE1"/>
    <w:rsid w:val="004072FC"/>
    <w:rsid w:val="00407345"/>
    <w:rsid w:val="004077AA"/>
    <w:rsid w:val="00407FEC"/>
    <w:rsid w:val="0041030A"/>
    <w:rsid w:val="0041052C"/>
    <w:rsid w:val="00410548"/>
    <w:rsid w:val="00410981"/>
    <w:rsid w:val="00410D5D"/>
    <w:rsid w:val="00411430"/>
    <w:rsid w:val="0041161A"/>
    <w:rsid w:val="00411EDE"/>
    <w:rsid w:val="0041278A"/>
    <w:rsid w:val="0041282A"/>
    <w:rsid w:val="004129D4"/>
    <w:rsid w:val="0041311B"/>
    <w:rsid w:val="00413339"/>
    <w:rsid w:val="004136B8"/>
    <w:rsid w:val="00414CAA"/>
    <w:rsid w:val="0041545C"/>
    <w:rsid w:val="00415624"/>
    <w:rsid w:val="004156B1"/>
    <w:rsid w:val="004171C0"/>
    <w:rsid w:val="0041720A"/>
    <w:rsid w:val="00417A96"/>
    <w:rsid w:val="00417C16"/>
    <w:rsid w:val="004200D7"/>
    <w:rsid w:val="0042090E"/>
    <w:rsid w:val="00420DE9"/>
    <w:rsid w:val="0042128C"/>
    <w:rsid w:val="00422406"/>
    <w:rsid w:val="00422779"/>
    <w:rsid w:val="00422A21"/>
    <w:rsid w:val="00422AFE"/>
    <w:rsid w:val="00422C1D"/>
    <w:rsid w:val="00422FB2"/>
    <w:rsid w:val="0042300F"/>
    <w:rsid w:val="004230BF"/>
    <w:rsid w:val="004232F8"/>
    <w:rsid w:val="004233ED"/>
    <w:rsid w:val="004236D6"/>
    <w:rsid w:val="00423709"/>
    <w:rsid w:val="00423BA4"/>
    <w:rsid w:val="00423ECE"/>
    <w:rsid w:val="00424AED"/>
    <w:rsid w:val="00424EB2"/>
    <w:rsid w:val="00424EFB"/>
    <w:rsid w:val="00425A55"/>
    <w:rsid w:val="00425E3E"/>
    <w:rsid w:val="004261A7"/>
    <w:rsid w:val="0042625B"/>
    <w:rsid w:val="0042643F"/>
    <w:rsid w:val="004267B9"/>
    <w:rsid w:val="004273C2"/>
    <w:rsid w:val="00427BE0"/>
    <w:rsid w:val="00430757"/>
    <w:rsid w:val="00430879"/>
    <w:rsid w:val="00430B77"/>
    <w:rsid w:val="00430C6C"/>
    <w:rsid w:val="00431034"/>
    <w:rsid w:val="004311F5"/>
    <w:rsid w:val="00431349"/>
    <w:rsid w:val="0043144E"/>
    <w:rsid w:val="00431C1F"/>
    <w:rsid w:val="00431D53"/>
    <w:rsid w:val="00432199"/>
    <w:rsid w:val="00432C03"/>
    <w:rsid w:val="004333CB"/>
    <w:rsid w:val="00433474"/>
    <w:rsid w:val="00433B5C"/>
    <w:rsid w:val="00433D40"/>
    <w:rsid w:val="00433F3F"/>
    <w:rsid w:val="004340EA"/>
    <w:rsid w:val="004342C7"/>
    <w:rsid w:val="004344B7"/>
    <w:rsid w:val="00434699"/>
    <w:rsid w:val="004347C9"/>
    <w:rsid w:val="004349F0"/>
    <w:rsid w:val="00434C09"/>
    <w:rsid w:val="004358D3"/>
    <w:rsid w:val="00435980"/>
    <w:rsid w:val="004359AF"/>
    <w:rsid w:val="004360A9"/>
    <w:rsid w:val="004362DD"/>
    <w:rsid w:val="004363CF"/>
    <w:rsid w:val="00436D37"/>
    <w:rsid w:val="00436E1D"/>
    <w:rsid w:val="00437232"/>
    <w:rsid w:val="00437314"/>
    <w:rsid w:val="00437817"/>
    <w:rsid w:val="004378A7"/>
    <w:rsid w:val="004379DF"/>
    <w:rsid w:val="00437A7B"/>
    <w:rsid w:val="00437EC4"/>
    <w:rsid w:val="00437F3E"/>
    <w:rsid w:val="00440431"/>
    <w:rsid w:val="004405FD"/>
    <w:rsid w:val="0044075B"/>
    <w:rsid w:val="00440993"/>
    <w:rsid w:val="00441142"/>
    <w:rsid w:val="0044145C"/>
    <w:rsid w:val="004415F0"/>
    <w:rsid w:val="00441A43"/>
    <w:rsid w:val="00441C2B"/>
    <w:rsid w:val="00442273"/>
    <w:rsid w:val="004425C0"/>
    <w:rsid w:val="0044313E"/>
    <w:rsid w:val="00443199"/>
    <w:rsid w:val="004434F4"/>
    <w:rsid w:val="00443581"/>
    <w:rsid w:val="00443AA9"/>
    <w:rsid w:val="00443F68"/>
    <w:rsid w:val="00444BDE"/>
    <w:rsid w:val="004453C0"/>
    <w:rsid w:val="00445454"/>
    <w:rsid w:val="004457E0"/>
    <w:rsid w:val="004457F4"/>
    <w:rsid w:val="004459A0"/>
    <w:rsid w:val="004462F0"/>
    <w:rsid w:val="0044683A"/>
    <w:rsid w:val="004468A1"/>
    <w:rsid w:val="00446AEE"/>
    <w:rsid w:val="00446E4C"/>
    <w:rsid w:val="00446F8E"/>
    <w:rsid w:val="004470F8"/>
    <w:rsid w:val="00447109"/>
    <w:rsid w:val="00447276"/>
    <w:rsid w:val="004472E4"/>
    <w:rsid w:val="00447311"/>
    <w:rsid w:val="00447BC0"/>
    <w:rsid w:val="00447D0C"/>
    <w:rsid w:val="0045006D"/>
    <w:rsid w:val="00450545"/>
    <w:rsid w:val="00450EE5"/>
    <w:rsid w:val="004518A4"/>
    <w:rsid w:val="004519F7"/>
    <w:rsid w:val="00451F15"/>
    <w:rsid w:val="00452280"/>
    <w:rsid w:val="00452499"/>
    <w:rsid w:val="0045260D"/>
    <w:rsid w:val="004527DF"/>
    <w:rsid w:val="00452A86"/>
    <w:rsid w:val="00452B2E"/>
    <w:rsid w:val="00453064"/>
    <w:rsid w:val="0045351D"/>
    <w:rsid w:val="004537BE"/>
    <w:rsid w:val="00453FBD"/>
    <w:rsid w:val="00454154"/>
    <w:rsid w:val="004547AE"/>
    <w:rsid w:val="00455134"/>
    <w:rsid w:val="004552F9"/>
    <w:rsid w:val="004554EF"/>
    <w:rsid w:val="00455BA8"/>
    <w:rsid w:val="00456A67"/>
    <w:rsid w:val="00456D3C"/>
    <w:rsid w:val="00456F84"/>
    <w:rsid w:val="004579C3"/>
    <w:rsid w:val="00457B1D"/>
    <w:rsid w:val="00457CDE"/>
    <w:rsid w:val="00457F17"/>
    <w:rsid w:val="00460025"/>
    <w:rsid w:val="0046020B"/>
    <w:rsid w:val="00460DDD"/>
    <w:rsid w:val="00460F34"/>
    <w:rsid w:val="00461425"/>
    <w:rsid w:val="00461748"/>
    <w:rsid w:val="00461846"/>
    <w:rsid w:val="00461D0E"/>
    <w:rsid w:val="004622C1"/>
    <w:rsid w:val="00462F33"/>
    <w:rsid w:val="004630CB"/>
    <w:rsid w:val="004631C1"/>
    <w:rsid w:val="00463224"/>
    <w:rsid w:val="00463697"/>
    <w:rsid w:val="0046392F"/>
    <w:rsid w:val="0046473A"/>
    <w:rsid w:val="00464C8E"/>
    <w:rsid w:val="004654CB"/>
    <w:rsid w:val="00465C0C"/>
    <w:rsid w:val="00465CA1"/>
    <w:rsid w:val="00465DB9"/>
    <w:rsid w:val="0046622B"/>
    <w:rsid w:val="004662B1"/>
    <w:rsid w:val="0046669C"/>
    <w:rsid w:val="00466900"/>
    <w:rsid w:val="00466CCD"/>
    <w:rsid w:val="00466CFB"/>
    <w:rsid w:val="00467947"/>
    <w:rsid w:val="004679C6"/>
    <w:rsid w:val="004700B9"/>
    <w:rsid w:val="004701E3"/>
    <w:rsid w:val="0047052E"/>
    <w:rsid w:val="00470686"/>
    <w:rsid w:val="00470898"/>
    <w:rsid w:val="00470CA3"/>
    <w:rsid w:val="00470D82"/>
    <w:rsid w:val="004711C3"/>
    <w:rsid w:val="00471777"/>
    <w:rsid w:val="00471BF1"/>
    <w:rsid w:val="00472074"/>
    <w:rsid w:val="00472159"/>
    <w:rsid w:val="004721BA"/>
    <w:rsid w:val="00472762"/>
    <w:rsid w:val="00472B16"/>
    <w:rsid w:val="00472E33"/>
    <w:rsid w:val="0047300D"/>
    <w:rsid w:val="004733CF"/>
    <w:rsid w:val="00473497"/>
    <w:rsid w:val="004734BE"/>
    <w:rsid w:val="00473568"/>
    <w:rsid w:val="00473969"/>
    <w:rsid w:val="00473F1A"/>
    <w:rsid w:val="004740E9"/>
    <w:rsid w:val="004742AD"/>
    <w:rsid w:val="0047464B"/>
    <w:rsid w:val="00474CD3"/>
    <w:rsid w:val="0047522C"/>
    <w:rsid w:val="004757C1"/>
    <w:rsid w:val="00475C3A"/>
    <w:rsid w:val="00475FD6"/>
    <w:rsid w:val="004763B1"/>
    <w:rsid w:val="0047678E"/>
    <w:rsid w:val="00476BFD"/>
    <w:rsid w:val="00476C03"/>
    <w:rsid w:val="00477076"/>
    <w:rsid w:val="00477492"/>
    <w:rsid w:val="00477509"/>
    <w:rsid w:val="00477672"/>
    <w:rsid w:val="0047769C"/>
    <w:rsid w:val="004778CB"/>
    <w:rsid w:val="00480230"/>
    <w:rsid w:val="00480250"/>
    <w:rsid w:val="0048066F"/>
    <w:rsid w:val="00480923"/>
    <w:rsid w:val="00480934"/>
    <w:rsid w:val="00480963"/>
    <w:rsid w:val="004809BF"/>
    <w:rsid w:val="004812EC"/>
    <w:rsid w:val="00481646"/>
    <w:rsid w:val="0048178C"/>
    <w:rsid w:val="004818BD"/>
    <w:rsid w:val="004819BC"/>
    <w:rsid w:val="00481F52"/>
    <w:rsid w:val="00482F05"/>
    <w:rsid w:val="00482FF5"/>
    <w:rsid w:val="0048302C"/>
    <w:rsid w:val="004830DE"/>
    <w:rsid w:val="0048368E"/>
    <w:rsid w:val="004838D5"/>
    <w:rsid w:val="00483DCB"/>
    <w:rsid w:val="00483E78"/>
    <w:rsid w:val="00484699"/>
    <w:rsid w:val="00484738"/>
    <w:rsid w:val="00484DE5"/>
    <w:rsid w:val="00484E47"/>
    <w:rsid w:val="00484F68"/>
    <w:rsid w:val="00485299"/>
    <w:rsid w:val="004854DE"/>
    <w:rsid w:val="00485C02"/>
    <w:rsid w:val="00486001"/>
    <w:rsid w:val="00486336"/>
    <w:rsid w:val="004868AB"/>
    <w:rsid w:val="004877B9"/>
    <w:rsid w:val="004878AE"/>
    <w:rsid w:val="004905BF"/>
    <w:rsid w:val="004905E5"/>
    <w:rsid w:val="00490844"/>
    <w:rsid w:val="00490CF1"/>
    <w:rsid w:val="00491253"/>
    <w:rsid w:val="00491492"/>
    <w:rsid w:val="004916C2"/>
    <w:rsid w:val="00491922"/>
    <w:rsid w:val="00491DD5"/>
    <w:rsid w:val="00491EEE"/>
    <w:rsid w:val="00491FE1"/>
    <w:rsid w:val="004920EC"/>
    <w:rsid w:val="00492142"/>
    <w:rsid w:val="004923C3"/>
    <w:rsid w:val="00492A0D"/>
    <w:rsid w:val="00492A4E"/>
    <w:rsid w:val="00492CD4"/>
    <w:rsid w:val="00493199"/>
    <w:rsid w:val="00493202"/>
    <w:rsid w:val="004934B8"/>
    <w:rsid w:val="00493681"/>
    <w:rsid w:val="0049391B"/>
    <w:rsid w:val="00493B46"/>
    <w:rsid w:val="00493E26"/>
    <w:rsid w:val="00493E8A"/>
    <w:rsid w:val="00494660"/>
    <w:rsid w:val="0049488B"/>
    <w:rsid w:val="00494A1E"/>
    <w:rsid w:val="00494B68"/>
    <w:rsid w:val="00494C48"/>
    <w:rsid w:val="00494F23"/>
    <w:rsid w:val="004953AB"/>
    <w:rsid w:val="0049673A"/>
    <w:rsid w:val="00496B8A"/>
    <w:rsid w:val="00497310"/>
    <w:rsid w:val="004976EC"/>
    <w:rsid w:val="00497BD3"/>
    <w:rsid w:val="00497DF3"/>
    <w:rsid w:val="004A02B7"/>
    <w:rsid w:val="004A035F"/>
    <w:rsid w:val="004A048F"/>
    <w:rsid w:val="004A0699"/>
    <w:rsid w:val="004A0A8A"/>
    <w:rsid w:val="004A10D4"/>
    <w:rsid w:val="004A1504"/>
    <w:rsid w:val="004A1F74"/>
    <w:rsid w:val="004A22D1"/>
    <w:rsid w:val="004A2E90"/>
    <w:rsid w:val="004A2F2A"/>
    <w:rsid w:val="004A2FE0"/>
    <w:rsid w:val="004A3509"/>
    <w:rsid w:val="004A41D8"/>
    <w:rsid w:val="004A4278"/>
    <w:rsid w:val="004A45C2"/>
    <w:rsid w:val="004A4923"/>
    <w:rsid w:val="004A4C95"/>
    <w:rsid w:val="004A501E"/>
    <w:rsid w:val="004A52F9"/>
    <w:rsid w:val="004A535F"/>
    <w:rsid w:val="004A54AC"/>
    <w:rsid w:val="004A5950"/>
    <w:rsid w:val="004A59D4"/>
    <w:rsid w:val="004A5FB0"/>
    <w:rsid w:val="004A645B"/>
    <w:rsid w:val="004A682B"/>
    <w:rsid w:val="004A6B30"/>
    <w:rsid w:val="004A6C68"/>
    <w:rsid w:val="004A6E73"/>
    <w:rsid w:val="004A732A"/>
    <w:rsid w:val="004A7497"/>
    <w:rsid w:val="004A782C"/>
    <w:rsid w:val="004A7DCA"/>
    <w:rsid w:val="004A7F70"/>
    <w:rsid w:val="004B02C2"/>
    <w:rsid w:val="004B044A"/>
    <w:rsid w:val="004B0509"/>
    <w:rsid w:val="004B07B3"/>
    <w:rsid w:val="004B09AB"/>
    <w:rsid w:val="004B09E8"/>
    <w:rsid w:val="004B0BC9"/>
    <w:rsid w:val="004B0DCA"/>
    <w:rsid w:val="004B1171"/>
    <w:rsid w:val="004B1189"/>
    <w:rsid w:val="004B150C"/>
    <w:rsid w:val="004B18DE"/>
    <w:rsid w:val="004B1E60"/>
    <w:rsid w:val="004B20B2"/>
    <w:rsid w:val="004B2208"/>
    <w:rsid w:val="004B2601"/>
    <w:rsid w:val="004B3278"/>
    <w:rsid w:val="004B3408"/>
    <w:rsid w:val="004B3C62"/>
    <w:rsid w:val="004B4357"/>
    <w:rsid w:val="004B4A01"/>
    <w:rsid w:val="004B4BD7"/>
    <w:rsid w:val="004B4CBB"/>
    <w:rsid w:val="004B4CED"/>
    <w:rsid w:val="004B51C7"/>
    <w:rsid w:val="004B54AB"/>
    <w:rsid w:val="004B562D"/>
    <w:rsid w:val="004B56D4"/>
    <w:rsid w:val="004B5962"/>
    <w:rsid w:val="004B62FA"/>
    <w:rsid w:val="004B65BA"/>
    <w:rsid w:val="004B695A"/>
    <w:rsid w:val="004B6B48"/>
    <w:rsid w:val="004B6D0F"/>
    <w:rsid w:val="004B70BB"/>
    <w:rsid w:val="004B71C5"/>
    <w:rsid w:val="004B7772"/>
    <w:rsid w:val="004B77C7"/>
    <w:rsid w:val="004B7808"/>
    <w:rsid w:val="004B7865"/>
    <w:rsid w:val="004C0118"/>
    <w:rsid w:val="004C0775"/>
    <w:rsid w:val="004C0850"/>
    <w:rsid w:val="004C0FB7"/>
    <w:rsid w:val="004C109A"/>
    <w:rsid w:val="004C1350"/>
    <w:rsid w:val="004C1775"/>
    <w:rsid w:val="004C2017"/>
    <w:rsid w:val="004C2416"/>
    <w:rsid w:val="004C27BB"/>
    <w:rsid w:val="004C29AA"/>
    <w:rsid w:val="004C29F2"/>
    <w:rsid w:val="004C39E1"/>
    <w:rsid w:val="004C4230"/>
    <w:rsid w:val="004C46E7"/>
    <w:rsid w:val="004C47A3"/>
    <w:rsid w:val="004C4C65"/>
    <w:rsid w:val="004C50DF"/>
    <w:rsid w:val="004C51F5"/>
    <w:rsid w:val="004C5269"/>
    <w:rsid w:val="004C5303"/>
    <w:rsid w:val="004C56AC"/>
    <w:rsid w:val="004C5C4A"/>
    <w:rsid w:val="004C5FA9"/>
    <w:rsid w:val="004C6424"/>
    <w:rsid w:val="004C6802"/>
    <w:rsid w:val="004C6B2D"/>
    <w:rsid w:val="004C6B79"/>
    <w:rsid w:val="004C70E2"/>
    <w:rsid w:val="004C721A"/>
    <w:rsid w:val="004C7C9B"/>
    <w:rsid w:val="004D084E"/>
    <w:rsid w:val="004D085F"/>
    <w:rsid w:val="004D1205"/>
    <w:rsid w:val="004D14B2"/>
    <w:rsid w:val="004D16D9"/>
    <w:rsid w:val="004D1D91"/>
    <w:rsid w:val="004D1E94"/>
    <w:rsid w:val="004D1F72"/>
    <w:rsid w:val="004D2273"/>
    <w:rsid w:val="004D25D6"/>
    <w:rsid w:val="004D2A0C"/>
    <w:rsid w:val="004D2E60"/>
    <w:rsid w:val="004D2F33"/>
    <w:rsid w:val="004D3398"/>
    <w:rsid w:val="004D3719"/>
    <w:rsid w:val="004D3809"/>
    <w:rsid w:val="004D3CF2"/>
    <w:rsid w:val="004D3E56"/>
    <w:rsid w:val="004D3F96"/>
    <w:rsid w:val="004D4153"/>
    <w:rsid w:val="004D558A"/>
    <w:rsid w:val="004D56AC"/>
    <w:rsid w:val="004D575D"/>
    <w:rsid w:val="004D5CFC"/>
    <w:rsid w:val="004D607A"/>
    <w:rsid w:val="004D62F2"/>
    <w:rsid w:val="004D6465"/>
    <w:rsid w:val="004D6C9E"/>
    <w:rsid w:val="004D6FB7"/>
    <w:rsid w:val="004D71E4"/>
    <w:rsid w:val="004D7269"/>
    <w:rsid w:val="004D72A2"/>
    <w:rsid w:val="004D732D"/>
    <w:rsid w:val="004E0891"/>
    <w:rsid w:val="004E0B62"/>
    <w:rsid w:val="004E0C81"/>
    <w:rsid w:val="004E0EBD"/>
    <w:rsid w:val="004E127E"/>
    <w:rsid w:val="004E12C4"/>
    <w:rsid w:val="004E1320"/>
    <w:rsid w:val="004E18D6"/>
    <w:rsid w:val="004E1FF1"/>
    <w:rsid w:val="004E21DC"/>
    <w:rsid w:val="004E26F7"/>
    <w:rsid w:val="004E2880"/>
    <w:rsid w:val="004E2899"/>
    <w:rsid w:val="004E2A2F"/>
    <w:rsid w:val="004E2D1B"/>
    <w:rsid w:val="004E2E0A"/>
    <w:rsid w:val="004E38DA"/>
    <w:rsid w:val="004E3B09"/>
    <w:rsid w:val="004E3FB8"/>
    <w:rsid w:val="004E4201"/>
    <w:rsid w:val="004E4227"/>
    <w:rsid w:val="004E4382"/>
    <w:rsid w:val="004E4FA8"/>
    <w:rsid w:val="004E5325"/>
    <w:rsid w:val="004E58DE"/>
    <w:rsid w:val="004E597B"/>
    <w:rsid w:val="004E5A34"/>
    <w:rsid w:val="004E5EF7"/>
    <w:rsid w:val="004E6A39"/>
    <w:rsid w:val="004E6B29"/>
    <w:rsid w:val="004E6D5F"/>
    <w:rsid w:val="004E6D9D"/>
    <w:rsid w:val="004E6EBF"/>
    <w:rsid w:val="004E7FDE"/>
    <w:rsid w:val="004F0246"/>
    <w:rsid w:val="004F085B"/>
    <w:rsid w:val="004F091B"/>
    <w:rsid w:val="004F0AC2"/>
    <w:rsid w:val="004F0C8F"/>
    <w:rsid w:val="004F0CFE"/>
    <w:rsid w:val="004F0DCB"/>
    <w:rsid w:val="004F0EFE"/>
    <w:rsid w:val="004F117F"/>
    <w:rsid w:val="004F1305"/>
    <w:rsid w:val="004F193F"/>
    <w:rsid w:val="004F1CA3"/>
    <w:rsid w:val="004F2268"/>
    <w:rsid w:val="004F2403"/>
    <w:rsid w:val="004F264F"/>
    <w:rsid w:val="004F2A73"/>
    <w:rsid w:val="004F2EDA"/>
    <w:rsid w:val="004F2FBA"/>
    <w:rsid w:val="004F354B"/>
    <w:rsid w:val="004F39DE"/>
    <w:rsid w:val="004F39EC"/>
    <w:rsid w:val="004F3ABE"/>
    <w:rsid w:val="004F424A"/>
    <w:rsid w:val="004F4285"/>
    <w:rsid w:val="004F429B"/>
    <w:rsid w:val="004F42E5"/>
    <w:rsid w:val="004F43C4"/>
    <w:rsid w:val="004F4457"/>
    <w:rsid w:val="004F4669"/>
    <w:rsid w:val="004F48FA"/>
    <w:rsid w:val="004F4E0D"/>
    <w:rsid w:val="004F54BD"/>
    <w:rsid w:val="004F5D64"/>
    <w:rsid w:val="004F5DDD"/>
    <w:rsid w:val="004F5E67"/>
    <w:rsid w:val="004F61F3"/>
    <w:rsid w:val="004F65AB"/>
    <w:rsid w:val="004F6C55"/>
    <w:rsid w:val="004F6E45"/>
    <w:rsid w:val="004F6EC3"/>
    <w:rsid w:val="004F6FD0"/>
    <w:rsid w:val="004F71B3"/>
    <w:rsid w:val="004F77E0"/>
    <w:rsid w:val="004F7D60"/>
    <w:rsid w:val="004F7F1F"/>
    <w:rsid w:val="004F7F37"/>
    <w:rsid w:val="00500348"/>
    <w:rsid w:val="0050034C"/>
    <w:rsid w:val="00500A04"/>
    <w:rsid w:val="00500AD5"/>
    <w:rsid w:val="00500F55"/>
    <w:rsid w:val="0050109A"/>
    <w:rsid w:val="00501899"/>
    <w:rsid w:val="00501DC6"/>
    <w:rsid w:val="0050211E"/>
    <w:rsid w:val="00502AC8"/>
    <w:rsid w:val="00502BF4"/>
    <w:rsid w:val="00502EF9"/>
    <w:rsid w:val="00503240"/>
    <w:rsid w:val="005032E3"/>
    <w:rsid w:val="005037D4"/>
    <w:rsid w:val="00503933"/>
    <w:rsid w:val="00503A2B"/>
    <w:rsid w:val="00504445"/>
    <w:rsid w:val="00505083"/>
    <w:rsid w:val="0050539B"/>
    <w:rsid w:val="0050548D"/>
    <w:rsid w:val="0050557A"/>
    <w:rsid w:val="00505BB5"/>
    <w:rsid w:val="005065DC"/>
    <w:rsid w:val="00506C83"/>
    <w:rsid w:val="00507103"/>
    <w:rsid w:val="0050748E"/>
    <w:rsid w:val="005074F4"/>
    <w:rsid w:val="00507563"/>
    <w:rsid w:val="0050764C"/>
    <w:rsid w:val="00507DD5"/>
    <w:rsid w:val="00507E24"/>
    <w:rsid w:val="0050F87A"/>
    <w:rsid w:val="0051028D"/>
    <w:rsid w:val="0051030C"/>
    <w:rsid w:val="00510418"/>
    <w:rsid w:val="005105B1"/>
    <w:rsid w:val="00510718"/>
    <w:rsid w:val="005108FC"/>
    <w:rsid w:val="00511632"/>
    <w:rsid w:val="0051198B"/>
    <w:rsid w:val="00512241"/>
    <w:rsid w:val="00512471"/>
    <w:rsid w:val="005126CE"/>
    <w:rsid w:val="00512773"/>
    <w:rsid w:val="00512985"/>
    <w:rsid w:val="00512A3A"/>
    <w:rsid w:val="00512B8C"/>
    <w:rsid w:val="00512C55"/>
    <w:rsid w:val="00513165"/>
    <w:rsid w:val="0051323B"/>
    <w:rsid w:val="00513C1C"/>
    <w:rsid w:val="005146E1"/>
    <w:rsid w:val="0051477C"/>
    <w:rsid w:val="0051500A"/>
    <w:rsid w:val="00515301"/>
    <w:rsid w:val="00515563"/>
    <w:rsid w:val="00515778"/>
    <w:rsid w:val="00515783"/>
    <w:rsid w:val="00515AC3"/>
    <w:rsid w:val="00516134"/>
    <w:rsid w:val="005165D1"/>
    <w:rsid w:val="00516917"/>
    <w:rsid w:val="005169F0"/>
    <w:rsid w:val="00516A93"/>
    <w:rsid w:val="00516ED9"/>
    <w:rsid w:val="005170BE"/>
    <w:rsid w:val="005172B5"/>
    <w:rsid w:val="005176F3"/>
    <w:rsid w:val="00517910"/>
    <w:rsid w:val="00517C23"/>
    <w:rsid w:val="00517D33"/>
    <w:rsid w:val="00517F58"/>
    <w:rsid w:val="00520116"/>
    <w:rsid w:val="005202EC"/>
    <w:rsid w:val="0052034B"/>
    <w:rsid w:val="0052036B"/>
    <w:rsid w:val="005207FF"/>
    <w:rsid w:val="00521955"/>
    <w:rsid w:val="00521D0F"/>
    <w:rsid w:val="00521E16"/>
    <w:rsid w:val="005221E2"/>
    <w:rsid w:val="00522272"/>
    <w:rsid w:val="005225F3"/>
    <w:rsid w:val="0052261F"/>
    <w:rsid w:val="00522805"/>
    <w:rsid w:val="005229C5"/>
    <w:rsid w:val="00522C4A"/>
    <w:rsid w:val="005233FE"/>
    <w:rsid w:val="00523A1A"/>
    <w:rsid w:val="00523A77"/>
    <w:rsid w:val="00523B13"/>
    <w:rsid w:val="00523EF5"/>
    <w:rsid w:val="00524221"/>
    <w:rsid w:val="0052448C"/>
    <w:rsid w:val="005245B5"/>
    <w:rsid w:val="0052460D"/>
    <w:rsid w:val="0052478A"/>
    <w:rsid w:val="005247F6"/>
    <w:rsid w:val="00524949"/>
    <w:rsid w:val="00524A32"/>
    <w:rsid w:val="00524B7D"/>
    <w:rsid w:val="00524CBF"/>
    <w:rsid w:val="00524FAB"/>
    <w:rsid w:val="00525239"/>
    <w:rsid w:val="0052549C"/>
    <w:rsid w:val="005254A5"/>
    <w:rsid w:val="00525796"/>
    <w:rsid w:val="00526756"/>
    <w:rsid w:val="005279E5"/>
    <w:rsid w:val="005303E2"/>
    <w:rsid w:val="00530441"/>
    <w:rsid w:val="005307B5"/>
    <w:rsid w:val="00530FEE"/>
    <w:rsid w:val="0053152A"/>
    <w:rsid w:val="00531D29"/>
    <w:rsid w:val="005322DC"/>
    <w:rsid w:val="0053258B"/>
    <w:rsid w:val="005328A2"/>
    <w:rsid w:val="00532C6E"/>
    <w:rsid w:val="00532FDD"/>
    <w:rsid w:val="005333A4"/>
    <w:rsid w:val="005334A0"/>
    <w:rsid w:val="00533617"/>
    <w:rsid w:val="005338E0"/>
    <w:rsid w:val="00533B68"/>
    <w:rsid w:val="00533BEE"/>
    <w:rsid w:val="0053402B"/>
    <w:rsid w:val="00534286"/>
    <w:rsid w:val="005347CB"/>
    <w:rsid w:val="00535036"/>
    <w:rsid w:val="0053593F"/>
    <w:rsid w:val="00535A03"/>
    <w:rsid w:val="00536C0E"/>
    <w:rsid w:val="00536CD5"/>
    <w:rsid w:val="005372C4"/>
    <w:rsid w:val="00537475"/>
    <w:rsid w:val="0053748D"/>
    <w:rsid w:val="00537534"/>
    <w:rsid w:val="0053753A"/>
    <w:rsid w:val="00537773"/>
    <w:rsid w:val="00537837"/>
    <w:rsid w:val="005378DE"/>
    <w:rsid w:val="005379A0"/>
    <w:rsid w:val="00537C55"/>
    <w:rsid w:val="00537D74"/>
    <w:rsid w:val="00540A3D"/>
    <w:rsid w:val="00541C8F"/>
    <w:rsid w:val="00541DE4"/>
    <w:rsid w:val="0054227C"/>
    <w:rsid w:val="0054305A"/>
    <w:rsid w:val="005435FD"/>
    <w:rsid w:val="00543811"/>
    <w:rsid w:val="00543CC9"/>
    <w:rsid w:val="00543D74"/>
    <w:rsid w:val="00543FF4"/>
    <w:rsid w:val="0054429B"/>
    <w:rsid w:val="00544557"/>
    <w:rsid w:val="00544F6E"/>
    <w:rsid w:val="00544F70"/>
    <w:rsid w:val="00545FDA"/>
    <w:rsid w:val="00547311"/>
    <w:rsid w:val="00547346"/>
    <w:rsid w:val="00547414"/>
    <w:rsid w:val="0055038C"/>
    <w:rsid w:val="00550615"/>
    <w:rsid w:val="00550D89"/>
    <w:rsid w:val="00550E1E"/>
    <w:rsid w:val="00550ED6"/>
    <w:rsid w:val="00551178"/>
    <w:rsid w:val="005512B4"/>
    <w:rsid w:val="005515EC"/>
    <w:rsid w:val="00551814"/>
    <w:rsid w:val="00551A92"/>
    <w:rsid w:val="00551E6A"/>
    <w:rsid w:val="005526D4"/>
    <w:rsid w:val="0055271E"/>
    <w:rsid w:val="0055275A"/>
    <w:rsid w:val="00552A5A"/>
    <w:rsid w:val="00552CD5"/>
    <w:rsid w:val="0055354A"/>
    <w:rsid w:val="00553A65"/>
    <w:rsid w:val="00553B3D"/>
    <w:rsid w:val="00553ECA"/>
    <w:rsid w:val="00553EFD"/>
    <w:rsid w:val="00554264"/>
    <w:rsid w:val="0055453F"/>
    <w:rsid w:val="00554691"/>
    <w:rsid w:val="00554925"/>
    <w:rsid w:val="00554F0A"/>
    <w:rsid w:val="0055500B"/>
    <w:rsid w:val="00555445"/>
    <w:rsid w:val="00555EA5"/>
    <w:rsid w:val="00555F76"/>
    <w:rsid w:val="005562E9"/>
    <w:rsid w:val="00556B72"/>
    <w:rsid w:val="00556CEA"/>
    <w:rsid w:val="00557305"/>
    <w:rsid w:val="0055735D"/>
    <w:rsid w:val="005574C2"/>
    <w:rsid w:val="005578E6"/>
    <w:rsid w:val="00557C17"/>
    <w:rsid w:val="00557C8F"/>
    <w:rsid w:val="00560252"/>
    <w:rsid w:val="00560C0A"/>
    <w:rsid w:val="0056104C"/>
    <w:rsid w:val="005619B0"/>
    <w:rsid w:val="00561B33"/>
    <w:rsid w:val="00561F4A"/>
    <w:rsid w:val="00561F57"/>
    <w:rsid w:val="005623B8"/>
    <w:rsid w:val="00562598"/>
    <w:rsid w:val="00562EA6"/>
    <w:rsid w:val="00563184"/>
    <w:rsid w:val="0056333A"/>
    <w:rsid w:val="005634C9"/>
    <w:rsid w:val="005637D5"/>
    <w:rsid w:val="0056389C"/>
    <w:rsid w:val="00563E0A"/>
    <w:rsid w:val="00564776"/>
    <w:rsid w:val="0056496D"/>
    <w:rsid w:val="005651CE"/>
    <w:rsid w:val="00565789"/>
    <w:rsid w:val="00565B41"/>
    <w:rsid w:val="005663E7"/>
    <w:rsid w:val="005668A9"/>
    <w:rsid w:val="00566D37"/>
    <w:rsid w:val="00566F01"/>
    <w:rsid w:val="00566F94"/>
    <w:rsid w:val="0056718F"/>
    <w:rsid w:val="005672D1"/>
    <w:rsid w:val="00567459"/>
    <w:rsid w:val="00567C25"/>
    <w:rsid w:val="00570178"/>
    <w:rsid w:val="00570308"/>
    <w:rsid w:val="0057074B"/>
    <w:rsid w:val="005707B9"/>
    <w:rsid w:val="005709BF"/>
    <w:rsid w:val="00570D77"/>
    <w:rsid w:val="00570D78"/>
    <w:rsid w:val="0057174A"/>
    <w:rsid w:val="00571A6C"/>
    <w:rsid w:val="00571DBD"/>
    <w:rsid w:val="00572861"/>
    <w:rsid w:val="0057296A"/>
    <w:rsid w:val="00572FC9"/>
    <w:rsid w:val="005735C0"/>
    <w:rsid w:val="00573DD2"/>
    <w:rsid w:val="00573DF2"/>
    <w:rsid w:val="00573F31"/>
    <w:rsid w:val="005740E9"/>
    <w:rsid w:val="0057412B"/>
    <w:rsid w:val="00574738"/>
    <w:rsid w:val="005747C2"/>
    <w:rsid w:val="0057495C"/>
    <w:rsid w:val="005749E5"/>
    <w:rsid w:val="00574E0F"/>
    <w:rsid w:val="005754D0"/>
    <w:rsid w:val="005759EE"/>
    <w:rsid w:val="00575CA8"/>
    <w:rsid w:val="00575D32"/>
    <w:rsid w:val="005763B8"/>
    <w:rsid w:val="005766AC"/>
    <w:rsid w:val="005767E0"/>
    <w:rsid w:val="00576931"/>
    <w:rsid w:val="00576D60"/>
    <w:rsid w:val="00576D8C"/>
    <w:rsid w:val="00577542"/>
    <w:rsid w:val="00580D37"/>
    <w:rsid w:val="00581316"/>
    <w:rsid w:val="005813A0"/>
    <w:rsid w:val="005815D5"/>
    <w:rsid w:val="005817EB"/>
    <w:rsid w:val="00581D13"/>
    <w:rsid w:val="00581E58"/>
    <w:rsid w:val="00581ED1"/>
    <w:rsid w:val="005828CB"/>
    <w:rsid w:val="00582A04"/>
    <w:rsid w:val="00582AAD"/>
    <w:rsid w:val="00582C52"/>
    <w:rsid w:val="00582CFE"/>
    <w:rsid w:val="00582F4B"/>
    <w:rsid w:val="005833B7"/>
    <w:rsid w:val="00583680"/>
    <w:rsid w:val="005837D9"/>
    <w:rsid w:val="00583B79"/>
    <w:rsid w:val="00583C2C"/>
    <w:rsid w:val="00583EA1"/>
    <w:rsid w:val="00583EC8"/>
    <w:rsid w:val="005842A1"/>
    <w:rsid w:val="00584737"/>
    <w:rsid w:val="00584CE6"/>
    <w:rsid w:val="00585165"/>
    <w:rsid w:val="005854F9"/>
    <w:rsid w:val="00585922"/>
    <w:rsid w:val="00586179"/>
    <w:rsid w:val="005867D1"/>
    <w:rsid w:val="00586C3C"/>
    <w:rsid w:val="00586C88"/>
    <w:rsid w:val="00586DDB"/>
    <w:rsid w:val="00587AA7"/>
    <w:rsid w:val="0059084B"/>
    <w:rsid w:val="0059084E"/>
    <w:rsid w:val="005908DD"/>
    <w:rsid w:val="00590A5E"/>
    <w:rsid w:val="00590EEA"/>
    <w:rsid w:val="0059116A"/>
    <w:rsid w:val="00591200"/>
    <w:rsid w:val="00591250"/>
    <w:rsid w:val="00591306"/>
    <w:rsid w:val="005913FC"/>
    <w:rsid w:val="005919E8"/>
    <w:rsid w:val="00591C41"/>
    <w:rsid w:val="00593826"/>
    <w:rsid w:val="005938BA"/>
    <w:rsid w:val="005938F5"/>
    <w:rsid w:val="005942C0"/>
    <w:rsid w:val="005943DF"/>
    <w:rsid w:val="0059447B"/>
    <w:rsid w:val="005945C6"/>
    <w:rsid w:val="00594654"/>
    <w:rsid w:val="005948E2"/>
    <w:rsid w:val="005949C1"/>
    <w:rsid w:val="00594B8F"/>
    <w:rsid w:val="00595259"/>
    <w:rsid w:val="00595394"/>
    <w:rsid w:val="00595DCA"/>
    <w:rsid w:val="00595FBB"/>
    <w:rsid w:val="00596245"/>
    <w:rsid w:val="005963C5"/>
    <w:rsid w:val="00596771"/>
    <w:rsid w:val="005967E4"/>
    <w:rsid w:val="00596975"/>
    <w:rsid w:val="00596A3A"/>
    <w:rsid w:val="00596E53"/>
    <w:rsid w:val="00597716"/>
    <w:rsid w:val="00597B1B"/>
    <w:rsid w:val="00597D43"/>
    <w:rsid w:val="00597DF9"/>
    <w:rsid w:val="005A001B"/>
    <w:rsid w:val="005A0B5C"/>
    <w:rsid w:val="005A1239"/>
    <w:rsid w:val="005A13C9"/>
    <w:rsid w:val="005A15A8"/>
    <w:rsid w:val="005A1735"/>
    <w:rsid w:val="005A175C"/>
    <w:rsid w:val="005A1A2B"/>
    <w:rsid w:val="005A1CD5"/>
    <w:rsid w:val="005A1DF6"/>
    <w:rsid w:val="005A2305"/>
    <w:rsid w:val="005A25D9"/>
    <w:rsid w:val="005A3270"/>
    <w:rsid w:val="005A397B"/>
    <w:rsid w:val="005A3E97"/>
    <w:rsid w:val="005A3EFC"/>
    <w:rsid w:val="005A40F7"/>
    <w:rsid w:val="005A4368"/>
    <w:rsid w:val="005A47C9"/>
    <w:rsid w:val="005A48B8"/>
    <w:rsid w:val="005A5312"/>
    <w:rsid w:val="005A56E1"/>
    <w:rsid w:val="005A5944"/>
    <w:rsid w:val="005A5BDD"/>
    <w:rsid w:val="005A5FBA"/>
    <w:rsid w:val="005A6D20"/>
    <w:rsid w:val="005A7731"/>
    <w:rsid w:val="005A77E3"/>
    <w:rsid w:val="005B000D"/>
    <w:rsid w:val="005B07B2"/>
    <w:rsid w:val="005B0CCD"/>
    <w:rsid w:val="005B1583"/>
    <w:rsid w:val="005B1B46"/>
    <w:rsid w:val="005B1C26"/>
    <w:rsid w:val="005B1E6B"/>
    <w:rsid w:val="005B2246"/>
    <w:rsid w:val="005B24FC"/>
    <w:rsid w:val="005B2514"/>
    <w:rsid w:val="005B2BF9"/>
    <w:rsid w:val="005B2E1F"/>
    <w:rsid w:val="005B33BC"/>
    <w:rsid w:val="005B3FD6"/>
    <w:rsid w:val="005B41A2"/>
    <w:rsid w:val="005B4797"/>
    <w:rsid w:val="005B4F84"/>
    <w:rsid w:val="005B545D"/>
    <w:rsid w:val="005B58F4"/>
    <w:rsid w:val="005B7B9B"/>
    <w:rsid w:val="005B7F90"/>
    <w:rsid w:val="005C01C9"/>
    <w:rsid w:val="005C02BA"/>
    <w:rsid w:val="005C0709"/>
    <w:rsid w:val="005C07A6"/>
    <w:rsid w:val="005C0936"/>
    <w:rsid w:val="005C0AD2"/>
    <w:rsid w:val="005C0C69"/>
    <w:rsid w:val="005C0FD2"/>
    <w:rsid w:val="005C10F2"/>
    <w:rsid w:val="005C2233"/>
    <w:rsid w:val="005C22C3"/>
    <w:rsid w:val="005C288B"/>
    <w:rsid w:val="005C3050"/>
    <w:rsid w:val="005C329B"/>
    <w:rsid w:val="005C3998"/>
    <w:rsid w:val="005C3A69"/>
    <w:rsid w:val="005C468F"/>
    <w:rsid w:val="005C46E7"/>
    <w:rsid w:val="005C4C4E"/>
    <w:rsid w:val="005C4F64"/>
    <w:rsid w:val="005C5974"/>
    <w:rsid w:val="005C6209"/>
    <w:rsid w:val="005C63FF"/>
    <w:rsid w:val="005C67D2"/>
    <w:rsid w:val="005C6B14"/>
    <w:rsid w:val="005C6D97"/>
    <w:rsid w:val="005C7327"/>
    <w:rsid w:val="005C76BE"/>
    <w:rsid w:val="005C7937"/>
    <w:rsid w:val="005C7CB0"/>
    <w:rsid w:val="005D0472"/>
    <w:rsid w:val="005D0674"/>
    <w:rsid w:val="005D0CCE"/>
    <w:rsid w:val="005D148B"/>
    <w:rsid w:val="005D196D"/>
    <w:rsid w:val="005D1B0E"/>
    <w:rsid w:val="005D226D"/>
    <w:rsid w:val="005D25EB"/>
    <w:rsid w:val="005D2B1B"/>
    <w:rsid w:val="005D2F2E"/>
    <w:rsid w:val="005D3531"/>
    <w:rsid w:val="005D37A9"/>
    <w:rsid w:val="005D3D7C"/>
    <w:rsid w:val="005D4B65"/>
    <w:rsid w:val="005D5168"/>
    <w:rsid w:val="005D53A1"/>
    <w:rsid w:val="005D5B4A"/>
    <w:rsid w:val="005D5C4B"/>
    <w:rsid w:val="005D5D10"/>
    <w:rsid w:val="005D5DFF"/>
    <w:rsid w:val="005D5FC9"/>
    <w:rsid w:val="005D6397"/>
    <w:rsid w:val="005D67AD"/>
    <w:rsid w:val="005D6E37"/>
    <w:rsid w:val="005D725B"/>
    <w:rsid w:val="005D7288"/>
    <w:rsid w:val="005D757A"/>
    <w:rsid w:val="005D788A"/>
    <w:rsid w:val="005D78C6"/>
    <w:rsid w:val="005D7A6B"/>
    <w:rsid w:val="005D7D0A"/>
    <w:rsid w:val="005DBB38"/>
    <w:rsid w:val="005E01C8"/>
    <w:rsid w:val="005E0226"/>
    <w:rsid w:val="005E072B"/>
    <w:rsid w:val="005E088F"/>
    <w:rsid w:val="005E0B58"/>
    <w:rsid w:val="005E0C2F"/>
    <w:rsid w:val="005E0C4A"/>
    <w:rsid w:val="005E0DC0"/>
    <w:rsid w:val="005E0F5E"/>
    <w:rsid w:val="005E134D"/>
    <w:rsid w:val="005E13BE"/>
    <w:rsid w:val="005E140E"/>
    <w:rsid w:val="005E155C"/>
    <w:rsid w:val="005E2362"/>
    <w:rsid w:val="005E3172"/>
    <w:rsid w:val="005E3722"/>
    <w:rsid w:val="005E3798"/>
    <w:rsid w:val="005E3CF8"/>
    <w:rsid w:val="005E3E19"/>
    <w:rsid w:val="005E4377"/>
    <w:rsid w:val="005E45C5"/>
    <w:rsid w:val="005E4703"/>
    <w:rsid w:val="005E4800"/>
    <w:rsid w:val="005E4D85"/>
    <w:rsid w:val="005E4F11"/>
    <w:rsid w:val="005E5B99"/>
    <w:rsid w:val="005E5E50"/>
    <w:rsid w:val="005E631E"/>
    <w:rsid w:val="005E6753"/>
    <w:rsid w:val="005E6A3B"/>
    <w:rsid w:val="005E6F93"/>
    <w:rsid w:val="005E7171"/>
    <w:rsid w:val="005E742B"/>
    <w:rsid w:val="005E75CF"/>
    <w:rsid w:val="005E7F37"/>
    <w:rsid w:val="005F000C"/>
    <w:rsid w:val="005F007F"/>
    <w:rsid w:val="005F00B9"/>
    <w:rsid w:val="005F0A22"/>
    <w:rsid w:val="005F0A7D"/>
    <w:rsid w:val="005F0D31"/>
    <w:rsid w:val="005F1542"/>
    <w:rsid w:val="005F16B3"/>
    <w:rsid w:val="005F26C1"/>
    <w:rsid w:val="005F29BD"/>
    <w:rsid w:val="005F3C26"/>
    <w:rsid w:val="005F3CEE"/>
    <w:rsid w:val="005F4225"/>
    <w:rsid w:val="005F45E5"/>
    <w:rsid w:val="005F4AB4"/>
    <w:rsid w:val="005F4F4C"/>
    <w:rsid w:val="005F5013"/>
    <w:rsid w:val="005F5649"/>
    <w:rsid w:val="005F6AFB"/>
    <w:rsid w:val="005F71BC"/>
    <w:rsid w:val="005F79E9"/>
    <w:rsid w:val="005F7A8E"/>
    <w:rsid w:val="005F7D4D"/>
    <w:rsid w:val="005F7F35"/>
    <w:rsid w:val="006001A5"/>
    <w:rsid w:val="006005DC"/>
    <w:rsid w:val="0060084B"/>
    <w:rsid w:val="00600B21"/>
    <w:rsid w:val="00600B88"/>
    <w:rsid w:val="00600FC0"/>
    <w:rsid w:val="00601662"/>
    <w:rsid w:val="0060167C"/>
    <w:rsid w:val="00601891"/>
    <w:rsid w:val="00601D4A"/>
    <w:rsid w:val="00601DC0"/>
    <w:rsid w:val="00602959"/>
    <w:rsid w:val="00602F40"/>
    <w:rsid w:val="006031C0"/>
    <w:rsid w:val="006038CD"/>
    <w:rsid w:val="00603E2E"/>
    <w:rsid w:val="00604124"/>
    <w:rsid w:val="006044DA"/>
    <w:rsid w:val="006045A1"/>
    <w:rsid w:val="00604664"/>
    <w:rsid w:val="00604E30"/>
    <w:rsid w:val="006050E3"/>
    <w:rsid w:val="006050F5"/>
    <w:rsid w:val="00605365"/>
    <w:rsid w:val="006054BE"/>
    <w:rsid w:val="0060561A"/>
    <w:rsid w:val="00605723"/>
    <w:rsid w:val="00605B7E"/>
    <w:rsid w:val="00605CFC"/>
    <w:rsid w:val="0060624B"/>
    <w:rsid w:val="006063AF"/>
    <w:rsid w:val="00606EAD"/>
    <w:rsid w:val="00607009"/>
    <w:rsid w:val="0060733B"/>
    <w:rsid w:val="006076C9"/>
    <w:rsid w:val="00607A91"/>
    <w:rsid w:val="00607D56"/>
    <w:rsid w:val="0060D9FC"/>
    <w:rsid w:val="0061053F"/>
    <w:rsid w:val="00610659"/>
    <w:rsid w:val="00611007"/>
    <w:rsid w:val="0061106E"/>
    <w:rsid w:val="00611247"/>
    <w:rsid w:val="00611317"/>
    <w:rsid w:val="00611352"/>
    <w:rsid w:val="0061148B"/>
    <w:rsid w:val="006115CD"/>
    <w:rsid w:val="00611635"/>
    <w:rsid w:val="006116E5"/>
    <w:rsid w:val="0061188A"/>
    <w:rsid w:val="006118B3"/>
    <w:rsid w:val="006119E1"/>
    <w:rsid w:val="00611B6A"/>
    <w:rsid w:val="00611BFC"/>
    <w:rsid w:val="00611CC7"/>
    <w:rsid w:val="0061215B"/>
    <w:rsid w:val="00612558"/>
    <w:rsid w:val="006125A8"/>
    <w:rsid w:val="00612CE8"/>
    <w:rsid w:val="0061328D"/>
    <w:rsid w:val="006135A4"/>
    <w:rsid w:val="00613633"/>
    <w:rsid w:val="006136BC"/>
    <w:rsid w:val="00613A5C"/>
    <w:rsid w:val="00613BC1"/>
    <w:rsid w:val="00613EDB"/>
    <w:rsid w:val="006142AF"/>
    <w:rsid w:val="00614C2B"/>
    <w:rsid w:val="00615381"/>
    <w:rsid w:val="00616777"/>
    <w:rsid w:val="00616D2E"/>
    <w:rsid w:val="006173C1"/>
    <w:rsid w:val="00617456"/>
    <w:rsid w:val="00617C2C"/>
    <w:rsid w:val="00617C78"/>
    <w:rsid w:val="006202B5"/>
    <w:rsid w:val="006202D9"/>
    <w:rsid w:val="006209FF"/>
    <w:rsid w:val="00621263"/>
    <w:rsid w:val="006219BD"/>
    <w:rsid w:val="00621A2A"/>
    <w:rsid w:val="00621CEE"/>
    <w:rsid w:val="00621ED4"/>
    <w:rsid w:val="00621FC0"/>
    <w:rsid w:val="0062202D"/>
    <w:rsid w:val="006226AC"/>
    <w:rsid w:val="006227F2"/>
    <w:rsid w:val="00622FCF"/>
    <w:rsid w:val="006239E3"/>
    <w:rsid w:val="00623ACB"/>
    <w:rsid w:val="00624706"/>
    <w:rsid w:val="00624775"/>
    <w:rsid w:val="00624823"/>
    <w:rsid w:val="00624AFF"/>
    <w:rsid w:val="00625054"/>
    <w:rsid w:val="006254C2"/>
    <w:rsid w:val="00625BCC"/>
    <w:rsid w:val="00625C18"/>
    <w:rsid w:val="00625D3D"/>
    <w:rsid w:val="00625EAB"/>
    <w:rsid w:val="00625FBE"/>
    <w:rsid w:val="0062611A"/>
    <w:rsid w:val="00626251"/>
    <w:rsid w:val="0062633D"/>
    <w:rsid w:val="006263F1"/>
    <w:rsid w:val="0062692E"/>
    <w:rsid w:val="00626955"/>
    <w:rsid w:val="00626B3F"/>
    <w:rsid w:val="00626D53"/>
    <w:rsid w:val="00627678"/>
    <w:rsid w:val="006277B1"/>
    <w:rsid w:val="00627DAE"/>
    <w:rsid w:val="006300D9"/>
    <w:rsid w:val="0063011A"/>
    <w:rsid w:val="00630312"/>
    <w:rsid w:val="006307AD"/>
    <w:rsid w:val="00630BA8"/>
    <w:rsid w:val="00630E81"/>
    <w:rsid w:val="00630F68"/>
    <w:rsid w:val="00630F7F"/>
    <w:rsid w:val="00631334"/>
    <w:rsid w:val="00631BAB"/>
    <w:rsid w:val="006323D2"/>
    <w:rsid w:val="006325FC"/>
    <w:rsid w:val="0063281F"/>
    <w:rsid w:val="00632865"/>
    <w:rsid w:val="00633120"/>
    <w:rsid w:val="00633391"/>
    <w:rsid w:val="0063347B"/>
    <w:rsid w:val="006336B2"/>
    <w:rsid w:val="00634567"/>
    <w:rsid w:val="006355F2"/>
    <w:rsid w:val="006357CD"/>
    <w:rsid w:val="00635844"/>
    <w:rsid w:val="006358B8"/>
    <w:rsid w:val="00635C4C"/>
    <w:rsid w:val="00635C96"/>
    <w:rsid w:val="006360BF"/>
    <w:rsid w:val="006361C3"/>
    <w:rsid w:val="006364F0"/>
    <w:rsid w:val="00636BE0"/>
    <w:rsid w:val="00636E4A"/>
    <w:rsid w:val="00637176"/>
    <w:rsid w:val="0063735E"/>
    <w:rsid w:val="006373D6"/>
    <w:rsid w:val="00637644"/>
    <w:rsid w:val="00637754"/>
    <w:rsid w:val="006404EA"/>
    <w:rsid w:val="00640671"/>
    <w:rsid w:val="006409A0"/>
    <w:rsid w:val="00640D9E"/>
    <w:rsid w:val="00641384"/>
    <w:rsid w:val="00641944"/>
    <w:rsid w:val="00641FD1"/>
    <w:rsid w:val="0064246A"/>
    <w:rsid w:val="00642942"/>
    <w:rsid w:val="00642C7C"/>
    <w:rsid w:val="00642E69"/>
    <w:rsid w:val="006430E0"/>
    <w:rsid w:val="006430FD"/>
    <w:rsid w:val="006434BC"/>
    <w:rsid w:val="00644200"/>
    <w:rsid w:val="0064422F"/>
    <w:rsid w:val="006442E0"/>
    <w:rsid w:val="006444B0"/>
    <w:rsid w:val="00644C58"/>
    <w:rsid w:val="00644E1E"/>
    <w:rsid w:val="00644F2A"/>
    <w:rsid w:val="0064510B"/>
    <w:rsid w:val="006452E6"/>
    <w:rsid w:val="0064554A"/>
    <w:rsid w:val="0064565C"/>
    <w:rsid w:val="00647106"/>
    <w:rsid w:val="00647404"/>
    <w:rsid w:val="0064746E"/>
    <w:rsid w:val="006474B8"/>
    <w:rsid w:val="00647784"/>
    <w:rsid w:val="00647AF4"/>
    <w:rsid w:val="00647DF7"/>
    <w:rsid w:val="00650200"/>
    <w:rsid w:val="00650774"/>
    <w:rsid w:val="00650A87"/>
    <w:rsid w:val="00651593"/>
    <w:rsid w:val="00651BEE"/>
    <w:rsid w:val="00652240"/>
    <w:rsid w:val="00652360"/>
    <w:rsid w:val="006529E2"/>
    <w:rsid w:val="00652AA2"/>
    <w:rsid w:val="00652AC5"/>
    <w:rsid w:val="00652BFE"/>
    <w:rsid w:val="00653148"/>
    <w:rsid w:val="006534FD"/>
    <w:rsid w:val="006537A7"/>
    <w:rsid w:val="00653D4F"/>
    <w:rsid w:val="00653D8F"/>
    <w:rsid w:val="00654006"/>
    <w:rsid w:val="006542A6"/>
    <w:rsid w:val="0065445D"/>
    <w:rsid w:val="00654766"/>
    <w:rsid w:val="00654CFA"/>
    <w:rsid w:val="0065654B"/>
    <w:rsid w:val="006567B1"/>
    <w:rsid w:val="00656978"/>
    <w:rsid w:val="00657B93"/>
    <w:rsid w:val="00657FE7"/>
    <w:rsid w:val="006608F1"/>
    <w:rsid w:val="00660D87"/>
    <w:rsid w:val="00660DEC"/>
    <w:rsid w:val="00661055"/>
    <w:rsid w:val="0066112C"/>
    <w:rsid w:val="006614D3"/>
    <w:rsid w:val="00661E42"/>
    <w:rsid w:val="006624A0"/>
    <w:rsid w:val="00662587"/>
    <w:rsid w:val="006628F8"/>
    <w:rsid w:val="00662AC4"/>
    <w:rsid w:val="00662B4D"/>
    <w:rsid w:val="00662BB3"/>
    <w:rsid w:val="00663385"/>
    <w:rsid w:val="006634C4"/>
    <w:rsid w:val="00663677"/>
    <w:rsid w:val="00663AAD"/>
    <w:rsid w:val="00663DA5"/>
    <w:rsid w:val="00664316"/>
    <w:rsid w:val="006646D7"/>
    <w:rsid w:val="00664CE5"/>
    <w:rsid w:val="00665269"/>
    <w:rsid w:val="00665503"/>
    <w:rsid w:val="00665A9B"/>
    <w:rsid w:val="00665BBB"/>
    <w:rsid w:val="00665F9D"/>
    <w:rsid w:val="006665A5"/>
    <w:rsid w:val="006667FB"/>
    <w:rsid w:val="0066687D"/>
    <w:rsid w:val="00666C79"/>
    <w:rsid w:val="00667859"/>
    <w:rsid w:val="006678D6"/>
    <w:rsid w:val="00667EF1"/>
    <w:rsid w:val="00670D64"/>
    <w:rsid w:val="00671839"/>
    <w:rsid w:val="00671D83"/>
    <w:rsid w:val="006722EE"/>
    <w:rsid w:val="00672390"/>
    <w:rsid w:val="00672CB0"/>
    <w:rsid w:val="00673283"/>
    <w:rsid w:val="0067348B"/>
    <w:rsid w:val="006737F0"/>
    <w:rsid w:val="00673A79"/>
    <w:rsid w:val="00673DB7"/>
    <w:rsid w:val="00673EC9"/>
    <w:rsid w:val="006740E1"/>
    <w:rsid w:val="00674A07"/>
    <w:rsid w:val="00674A94"/>
    <w:rsid w:val="00674B99"/>
    <w:rsid w:val="006750C7"/>
    <w:rsid w:val="00675176"/>
    <w:rsid w:val="00675294"/>
    <w:rsid w:val="00675E42"/>
    <w:rsid w:val="00675EE4"/>
    <w:rsid w:val="00676094"/>
    <w:rsid w:val="00676131"/>
    <w:rsid w:val="00676F60"/>
    <w:rsid w:val="00676FD8"/>
    <w:rsid w:val="00677146"/>
    <w:rsid w:val="00677371"/>
    <w:rsid w:val="00677816"/>
    <w:rsid w:val="00677A49"/>
    <w:rsid w:val="006800E4"/>
    <w:rsid w:val="006804DD"/>
    <w:rsid w:val="00680765"/>
    <w:rsid w:val="00680B44"/>
    <w:rsid w:val="00680CDF"/>
    <w:rsid w:val="00680CF1"/>
    <w:rsid w:val="00681273"/>
    <w:rsid w:val="00681A00"/>
    <w:rsid w:val="00681A37"/>
    <w:rsid w:val="00681A83"/>
    <w:rsid w:val="00682315"/>
    <w:rsid w:val="006825AB"/>
    <w:rsid w:val="0068270C"/>
    <w:rsid w:val="00682852"/>
    <w:rsid w:val="0068293C"/>
    <w:rsid w:val="00682B35"/>
    <w:rsid w:val="00683236"/>
    <w:rsid w:val="006833EB"/>
    <w:rsid w:val="00683563"/>
    <w:rsid w:val="00683807"/>
    <w:rsid w:val="00683E12"/>
    <w:rsid w:val="00683FE0"/>
    <w:rsid w:val="00684203"/>
    <w:rsid w:val="0068489B"/>
    <w:rsid w:val="00684D66"/>
    <w:rsid w:val="00684E56"/>
    <w:rsid w:val="0068537E"/>
    <w:rsid w:val="00685700"/>
    <w:rsid w:val="006865A6"/>
    <w:rsid w:val="00686CB4"/>
    <w:rsid w:val="00686DB4"/>
    <w:rsid w:val="006877FD"/>
    <w:rsid w:val="00687B0A"/>
    <w:rsid w:val="00687B75"/>
    <w:rsid w:val="00687CB2"/>
    <w:rsid w:val="00690258"/>
    <w:rsid w:val="0069039B"/>
    <w:rsid w:val="00690CAE"/>
    <w:rsid w:val="00690CEB"/>
    <w:rsid w:val="00690D41"/>
    <w:rsid w:val="006910BA"/>
    <w:rsid w:val="00691130"/>
    <w:rsid w:val="006913D9"/>
    <w:rsid w:val="00691B50"/>
    <w:rsid w:val="00691B7C"/>
    <w:rsid w:val="0069202E"/>
    <w:rsid w:val="006922C5"/>
    <w:rsid w:val="006924CB"/>
    <w:rsid w:val="00692904"/>
    <w:rsid w:val="00693448"/>
    <w:rsid w:val="006937EF"/>
    <w:rsid w:val="00693883"/>
    <w:rsid w:val="00693A24"/>
    <w:rsid w:val="00693F56"/>
    <w:rsid w:val="006940A1"/>
    <w:rsid w:val="0069427F"/>
    <w:rsid w:val="00694448"/>
    <w:rsid w:val="00694510"/>
    <w:rsid w:val="00694930"/>
    <w:rsid w:val="00694F2A"/>
    <w:rsid w:val="00694F39"/>
    <w:rsid w:val="00695313"/>
    <w:rsid w:val="00695804"/>
    <w:rsid w:val="0069591D"/>
    <w:rsid w:val="006959FC"/>
    <w:rsid w:val="00695A1D"/>
    <w:rsid w:val="00695B6E"/>
    <w:rsid w:val="006960D3"/>
    <w:rsid w:val="00696216"/>
    <w:rsid w:val="00696B6F"/>
    <w:rsid w:val="00696EBC"/>
    <w:rsid w:val="00696F6C"/>
    <w:rsid w:val="006974DB"/>
    <w:rsid w:val="00697983"/>
    <w:rsid w:val="00697FBD"/>
    <w:rsid w:val="006A0116"/>
    <w:rsid w:val="006A0736"/>
    <w:rsid w:val="006A1043"/>
    <w:rsid w:val="006A11AA"/>
    <w:rsid w:val="006A2589"/>
    <w:rsid w:val="006A2E11"/>
    <w:rsid w:val="006A3582"/>
    <w:rsid w:val="006A37BB"/>
    <w:rsid w:val="006A3C7C"/>
    <w:rsid w:val="006A3DA9"/>
    <w:rsid w:val="006A44C8"/>
    <w:rsid w:val="006A4939"/>
    <w:rsid w:val="006A4A6D"/>
    <w:rsid w:val="006A50DE"/>
    <w:rsid w:val="006A592E"/>
    <w:rsid w:val="006A6BD4"/>
    <w:rsid w:val="006A6BF8"/>
    <w:rsid w:val="006A6C76"/>
    <w:rsid w:val="006A75DE"/>
    <w:rsid w:val="006B0926"/>
    <w:rsid w:val="006B1163"/>
    <w:rsid w:val="006B11D4"/>
    <w:rsid w:val="006B127E"/>
    <w:rsid w:val="006B13D6"/>
    <w:rsid w:val="006B1914"/>
    <w:rsid w:val="006B1925"/>
    <w:rsid w:val="006B2135"/>
    <w:rsid w:val="006B21A1"/>
    <w:rsid w:val="006B21DC"/>
    <w:rsid w:val="006B2A3F"/>
    <w:rsid w:val="006B2AC4"/>
    <w:rsid w:val="006B2FF2"/>
    <w:rsid w:val="006B316C"/>
    <w:rsid w:val="006B4352"/>
    <w:rsid w:val="006B44F0"/>
    <w:rsid w:val="006B509C"/>
    <w:rsid w:val="006B511E"/>
    <w:rsid w:val="006B559C"/>
    <w:rsid w:val="006B55D8"/>
    <w:rsid w:val="006B5D70"/>
    <w:rsid w:val="006B5F6A"/>
    <w:rsid w:val="006B762A"/>
    <w:rsid w:val="006B76BD"/>
    <w:rsid w:val="006B7A4A"/>
    <w:rsid w:val="006B7BB6"/>
    <w:rsid w:val="006C04E7"/>
    <w:rsid w:val="006C0862"/>
    <w:rsid w:val="006C0F91"/>
    <w:rsid w:val="006C13A6"/>
    <w:rsid w:val="006C17B2"/>
    <w:rsid w:val="006C2B11"/>
    <w:rsid w:val="006C2BE6"/>
    <w:rsid w:val="006C2C73"/>
    <w:rsid w:val="006C2D07"/>
    <w:rsid w:val="006C2DDA"/>
    <w:rsid w:val="006C3062"/>
    <w:rsid w:val="006C3112"/>
    <w:rsid w:val="006C33B0"/>
    <w:rsid w:val="006C36A5"/>
    <w:rsid w:val="006C3761"/>
    <w:rsid w:val="006C3B1B"/>
    <w:rsid w:val="006C4346"/>
    <w:rsid w:val="006C5A81"/>
    <w:rsid w:val="006C5AE4"/>
    <w:rsid w:val="006C5C24"/>
    <w:rsid w:val="006C63BF"/>
    <w:rsid w:val="006C7133"/>
    <w:rsid w:val="006C75DF"/>
    <w:rsid w:val="006C7FD7"/>
    <w:rsid w:val="006C7FE3"/>
    <w:rsid w:val="006D030D"/>
    <w:rsid w:val="006D03F3"/>
    <w:rsid w:val="006D0492"/>
    <w:rsid w:val="006D0530"/>
    <w:rsid w:val="006D0633"/>
    <w:rsid w:val="006D1191"/>
    <w:rsid w:val="006D1237"/>
    <w:rsid w:val="006D15EA"/>
    <w:rsid w:val="006D1875"/>
    <w:rsid w:val="006D2BC7"/>
    <w:rsid w:val="006D3721"/>
    <w:rsid w:val="006D3C5E"/>
    <w:rsid w:val="006D4201"/>
    <w:rsid w:val="006D42A9"/>
    <w:rsid w:val="006D4800"/>
    <w:rsid w:val="006D4AC9"/>
    <w:rsid w:val="006D4C7C"/>
    <w:rsid w:val="006D53CB"/>
    <w:rsid w:val="006D546F"/>
    <w:rsid w:val="006D5510"/>
    <w:rsid w:val="006D5BA7"/>
    <w:rsid w:val="006D6BF7"/>
    <w:rsid w:val="006D6CA4"/>
    <w:rsid w:val="006D7370"/>
    <w:rsid w:val="006D75B4"/>
    <w:rsid w:val="006D7738"/>
    <w:rsid w:val="006D775A"/>
    <w:rsid w:val="006D7799"/>
    <w:rsid w:val="006D77E1"/>
    <w:rsid w:val="006D7F56"/>
    <w:rsid w:val="006E0038"/>
    <w:rsid w:val="006E0614"/>
    <w:rsid w:val="006E1A01"/>
    <w:rsid w:val="006E1AE5"/>
    <w:rsid w:val="006E1E8B"/>
    <w:rsid w:val="006E296B"/>
    <w:rsid w:val="006E2DF8"/>
    <w:rsid w:val="006E2E80"/>
    <w:rsid w:val="006E349B"/>
    <w:rsid w:val="006E39AB"/>
    <w:rsid w:val="006E3AFC"/>
    <w:rsid w:val="006E3ECF"/>
    <w:rsid w:val="006E41A1"/>
    <w:rsid w:val="006E42BB"/>
    <w:rsid w:val="006E451D"/>
    <w:rsid w:val="006E4CB4"/>
    <w:rsid w:val="006E4D13"/>
    <w:rsid w:val="006E55AB"/>
    <w:rsid w:val="006E577B"/>
    <w:rsid w:val="006E5C78"/>
    <w:rsid w:val="006E5C9F"/>
    <w:rsid w:val="006E69CB"/>
    <w:rsid w:val="006E6A90"/>
    <w:rsid w:val="006E6B4C"/>
    <w:rsid w:val="006E6DFF"/>
    <w:rsid w:val="006E7374"/>
    <w:rsid w:val="006E79C4"/>
    <w:rsid w:val="006E7B39"/>
    <w:rsid w:val="006F01E4"/>
    <w:rsid w:val="006F03C3"/>
    <w:rsid w:val="006F0D6D"/>
    <w:rsid w:val="006F1A11"/>
    <w:rsid w:val="006F1F59"/>
    <w:rsid w:val="006F1FBA"/>
    <w:rsid w:val="006F223B"/>
    <w:rsid w:val="006F2F39"/>
    <w:rsid w:val="006F34CB"/>
    <w:rsid w:val="006F3639"/>
    <w:rsid w:val="006F3855"/>
    <w:rsid w:val="006F3B32"/>
    <w:rsid w:val="006F4D19"/>
    <w:rsid w:val="006F5307"/>
    <w:rsid w:val="006F588B"/>
    <w:rsid w:val="006F5E0C"/>
    <w:rsid w:val="006F676D"/>
    <w:rsid w:val="006F69C5"/>
    <w:rsid w:val="006F6CB2"/>
    <w:rsid w:val="006F6FB6"/>
    <w:rsid w:val="006F7360"/>
    <w:rsid w:val="006F75DC"/>
    <w:rsid w:val="006F782C"/>
    <w:rsid w:val="007000CB"/>
    <w:rsid w:val="0070061D"/>
    <w:rsid w:val="007006E0"/>
    <w:rsid w:val="00700A9C"/>
    <w:rsid w:val="007013EF"/>
    <w:rsid w:val="00701BAF"/>
    <w:rsid w:val="007022EE"/>
    <w:rsid w:val="00702438"/>
    <w:rsid w:val="00702A14"/>
    <w:rsid w:val="00702AF4"/>
    <w:rsid w:val="00702C05"/>
    <w:rsid w:val="00702E53"/>
    <w:rsid w:val="00702FCC"/>
    <w:rsid w:val="00703389"/>
    <w:rsid w:val="00703751"/>
    <w:rsid w:val="00703B2B"/>
    <w:rsid w:val="00703B9E"/>
    <w:rsid w:val="007045F4"/>
    <w:rsid w:val="0070479C"/>
    <w:rsid w:val="007049FF"/>
    <w:rsid w:val="00704A4E"/>
    <w:rsid w:val="00704F92"/>
    <w:rsid w:val="00704FD6"/>
    <w:rsid w:val="0070511C"/>
    <w:rsid w:val="00705AF4"/>
    <w:rsid w:val="00705C53"/>
    <w:rsid w:val="00705D07"/>
    <w:rsid w:val="00705D8B"/>
    <w:rsid w:val="007063AA"/>
    <w:rsid w:val="0070656C"/>
    <w:rsid w:val="0070664A"/>
    <w:rsid w:val="007069AD"/>
    <w:rsid w:val="00706E5E"/>
    <w:rsid w:val="0070717D"/>
    <w:rsid w:val="0070735B"/>
    <w:rsid w:val="00707652"/>
    <w:rsid w:val="00707705"/>
    <w:rsid w:val="00707A5F"/>
    <w:rsid w:val="0071044E"/>
    <w:rsid w:val="007106BE"/>
    <w:rsid w:val="00710767"/>
    <w:rsid w:val="007108D9"/>
    <w:rsid w:val="00710A9A"/>
    <w:rsid w:val="00711819"/>
    <w:rsid w:val="0071192A"/>
    <w:rsid w:val="007126A0"/>
    <w:rsid w:val="0071272C"/>
    <w:rsid w:val="0071277F"/>
    <w:rsid w:val="00712C01"/>
    <w:rsid w:val="00712D72"/>
    <w:rsid w:val="00712FF9"/>
    <w:rsid w:val="00713928"/>
    <w:rsid w:val="00714CD0"/>
    <w:rsid w:val="00714F3C"/>
    <w:rsid w:val="007153AE"/>
    <w:rsid w:val="0071553F"/>
    <w:rsid w:val="00715781"/>
    <w:rsid w:val="00715980"/>
    <w:rsid w:val="00715E1E"/>
    <w:rsid w:val="007161F4"/>
    <w:rsid w:val="007163A5"/>
    <w:rsid w:val="0071664B"/>
    <w:rsid w:val="00716FEE"/>
    <w:rsid w:val="007177F4"/>
    <w:rsid w:val="00717C87"/>
    <w:rsid w:val="00717EC5"/>
    <w:rsid w:val="00720368"/>
    <w:rsid w:val="007208FE"/>
    <w:rsid w:val="00720C22"/>
    <w:rsid w:val="00720DFA"/>
    <w:rsid w:val="007215B5"/>
    <w:rsid w:val="007217AE"/>
    <w:rsid w:val="007219B7"/>
    <w:rsid w:val="00721AAB"/>
    <w:rsid w:val="00721AD5"/>
    <w:rsid w:val="00721EFF"/>
    <w:rsid w:val="00722F85"/>
    <w:rsid w:val="00723006"/>
    <w:rsid w:val="007239C7"/>
    <w:rsid w:val="00723AB9"/>
    <w:rsid w:val="00724091"/>
    <w:rsid w:val="007242C8"/>
    <w:rsid w:val="00724D24"/>
    <w:rsid w:val="00724D78"/>
    <w:rsid w:val="007253AC"/>
    <w:rsid w:val="00725508"/>
    <w:rsid w:val="007257C1"/>
    <w:rsid w:val="00725C09"/>
    <w:rsid w:val="00726011"/>
    <w:rsid w:val="00727252"/>
    <w:rsid w:val="00727315"/>
    <w:rsid w:val="00727829"/>
    <w:rsid w:val="00727AB3"/>
    <w:rsid w:val="00727B10"/>
    <w:rsid w:val="00727B67"/>
    <w:rsid w:val="00730437"/>
    <w:rsid w:val="007304C8"/>
    <w:rsid w:val="00730A2A"/>
    <w:rsid w:val="007312AA"/>
    <w:rsid w:val="00731AE5"/>
    <w:rsid w:val="00731EC7"/>
    <w:rsid w:val="00732A92"/>
    <w:rsid w:val="0073339B"/>
    <w:rsid w:val="007334B0"/>
    <w:rsid w:val="00733552"/>
    <w:rsid w:val="0073378B"/>
    <w:rsid w:val="00733E02"/>
    <w:rsid w:val="007340C7"/>
    <w:rsid w:val="007346ED"/>
    <w:rsid w:val="00734D55"/>
    <w:rsid w:val="00734EA2"/>
    <w:rsid w:val="00734EAE"/>
    <w:rsid w:val="00735588"/>
    <w:rsid w:val="00735633"/>
    <w:rsid w:val="00735F77"/>
    <w:rsid w:val="0073614F"/>
    <w:rsid w:val="007361E9"/>
    <w:rsid w:val="00736334"/>
    <w:rsid w:val="007369AA"/>
    <w:rsid w:val="00736DD6"/>
    <w:rsid w:val="00736EDC"/>
    <w:rsid w:val="0073726E"/>
    <w:rsid w:val="00737693"/>
    <w:rsid w:val="00737C64"/>
    <w:rsid w:val="00737F23"/>
    <w:rsid w:val="00740567"/>
    <w:rsid w:val="00740875"/>
    <w:rsid w:val="00741604"/>
    <w:rsid w:val="00742006"/>
    <w:rsid w:val="00742586"/>
    <w:rsid w:val="00742902"/>
    <w:rsid w:val="00742BD5"/>
    <w:rsid w:val="0074306C"/>
    <w:rsid w:val="0074320B"/>
    <w:rsid w:val="007437F6"/>
    <w:rsid w:val="00743991"/>
    <w:rsid w:val="007441C0"/>
    <w:rsid w:val="007441F5"/>
    <w:rsid w:val="007448D1"/>
    <w:rsid w:val="00744C4E"/>
    <w:rsid w:val="007451EF"/>
    <w:rsid w:val="00745240"/>
    <w:rsid w:val="00745242"/>
    <w:rsid w:val="007452EA"/>
    <w:rsid w:val="00745393"/>
    <w:rsid w:val="0074567A"/>
    <w:rsid w:val="007456A0"/>
    <w:rsid w:val="0074628D"/>
    <w:rsid w:val="00746400"/>
    <w:rsid w:val="007469B2"/>
    <w:rsid w:val="00746F47"/>
    <w:rsid w:val="0074753E"/>
    <w:rsid w:val="007479F5"/>
    <w:rsid w:val="00747AA3"/>
    <w:rsid w:val="00747E6E"/>
    <w:rsid w:val="00750018"/>
    <w:rsid w:val="0075031D"/>
    <w:rsid w:val="0075096B"/>
    <w:rsid w:val="007509B8"/>
    <w:rsid w:val="00750A89"/>
    <w:rsid w:val="0075128D"/>
    <w:rsid w:val="007513A1"/>
    <w:rsid w:val="00751627"/>
    <w:rsid w:val="00752085"/>
    <w:rsid w:val="0075253F"/>
    <w:rsid w:val="0075294C"/>
    <w:rsid w:val="00752988"/>
    <w:rsid w:val="00753010"/>
    <w:rsid w:val="00753167"/>
    <w:rsid w:val="007531BC"/>
    <w:rsid w:val="007538C0"/>
    <w:rsid w:val="0075397C"/>
    <w:rsid w:val="007541A3"/>
    <w:rsid w:val="0075420E"/>
    <w:rsid w:val="00755025"/>
    <w:rsid w:val="0075515E"/>
    <w:rsid w:val="00755833"/>
    <w:rsid w:val="007559CB"/>
    <w:rsid w:val="00756117"/>
    <w:rsid w:val="0075616C"/>
    <w:rsid w:val="007561FC"/>
    <w:rsid w:val="007571C3"/>
    <w:rsid w:val="0075722D"/>
    <w:rsid w:val="00757538"/>
    <w:rsid w:val="00757BA9"/>
    <w:rsid w:val="00757EF2"/>
    <w:rsid w:val="007603FF"/>
    <w:rsid w:val="00760402"/>
    <w:rsid w:val="00760445"/>
    <w:rsid w:val="00760DEB"/>
    <w:rsid w:val="00761357"/>
    <w:rsid w:val="00761B76"/>
    <w:rsid w:val="00761CAF"/>
    <w:rsid w:val="00761FDA"/>
    <w:rsid w:val="0076268B"/>
    <w:rsid w:val="0076275D"/>
    <w:rsid w:val="00762D5E"/>
    <w:rsid w:val="00762F70"/>
    <w:rsid w:val="00762FBE"/>
    <w:rsid w:val="007631DB"/>
    <w:rsid w:val="00763F05"/>
    <w:rsid w:val="0076445E"/>
    <w:rsid w:val="00764FD7"/>
    <w:rsid w:val="00765417"/>
    <w:rsid w:val="00765706"/>
    <w:rsid w:val="0076615F"/>
    <w:rsid w:val="00766BB5"/>
    <w:rsid w:val="00766E16"/>
    <w:rsid w:val="00767266"/>
    <w:rsid w:val="007674D5"/>
    <w:rsid w:val="0076787A"/>
    <w:rsid w:val="00767EE0"/>
    <w:rsid w:val="0077021A"/>
    <w:rsid w:val="007702A9"/>
    <w:rsid w:val="007708F7"/>
    <w:rsid w:val="007709F3"/>
    <w:rsid w:val="00770CFA"/>
    <w:rsid w:val="00770E5B"/>
    <w:rsid w:val="0077169F"/>
    <w:rsid w:val="007717E3"/>
    <w:rsid w:val="007719F8"/>
    <w:rsid w:val="00771C74"/>
    <w:rsid w:val="007725E3"/>
    <w:rsid w:val="00772F95"/>
    <w:rsid w:val="007738E2"/>
    <w:rsid w:val="00773C00"/>
    <w:rsid w:val="00773D8A"/>
    <w:rsid w:val="007740E7"/>
    <w:rsid w:val="00774DB5"/>
    <w:rsid w:val="00775584"/>
    <w:rsid w:val="0077592A"/>
    <w:rsid w:val="007759C0"/>
    <w:rsid w:val="00775B19"/>
    <w:rsid w:val="007762EB"/>
    <w:rsid w:val="00777E79"/>
    <w:rsid w:val="00777EE1"/>
    <w:rsid w:val="0078015D"/>
    <w:rsid w:val="007801D2"/>
    <w:rsid w:val="0078035D"/>
    <w:rsid w:val="00780752"/>
    <w:rsid w:val="00780AAE"/>
    <w:rsid w:val="00780C02"/>
    <w:rsid w:val="007815DF"/>
    <w:rsid w:val="00781712"/>
    <w:rsid w:val="00781B56"/>
    <w:rsid w:val="00781D1A"/>
    <w:rsid w:val="0078201C"/>
    <w:rsid w:val="00782470"/>
    <w:rsid w:val="00782537"/>
    <w:rsid w:val="00782551"/>
    <w:rsid w:val="007829A0"/>
    <w:rsid w:val="00782B9E"/>
    <w:rsid w:val="00782DBD"/>
    <w:rsid w:val="00782FBC"/>
    <w:rsid w:val="0078325B"/>
    <w:rsid w:val="007834B7"/>
    <w:rsid w:val="00783B7C"/>
    <w:rsid w:val="00784473"/>
    <w:rsid w:val="007846B0"/>
    <w:rsid w:val="00784A0C"/>
    <w:rsid w:val="00784D1C"/>
    <w:rsid w:val="007858F6"/>
    <w:rsid w:val="00785FCA"/>
    <w:rsid w:val="00786163"/>
    <w:rsid w:val="00786310"/>
    <w:rsid w:val="007864EE"/>
    <w:rsid w:val="007870B2"/>
    <w:rsid w:val="00787763"/>
    <w:rsid w:val="00790C24"/>
    <w:rsid w:val="00790D68"/>
    <w:rsid w:val="00790DDF"/>
    <w:rsid w:val="00790E74"/>
    <w:rsid w:val="00791335"/>
    <w:rsid w:val="00791B89"/>
    <w:rsid w:val="00792270"/>
    <w:rsid w:val="00792443"/>
    <w:rsid w:val="0079269C"/>
    <w:rsid w:val="00792736"/>
    <w:rsid w:val="00792990"/>
    <w:rsid w:val="00792C70"/>
    <w:rsid w:val="00792FD9"/>
    <w:rsid w:val="007932D9"/>
    <w:rsid w:val="007943C3"/>
    <w:rsid w:val="007949DB"/>
    <w:rsid w:val="00794C6B"/>
    <w:rsid w:val="0079510B"/>
    <w:rsid w:val="00795198"/>
    <w:rsid w:val="007952DA"/>
    <w:rsid w:val="00795434"/>
    <w:rsid w:val="00795966"/>
    <w:rsid w:val="0079598F"/>
    <w:rsid w:val="00795F3A"/>
    <w:rsid w:val="00796570"/>
    <w:rsid w:val="00796624"/>
    <w:rsid w:val="0079725E"/>
    <w:rsid w:val="0079734E"/>
    <w:rsid w:val="00797714"/>
    <w:rsid w:val="00797ED6"/>
    <w:rsid w:val="007A0E02"/>
    <w:rsid w:val="007A0E18"/>
    <w:rsid w:val="007A1424"/>
    <w:rsid w:val="007A1661"/>
    <w:rsid w:val="007A18F7"/>
    <w:rsid w:val="007A1995"/>
    <w:rsid w:val="007A24D2"/>
    <w:rsid w:val="007A2C2B"/>
    <w:rsid w:val="007A2DFB"/>
    <w:rsid w:val="007A3067"/>
    <w:rsid w:val="007A33F9"/>
    <w:rsid w:val="007A34C0"/>
    <w:rsid w:val="007A3EB1"/>
    <w:rsid w:val="007A3F6B"/>
    <w:rsid w:val="007A3F98"/>
    <w:rsid w:val="007A409C"/>
    <w:rsid w:val="007A40B4"/>
    <w:rsid w:val="007A426D"/>
    <w:rsid w:val="007A4455"/>
    <w:rsid w:val="007A4F9A"/>
    <w:rsid w:val="007A529A"/>
    <w:rsid w:val="007A5683"/>
    <w:rsid w:val="007A56D5"/>
    <w:rsid w:val="007A58E0"/>
    <w:rsid w:val="007A5CD4"/>
    <w:rsid w:val="007A5CEE"/>
    <w:rsid w:val="007A5DC2"/>
    <w:rsid w:val="007A5E53"/>
    <w:rsid w:val="007A60B7"/>
    <w:rsid w:val="007A641B"/>
    <w:rsid w:val="007A6424"/>
    <w:rsid w:val="007A6B62"/>
    <w:rsid w:val="007A6BD1"/>
    <w:rsid w:val="007A6DC8"/>
    <w:rsid w:val="007A7140"/>
    <w:rsid w:val="007A7751"/>
    <w:rsid w:val="007B01D5"/>
    <w:rsid w:val="007B0A18"/>
    <w:rsid w:val="007B0B9A"/>
    <w:rsid w:val="007B1083"/>
    <w:rsid w:val="007B1D44"/>
    <w:rsid w:val="007B218D"/>
    <w:rsid w:val="007B2638"/>
    <w:rsid w:val="007B2A55"/>
    <w:rsid w:val="007B2BE0"/>
    <w:rsid w:val="007B2F20"/>
    <w:rsid w:val="007B33C1"/>
    <w:rsid w:val="007B3924"/>
    <w:rsid w:val="007B3A53"/>
    <w:rsid w:val="007B4339"/>
    <w:rsid w:val="007B4562"/>
    <w:rsid w:val="007B512F"/>
    <w:rsid w:val="007B5245"/>
    <w:rsid w:val="007B5BE3"/>
    <w:rsid w:val="007B62BE"/>
    <w:rsid w:val="007B635B"/>
    <w:rsid w:val="007B6525"/>
    <w:rsid w:val="007B6722"/>
    <w:rsid w:val="007B67D9"/>
    <w:rsid w:val="007B69B8"/>
    <w:rsid w:val="007B6A39"/>
    <w:rsid w:val="007C0275"/>
    <w:rsid w:val="007C0507"/>
    <w:rsid w:val="007C07B1"/>
    <w:rsid w:val="007C0D05"/>
    <w:rsid w:val="007C0DAA"/>
    <w:rsid w:val="007C0EF3"/>
    <w:rsid w:val="007C14FB"/>
    <w:rsid w:val="007C1A8B"/>
    <w:rsid w:val="007C1C0A"/>
    <w:rsid w:val="007C1C7D"/>
    <w:rsid w:val="007C1F05"/>
    <w:rsid w:val="007C200E"/>
    <w:rsid w:val="007C25BF"/>
    <w:rsid w:val="007C2D6A"/>
    <w:rsid w:val="007C3392"/>
    <w:rsid w:val="007C342D"/>
    <w:rsid w:val="007C3970"/>
    <w:rsid w:val="007C4087"/>
    <w:rsid w:val="007C4652"/>
    <w:rsid w:val="007C4789"/>
    <w:rsid w:val="007C5186"/>
    <w:rsid w:val="007C538F"/>
    <w:rsid w:val="007C53AD"/>
    <w:rsid w:val="007C5BFF"/>
    <w:rsid w:val="007C5DB4"/>
    <w:rsid w:val="007C5DDA"/>
    <w:rsid w:val="007C5FD5"/>
    <w:rsid w:val="007C6805"/>
    <w:rsid w:val="007C6ADE"/>
    <w:rsid w:val="007C757A"/>
    <w:rsid w:val="007C7792"/>
    <w:rsid w:val="007D00C8"/>
    <w:rsid w:val="007D0D48"/>
    <w:rsid w:val="007D0F2A"/>
    <w:rsid w:val="007D1D4E"/>
    <w:rsid w:val="007D1FB4"/>
    <w:rsid w:val="007D20E0"/>
    <w:rsid w:val="007D21E5"/>
    <w:rsid w:val="007D2471"/>
    <w:rsid w:val="007D2512"/>
    <w:rsid w:val="007D27A1"/>
    <w:rsid w:val="007D2869"/>
    <w:rsid w:val="007D2922"/>
    <w:rsid w:val="007D29C9"/>
    <w:rsid w:val="007D2D6A"/>
    <w:rsid w:val="007D3194"/>
    <w:rsid w:val="007D3AC2"/>
    <w:rsid w:val="007D3B76"/>
    <w:rsid w:val="007D3E4D"/>
    <w:rsid w:val="007D3FEF"/>
    <w:rsid w:val="007D4650"/>
    <w:rsid w:val="007D489D"/>
    <w:rsid w:val="007D4CE5"/>
    <w:rsid w:val="007D4DD9"/>
    <w:rsid w:val="007D5099"/>
    <w:rsid w:val="007D584D"/>
    <w:rsid w:val="007D62B5"/>
    <w:rsid w:val="007D6415"/>
    <w:rsid w:val="007D6BD1"/>
    <w:rsid w:val="007D6C28"/>
    <w:rsid w:val="007D70D9"/>
    <w:rsid w:val="007D72D3"/>
    <w:rsid w:val="007D7527"/>
    <w:rsid w:val="007D75DD"/>
    <w:rsid w:val="007E0129"/>
    <w:rsid w:val="007E0456"/>
    <w:rsid w:val="007E05B1"/>
    <w:rsid w:val="007E0DC7"/>
    <w:rsid w:val="007E1197"/>
    <w:rsid w:val="007E16B5"/>
    <w:rsid w:val="007E1831"/>
    <w:rsid w:val="007E2019"/>
    <w:rsid w:val="007E2662"/>
    <w:rsid w:val="007E2878"/>
    <w:rsid w:val="007E2B3A"/>
    <w:rsid w:val="007E2E3A"/>
    <w:rsid w:val="007E3177"/>
    <w:rsid w:val="007E33D6"/>
    <w:rsid w:val="007E39D6"/>
    <w:rsid w:val="007E3F0A"/>
    <w:rsid w:val="007E468F"/>
    <w:rsid w:val="007E4D01"/>
    <w:rsid w:val="007E4D1B"/>
    <w:rsid w:val="007E5398"/>
    <w:rsid w:val="007E53FE"/>
    <w:rsid w:val="007E554C"/>
    <w:rsid w:val="007E55D8"/>
    <w:rsid w:val="007E5630"/>
    <w:rsid w:val="007E5844"/>
    <w:rsid w:val="007E590D"/>
    <w:rsid w:val="007E597A"/>
    <w:rsid w:val="007E59F7"/>
    <w:rsid w:val="007E5B6D"/>
    <w:rsid w:val="007E5E53"/>
    <w:rsid w:val="007E60E3"/>
    <w:rsid w:val="007E6E25"/>
    <w:rsid w:val="007E6EB6"/>
    <w:rsid w:val="007E6F64"/>
    <w:rsid w:val="007E71C1"/>
    <w:rsid w:val="007E7461"/>
    <w:rsid w:val="007E753F"/>
    <w:rsid w:val="007E7BFD"/>
    <w:rsid w:val="007E7DD5"/>
    <w:rsid w:val="007F01E8"/>
    <w:rsid w:val="007F0695"/>
    <w:rsid w:val="007F0AFD"/>
    <w:rsid w:val="007F1104"/>
    <w:rsid w:val="007F11A2"/>
    <w:rsid w:val="007F16BD"/>
    <w:rsid w:val="007F1BB9"/>
    <w:rsid w:val="007F20B8"/>
    <w:rsid w:val="007F2420"/>
    <w:rsid w:val="007F24F2"/>
    <w:rsid w:val="007F309F"/>
    <w:rsid w:val="007F33B1"/>
    <w:rsid w:val="007F3685"/>
    <w:rsid w:val="007F36E2"/>
    <w:rsid w:val="007F3989"/>
    <w:rsid w:val="007F4112"/>
    <w:rsid w:val="007F4354"/>
    <w:rsid w:val="007F487F"/>
    <w:rsid w:val="007F4CFE"/>
    <w:rsid w:val="007F569E"/>
    <w:rsid w:val="007F5EA6"/>
    <w:rsid w:val="007F6464"/>
    <w:rsid w:val="007F6697"/>
    <w:rsid w:val="007F68D6"/>
    <w:rsid w:val="007F6C4D"/>
    <w:rsid w:val="007F6E14"/>
    <w:rsid w:val="007F6F23"/>
    <w:rsid w:val="007F6F7F"/>
    <w:rsid w:val="007F701D"/>
    <w:rsid w:val="007F70A1"/>
    <w:rsid w:val="007F7244"/>
    <w:rsid w:val="007F74DE"/>
    <w:rsid w:val="007F75B1"/>
    <w:rsid w:val="008006E6"/>
    <w:rsid w:val="00800A57"/>
    <w:rsid w:val="00800EA2"/>
    <w:rsid w:val="00801432"/>
    <w:rsid w:val="008014C5"/>
    <w:rsid w:val="00801867"/>
    <w:rsid w:val="00801B73"/>
    <w:rsid w:val="00801EDF"/>
    <w:rsid w:val="00801F50"/>
    <w:rsid w:val="00802098"/>
    <w:rsid w:val="008025D7"/>
    <w:rsid w:val="00803A1A"/>
    <w:rsid w:val="00803AD6"/>
    <w:rsid w:val="00803F1F"/>
    <w:rsid w:val="00804019"/>
    <w:rsid w:val="008046F2"/>
    <w:rsid w:val="0080511D"/>
    <w:rsid w:val="00805153"/>
    <w:rsid w:val="008051A9"/>
    <w:rsid w:val="008052EF"/>
    <w:rsid w:val="0080545F"/>
    <w:rsid w:val="00805697"/>
    <w:rsid w:val="008057FC"/>
    <w:rsid w:val="00805A84"/>
    <w:rsid w:val="00805AF8"/>
    <w:rsid w:val="00805B86"/>
    <w:rsid w:val="008068FE"/>
    <w:rsid w:val="00806DA4"/>
    <w:rsid w:val="0080720E"/>
    <w:rsid w:val="008078F4"/>
    <w:rsid w:val="00810366"/>
    <w:rsid w:val="00810A07"/>
    <w:rsid w:val="00810E29"/>
    <w:rsid w:val="00810F1D"/>
    <w:rsid w:val="008112EA"/>
    <w:rsid w:val="008117BD"/>
    <w:rsid w:val="00811A31"/>
    <w:rsid w:val="00811F3F"/>
    <w:rsid w:val="008125B3"/>
    <w:rsid w:val="00812896"/>
    <w:rsid w:val="00812B54"/>
    <w:rsid w:val="00812C6D"/>
    <w:rsid w:val="00812DBB"/>
    <w:rsid w:val="00813492"/>
    <w:rsid w:val="008137E7"/>
    <w:rsid w:val="00813905"/>
    <w:rsid w:val="00814179"/>
    <w:rsid w:val="008147CF"/>
    <w:rsid w:val="00814859"/>
    <w:rsid w:val="00814B55"/>
    <w:rsid w:val="00814C00"/>
    <w:rsid w:val="00814C09"/>
    <w:rsid w:val="008152E9"/>
    <w:rsid w:val="0081556F"/>
    <w:rsid w:val="008163F1"/>
    <w:rsid w:val="00816519"/>
    <w:rsid w:val="00817026"/>
    <w:rsid w:val="00817362"/>
    <w:rsid w:val="00817B91"/>
    <w:rsid w:val="00817CFE"/>
    <w:rsid w:val="00817E1D"/>
    <w:rsid w:val="00820255"/>
    <w:rsid w:val="008203AC"/>
    <w:rsid w:val="00820483"/>
    <w:rsid w:val="008204F5"/>
    <w:rsid w:val="0082096B"/>
    <w:rsid w:val="00821196"/>
    <w:rsid w:val="008215B6"/>
    <w:rsid w:val="00821DDF"/>
    <w:rsid w:val="00822213"/>
    <w:rsid w:val="00822341"/>
    <w:rsid w:val="008224B4"/>
    <w:rsid w:val="008226E0"/>
    <w:rsid w:val="008229F6"/>
    <w:rsid w:val="00823147"/>
    <w:rsid w:val="008235CF"/>
    <w:rsid w:val="008237E6"/>
    <w:rsid w:val="0082390C"/>
    <w:rsid w:val="00823AA5"/>
    <w:rsid w:val="00823BD3"/>
    <w:rsid w:val="00823C98"/>
    <w:rsid w:val="00823D3B"/>
    <w:rsid w:val="00823E13"/>
    <w:rsid w:val="00824C56"/>
    <w:rsid w:val="00824D5A"/>
    <w:rsid w:val="00824DA9"/>
    <w:rsid w:val="00825483"/>
    <w:rsid w:val="008255A1"/>
    <w:rsid w:val="008255E9"/>
    <w:rsid w:val="008257F9"/>
    <w:rsid w:val="00825E92"/>
    <w:rsid w:val="00826182"/>
    <w:rsid w:val="00826796"/>
    <w:rsid w:val="00826BCE"/>
    <w:rsid w:val="00826C43"/>
    <w:rsid w:val="00826D9F"/>
    <w:rsid w:val="00826DB4"/>
    <w:rsid w:val="00826DBF"/>
    <w:rsid w:val="00827BC9"/>
    <w:rsid w:val="00827E02"/>
    <w:rsid w:val="008301F0"/>
    <w:rsid w:val="00830424"/>
    <w:rsid w:val="0083077E"/>
    <w:rsid w:val="00830A4D"/>
    <w:rsid w:val="00830B52"/>
    <w:rsid w:val="00830F7C"/>
    <w:rsid w:val="00831252"/>
    <w:rsid w:val="008316EA"/>
    <w:rsid w:val="00831755"/>
    <w:rsid w:val="008321E2"/>
    <w:rsid w:val="0083230B"/>
    <w:rsid w:val="008332B8"/>
    <w:rsid w:val="008333DB"/>
    <w:rsid w:val="0083340B"/>
    <w:rsid w:val="00833570"/>
    <w:rsid w:val="00833571"/>
    <w:rsid w:val="008336FD"/>
    <w:rsid w:val="008337D9"/>
    <w:rsid w:val="00833C18"/>
    <w:rsid w:val="00833E5D"/>
    <w:rsid w:val="00834292"/>
    <w:rsid w:val="00834611"/>
    <w:rsid w:val="00834972"/>
    <w:rsid w:val="00834994"/>
    <w:rsid w:val="008349C7"/>
    <w:rsid w:val="00834B6B"/>
    <w:rsid w:val="00834D8C"/>
    <w:rsid w:val="00834DF8"/>
    <w:rsid w:val="00834F5F"/>
    <w:rsid w:val="00834FA1"/>
    <w:rsid w:val="008352FB"/>
    <w:rsid w:val="008353D5"/>
    <w:rsid w:val="008355F1"/>
    <w:rsid w:val="008358FD"/>
    <w:rsid w:val="00835E06"/>
    <w:rsid w:val="00835E41"/>
    <w:rsid w:val="0083649E"/>
    <w:rsid w:val="00836626"/>
    <w:rsid w:val="0083682D"/>
    <w:rsid w:val="00836956"/>
    <w:rsid w:val="00836AFC"/>
    <w:rsid w:val="00836C4D"/>
    <w:rsid w:val="00836D2B"/>
    <w:rsid w:val="00836E11"/>
    <w:rsid w:val="0083701B"/>
    <w:rsid w:val="008377B9"/>
    <w:rsid w:val="00840087"/>
    <w:rsid w:val="00840267"/>
    <w:rsid w:val="00840FAB"/>
    <w:rsid w:val="008412FF"/>
    <w:rsid w:val="00842A35"/>
    <w:rsid w:val="00842BBD"/>
    <w:rsid w:val="00842E78"/>
    <w:rsid w:val="00842FC2"/>
    <w:rsid w:val="0084307A"/>
    <w:rsid w:val="00843187"/>
    <w:rsid w:val="008433A0"/>
    <w:rsid w:val="00843C26"/>
    <w:rsid w:val="008440C1"/>
    <w:rsid w:val="008440ED"/>
    <w:rsid w:val="008441C3"/>
    <w:rsid w:val="008445D4"/>
    <w:rsid w:val="00844916"/>
    <w:rsid w:val="00844AD6"/>
    <w:rsid w:val="00844E73"/>
    <w:rsid w:val="00844FE6"/>
    <w:rsid w:val="00845014"/>
    <w:rsid w:val="008452F8"/>
    <w:rsid w:val="00845C7C"/>
    <w:rsid w:val="008460FB"/>
    <w:rsid w:val="008464C5"/>
    <w:rsid w:val="00846C22"/>
    <w:rsid w:val="00846D61"/>
    <w:rsid w:val="008478E2"/>
    <w:rsid w:val="00847A70"/>
    <w:rsid w:val="00847B48"/>
    <w:rsid w:val="008508BE"/>
    <w:rsid w:val="00850D6F"/>
    <w:rsid w:val="00850F2D"/>
    <w:rsid w:val="008510CD"/>
    <w:rsid w:val="008514A0"/>
    <w:rsid w:val="0085185C"/>
    <w:rsid w:val="00851889"/>
    <w:rsid w:val="0085188D"/>
    <w:rsid w:val="00851D27"/>
    <w:rsid w:val="00851E34"/>
    <w:rsid w:val="0085202E"/>
    <w:rsid w:val="008528A6"/>
    <w:rsid w:val="00852A23"/>
    <w:rsid w:val="00852A98"/>
    <w:rsid w:val="00852B0A"/>
    <w:rsid w:val="00852B99"/>
    <w:rsid w:val="0085326E"/>
    <w:rsid w:val="0085371F"/>
    <w:rsid w:val="00853CA3"/>
    <w:rsid w:val="00853F0F"/>
    <w:rsid w:val="008543E8"/>
    <w:rsid w:val="008545B2"/>
    <w:rsid w:val="00854710"/>
    <w:rsid w:val="0085570F"/>
    <w:rsid w:val="00855787"/>
    <w:rsid w:val="00855E8F"/>
    <w:rsid w:val="00856B03"/>
    <w:rsid w:val="00856D9F"/>
    <w:rsid w:val="008570F1"/>
    <w:rsid w:val="00857B2A"/>
    <w:rsid w:val="00860522"/>
    <w:rsid w:val="0086054E"/>
    <w:rsid w:val="00860B53"/>
    <w:rsid w:val="008613B4"/>
    <w:rsid w:val="008616BD"/>
    <w:rsid w:val="008619F4"/>
    <w:rsid w:val="00861E51"/>
    <w:rsid w:val="0086215E"/>
    <w:rsid w:val="008624EA"/>
    <w:rsid w:val="008626DE"/>
    <w:rsid w:val="00862BB4"/>
    <w:rsid w:val="008631D9"/>
    <w:rsid w:val="00863745"/>
    <w:rsid w:val="00863855"/>
    <w:rsid w:val="00864007"/>
    <w:rsid w:val="0086437F"/>
    <w:rsid w:val="008643C8"/>
    <w:rsid w:val="00864507"/>
    <w:rsid w:val="00864653"/>
    <w:rsid w:val="00864830"/>
    <w:rsid w:val="008649D4"/>
    <w:rsid w:val="00864ADD"/>
    <w:rsid w:val="00864CE8"/>
    <w:rsid w:val="00865150"/>
    <w:rsid w:val="00865163"/>
    <w:rsid w:val="00865282"/>
    <w:rsid w:val="008654C3"/>
    <w:rsid w:val="008657A0"/>
    <w:rsid w:val="00865839"/>
    <w:rsid w:val="008659D3"/>
    <w:rsid w:val="008659F9"/>
    <w:rsid w:val="00866787"/>
    <w:rsid w:val="008669CC"/>
    <w:rsid w:val="00867598"/>
    <w:rsid w:val="00867828"/>
    <w:rsid w:val="0086791E"/>
    <w:rsid w:val="00867AB2"/>
    <w:rsid w:val="0087028E"/>
    <w:rsid w:val="00870467"/>
    <w:rsid w:val="00870541"/>
    <w:rsid w:val="008705A9"/>
    <w:rsid w:val="00870671"/>
    <w:rsid w:val="0087089E"/>
    <w:rsid w:val="00870AAA"/>
    <w:rsid w:val="00871263"/>
    <w:rsid w:val="00871B3E"/>
    <w:rsid w:val="00871E38"/>
    <w:rsid w:val="008723C6"/>
    <w:rsid w:val="0087242A"/>
    <w:rsid w:val="00872B8B"/>
    <w:rsid w:val="00872BBC"/>
    <w:rsid w:val="00872C5A"/>
    <w:rsid w:val="00873372"/>
    <w:rsid w:val="008740B7"/>
    <w:rsid w:val="008741E4"/>
    <w:rsid w:val="00874682"/>
    <w:rsid w:val="00874941"/>
    <w:rsid w:val="00874CC5"/>
    <w:rsid w:val="00874DE3"/>
    <w:rsid w:val="00874EC8"/>
    <w:rsid w:val="008753A3"/>
    <w:rsid w:val="0087543B"/>
    <w:rsid w:val="008761F3"/>
    <w:rsid w:val="008762A9"/>
    <w:rsid w:val="008767FB"/>
    <w:rsid w:val="00877B94"/>
    <w:rsid w:val="00877E06"/>
    <w:rsid w:val="00880BB1"/>
    <w:rsid w:val="00880BDE"/>
    <w:rsid w:val="00880C52"/>
    <w:rsid w:val="00880E4D"/>
    <w:rsid w:val="00881322"/>
    <w:rsid w:val="00881337"/>
    <w:rsid w:val="00881545"/>
    <w:rsid w:val="008816FE"/>
    <w:rsid w:val="00881C61"/>
    <w:rsid w:val="00881E89"/>
    <w:rsid w:val="00882018"/>
    <w:rsid w:val="00882076"/>
    <w:rsid w:val="0088220A"/>
    <w:rsid w:val="00882C7A"/>
    <w:rsid w:val="00882D01"/>
    <w:rsid w:val="00882F00"/>
    <w:rsid w:val="0088301D"/>
    <w:rsid w:val="0088329D"/>
    <w:rsid w:val="00883326"/>
    <w:rsid w:val="008837F4"/>
    <w:rsid w:val="008839C7"/>
    <w:rsid w:val="008839CF"/>
    <w:rsid w:val="00883B52"/>
    <w:rsid w:val="00883E0C"/>
    <w:rsid w:val="00884116"/>
    <w:rsid w:val="0088416C"/>
    <w:rsid w:val="00884E03"/>
    <w:rsid w:val="00884ECA"/>
    <w:rsid w:val="00885297"/>
    <w:rsid w:val="00885654"/>
    <w:rsid w:val="00885AA5"/>
    <w:rsid w:val="00885FB2"/>
    <w:rsid w:val="0088601B"/>
    <w:rsid w:val="008862CC"/>
    <w:rsid w:val="00886511"/>
    <w:rsid w:val="0088654C"/>
    <w:rsid w:val="00886623"/>
    <w:rsid w:val="00886AAF"/>
    <w:rsid w:val="008872EC"/>
    <w:rsid w:val="008873CF"/>
    <w:rsid w:val="00887A16"/>
    <w:rsid w:val="00887BF5"/>
    <w:rsid w:val="008903DC"/>
    <w:rsid w:val="0089043E"/>
    <w:rsid w:val="0089093C"/>
    <w:rsid w:val="008909B2"/>
    <w:rsid w:val="00890DA5"/>
    <w:rsid w:val="00890E04"/>
    <w:rsid w:val="00890E06"/>
    <w:rsid w:val="008913E7"/>
    <w:rsid w:val="00891BB6"/>
    <w:rsid w:val="00892367"/>
    <w:rsid w:val="0089242B"/>
    <w:rsid w:val="0089251E"/>
    <w:rsid w:val="008925A1"/>
    <w:rsid w:val="00892A2F"/>
    <w:rsid w:val="00893834"/>
    <w:rsid w:val="00893C61"/>
    <w:rsid w:val="0089403F"/>
    <w:rsid w:val="00894148"/>
    <w:rsid w:val="0089425D"/>
    <w:rsid w:val="00894696"/>
    <w:rsid w:val="0089492F"/>
    <w:rsid w:val="00894A4B"/>
    <w:rsid w:val="00894AA3"/>
    <w:rsid w:val="00894C46"/>
    <w:rsid w:val="008954BE"/>
    <w:rsid w:val="0089566F"/>
    <w:rsid w:val="00895949"/>
    <w:rsid w:val="00895A1A"/>
    <w:rsid w:val="00895B80"/>
    <w:rsid w:val="00895D63"/>
    <w:rsid w:val="00895E30"/>
    <w:rsid w:val="00896124"/>
    <w:rsid w:val="00896351"/>
    <w:rsid w:val="0089699C"/>
    <w:rsid w:val="00896CC3"/>
    <w:rsid w:val="00896CC7"/>
    <w:rsid w:val="00896E27"/>
    <w:rsid w:val="00896F9F"/>
    <w:rsid w:val="00897511"/>
    <w:rsid w:val="00897974"/>
    <w:rsid w:val="008A0723"/>
    <w:rsid w:val="008A0E2A"/>
    <w:rsid w:val="008A0FE5"/>
    <w:rsid w:val="008A157B"/>
    <w:rsid w:val="008A250A"/>
    <w:rsid w:val="008A255E"/>
    <w:rsid w:val="008A2886"/>
    <w:rsid w:val="008A2AF5"/>
    <w:rsid w:val="008A2C2D"/>
    <w:rsid w:val="008A37F6"/>
    <w:rsid w:val="008A3A03"/>
    <w:rsid w:val="008A3B02"/>
    <w:rsid w:val="008A3CB6"/>
    <w:rsid w:val="008A3D27"/>
    <w:rsid w:val="008A3F0C"/>
    <w:rsid w:val="008A4132"/>
    <w:rsid w:val="008A41DF"/>
    <w:rsid w:val="008A4561"/>
    <w:rsid w:val="008A4600"/>
    <w:rsid w:val="008A4BA2"/>
    <w:rsid w:val="008A4D6F"/>
    <w:rsid w:val="008A5694"/>
    <w:rsid w:val="008A56CE"/>
    <w:rsid w:val="008A5955"/>
    <w:rsid w:val="008A6644"/>
    <w:rsid w:val="008A6901"/>
    <w:rsid w:val="008A6E4A"/>
    <w:rsid w:val="008A727D"/>
    <w:rsid w:val="008A78F8"/>
    <w:rsid w:val="008A7F44"/>
    <w:rsid w:val="008B004C"/>
    <w:rsid w:val="008B00E5"/>
    <w:rsid w:val="008B01CA"/>
    <w:rsid w:val="008B0A97"/>
    <w:rsid w:val="008B0F87"/>
    <w:rsid w:val="008B1022"/>
    <w:rsid w:val="008B1FAD"/>
    <w:rsid w:val="008B20FC"/>
    <w:rsid w:val="008B2450"/>
    <w:rsid w:val="008B2901"/>
    <w:rsid w:val="008B2906"/>
    <w:rsid w:val="008B3222"/>
    <w:rsid w:val="008B4257"/>
    <w:rsid w:val="008B4833"/>
    <w:rsid w:val="008B4AE6"/>
    <w:rsid w:val="008B4B8C"/>
    <w:rsid w:val="008B5594"/>
    <w:rsid w:val="008B56F3"/>
    <w:rsid w:val="008B5854"/>
    <w:rsid w:val="008B5C24"/>
    <w:rsid w:val="008B5D4D"/>
    <w:rsid w:val="008B60B8"/>
    <w:rsid w:val="008B6697"/>
    <w:rsid w:val="008B6E58"/>
    <w:rsid w:val="008B6F71"/>
    <w:rsid w:val="008B7402"/>
    <w:rsid w:val="008B7CDE"/>
    <w:rsid w:val="008B7E46"/>
    <w:rsid w:val="008C026B"/>
    <w:rsid w:val="008C02F9"/>
    <w:rsid w:val="008C074A"/>
    <w:rsid w:val="008C0A56"/>
    <w:rsid w:val="008C0E1F"/>
    <w:rsid w:val="008C0E9F"/>
    <w:rsid w:val="008C1230"/>
    <w:rsid w:val="008C17A6"/>
    <w:rsid w:val="008C1D3E"/>
    <w:rsid w:val="008C2415"/>
    <w:rsid w:val="008C29C4"/>
    <w:rsid w:val="008C33DA"/>
    <w:rsid w:val="008C36A0"/>
    <w:rsid w:val="008C387F"/>
    <w:rsid w:val="008C3E6A"/>
    <w:rsid w:val="008C4AFE"/>
    <w:rsid w:val="008C5269"/>
    <w:rsid w:val="008C557E"/>
    <w:rsid w:val="008C603F"/>
    <w:rsid w:val="008C614C"/>
    <w:rsid w:val="008C627F"/>
    <w:rsid w:val="008C66D8"/>
    <w:rsid w:val="008C6E81"/>
    <w:rsid w:val="008C735F"/>
    <w:rsid w:val="008C754D"/>
    <w:rsid w:val="008D0213"/>
    <w:rsid w:val="008D096E"/>
    <w:rsid w:val="008D0C66"/>
    <w:rsid w:val="008D15E8"/>
    <w:rsid w:val="008D182A"/>
    <w:rsid w:val="008D19C0"/>
    <w:rsid w:val="008D1D2E"/>
    <w:rsid w:val="008D1E2D"/>
    <w:rsid w:val="008D1FF3"/>
    <w:rsid w:val="008D202C"/>
    <w:rsid w:val="008D2070"/>
    <w:rsid w:val="008D261A"/>
    <w:rsid w:val="008D2833"/>
    <w:rsid w:val="008D288C"/>
    <w:rsid w:val="008D2D6B"/>
    <w:rsid w:val="008D31A3"/>
    <w:rsid w:val="008D324F"/>
    <w:rsid w:val="008D36D8"/>
    <w:rsid w:val="008D38C0"/>
    <w:rsid w:val="008D3C15"/>
    <w:rsid w:val="008D3C7C"/>
    <w:rsid w:val="008D3D97"/>
    <w:rsid w:val="008D40F7"/>
    <w:rsid w:val="008D4959"/>
    <w:rsid w:val="008D4E0D"/>
    <w:rsid w:val="008D52FC"/>
    <w:rsid w:val="008D538D"/>
    <w:rsid w:val="008D5611"/>
    <w:rsid w:val="008D5642"/>
    <w:rsid w:val="008D5E26"/>
    <w:rsid w:val="008D5E29"/>
    <w:rsid w:val="008D6093"/>
    <w:rsid w:val="008D656C"/>
    <w:rsid w:val="008D65FB"/>
    <w:rsid w:val="008D6612"/>
    <w:rsid w:val="008D6650"/>
    <w:rsid w:val="008D7C7E"/>
    <w:rsid w:val="008D7CC1"/>
    <w:rsid w:val="008E0112"/>
    <w:rsid w:val="008E03C6"/>
    <w:rsid w:val="008E05EC"/>
    <w:rsid w:val="008E06D7"/>
    <w:rsid w:val="008E0896"/>
    <w:rsid w:val="008E08F9"/>
    <w:rsid w:val="008E0A8C"/>
    <w:rsid w:val="008E0AD8"/>
    <w:rsid w:val="008E0C0A"/>
    <w:rsid w:val="008E0E8F"/>
    <w:rsid w:val="008E1045"/>
    <w:rsid w:val="008E13FF"/>
    <w:rsid w:val="008E144D"/>
    <w:rsid w:val="008E1988"/>
    <w:rsid w:val="008E1E47"/>
    <w:rsid w:val="008E1F7C"/>
    <w:rsid w:val="008E2033"/>
    <w:rsid w:val="008E24DE"/>
    <w:rsid w:val="008E28DF"/>
    <w:rsid w:val="008E2EB0"/>
    <w:rsid w:val="008E2EF5"/>
    <w:rsid w:val="008E2F23"/>
    <w:rsid w:val="008E325D"/>
    <w:rsid w:val="008E35C8"/>
    <w:rsid w:val="008E3882"/>
    <w:rsid w:val="008E3A12"/>
    <w:rsid w:val="008E3DE1"/>
    <w:rsid w:val="008E413C"/>
    <w:rsid w:val="008E43E1"/>
    <w:rsid w:val="008E465B"/>
    <w:rsid w:val="008E479C"/>
    <w:rsid w:val="008E49B5"/>
    <w:rsid w:val="008E4D07"/>
    <w:rsid w:val="008E4D2E"/>
    <w:rsid w:val="008E4DE1"/>
    <w:rsid w:val="008E5120"/>
    <w:rsid w:val="008E5C5C"/>
    <w:rsid w:val="008E5F49"/>
    <w:rsid w:val="008E63B0"/>
    <w:rsid w:val="008E6420"/>
    <w:rsid w:val="008E643E"/>
    <w:rsid w:val="008E6723"/>
    <w:rsid w:val="008E6909"/>
    <w:rsid w:val="008E6D78"/>
    <w:rsid w:val="008E703C"/>
    <w:rsid w:val="008E742A"/>
    <w:rsid w:val="008E7577"/>
    <w:rsid w:val="008E776C"/>
    <w:rsid w:val="008E7ABD"/>
    <w:rsid w:val="008E7B87"/>
    <w:rsid w:val="008E7DDB"/>
    <w:rsid w:val="008F0399"/>
    <w:rsid w:val="008F03BC"/>
    <w:rsid w:val="008F03D0"/>
    <w:rsid w:val="008F0781"/>
    <w:rsid w:val="008F114E"/>
    <w:rsid w:val="008F13D9"/>
    <w:rsid w:val="008F151B"/>
    <w:rsid w:val="008F1812"/>
    <w:rsid w:val="008F1A6A"/>
    <w:rsid w:val="008F1C9B"/>
    <w:rsid w:val="008F1D25"/>
    <w:rsid w:val="008F1DC8"/>
    <w:rsid w:val="008F2202"/>
    <w:rsid w:val="008F2563"/>
    <w:rsid w:val="008F2693"/>
    <w:rsid w:val="008F26A1"/>
    <w:rsid w:val="008F3122"/>
    <w:rsid w:val="008F3226"/>
    <w:rsid w:val="008F3476"/>
    <w:rsid w:val="008F3606"/>
    <w:rsid w:val="008F3E86"/>
    <w:rsid w:val="008F3F04"/>
    <w:rsid w:val="008F40A6"/>
    <w:rsid w:val="008F436E"/>
    <w:rsid w:val="008F43BA"/>
    <w:rsid w:val="008F450D"/>
    <w:rsid w:val="008F4682"/>
    <w:rsid w:val="008F492F"/>
    <w:rsid w:val="008F4F1E"/>
    <w:rsid w:val="008F593C"/>
    <w:rsid w:val="008F59BD"/>
    <w:rsid w:val="008F5C16"/>
    <w:rsid w:val="008F662E"/>
    <w:rsid w:val="008F689C"/>
    <w:rsid w:val="008F68DD"/>
    <w:rsid w:val="008F6B9E"/>
    <w:rsid w:val="008F6CFD"/>
    <w:rsid w:val="008F6FC9"/>
    <w:rsid w:val="008F78C7"/>
    <w:rsid w:val="008F79DA"/>
    <w:rsid w:val="00900778"/>
    <w:rsid w:val="00900986"/>
    <w:rsid w:val="00900A77"/>
    <w:rsid w:val="00901555"/>
    <w:rsid w:val="009018FB"/>
    <w:rsid w:val="00901A12"/>
    <w:rsid w:val="00901CE9"/>
    <w:rsid w:val="0090210F"/>
    <w:rsid w:val="00902CEA"/>
    <w:rsid w:val="009033AC"/>
    <w:rsid w:val="0090367A"/>
    <w:rsid w:val="00903A0E"/>
    <w:rsid w:val="00903CB6"/>
    <w:rsid w:val="00903F95"/>
    <w:rsid w:val="009040C0"/>
    <w:rsid w:val="009040D6"/>
    <w:rsid w:val="0090411F"/>
    <w:rsid w:val="00904992"/>
    <w:rsid w:val="00904B01"/>
    <w:rsid w:val="00904D3E"/>
    <w:rsid w:val="0090515E"/>
    <w:rsid w:val="00905496"/>
    <w:rsid w:val="00905561"/>
    <w:rsid w:val="0090557A"/>
    <w:rsid w:val="009068A8"/>
    <w:rsid w:val="00906921"/>
    <w:rsid w:val="009072D4"/>
    <w:rsid w:val="00907C99"/>
    <w:rsid w:val="00907D49"/>
    <w:rsid w:val="009104E8"/>
    <w:rsid w:val="0091077B"/>
    <w:rsid w:val="00910B71"/>
    <w:rsid w:val="00910C92"/>
    <w:rsid w:val="00910F79"/>
    <w:rsid w:val="00911055"/>
    <w:rsid w:val="009117BA"/>
    <w:rsid w:val="0091190B"/>
    <w:rsid w:val="00911975"/>
    <w:rsid w:val="00911A14"/>
    <w:rsid w:val="00911A74"/>
    <w:rsid w:val="00911B87"/>
    <w:rsid w:val="0091219C"/>
    <w:rsid w:val="009122DF"/>
    <w:rsid w:val="00912B39"/>
    <w:rsid w:val="00912C98"/>
    <w:rsid w:val="00912FF3"/>
    <w:rsid w:val="00913493"/>
    <w:rsid w:val="009134EF"/>
    <w:rsid w:val="00913705"/>
    <w:rsid w:val="009138AC"/>
    <w:rsid w:val="00913DE0"/>
    <w:rsid w:val="00914255"/>
    <w:rsid w:val="00914576"/>
    <w:rsid w:val="009147EA"/>
    <w:rsid w:val="00914B1E"/>
    <w:rsid w:val="00915044"/>
    <w:rsid w:val="0091552E"/>
    <w:rsid w:val="009158B8"/>
    <w:rsid w:val="00915BD0"/>
    <w:rsid w:val="00915BF1"/>
    <w:rsid w:val="00916163"/>
    <w:rsid w:val="00916171"/>
    <w:rsid w:val="00916ACC"/>
    <w:rsid w:val="00916B86"/>
    <w:rsid w:val="00916F91"/>
    <w:rsid w:val="009172E4"/>
    <w:rsid w:val="009176A8"/>
    <w:rsid w:val="009179FB"/>
    <w:rsid w:val="00917BA3"/>
    <w:rsid w:val="00920472"/>
    <w:rsid w:val="00920AE8"/>
    <w:rsid w:val="00920DDE"/>
    <w:rsid w:val="00921011"/>
    <w:rsid w:val="0092133B"/>
    <w:rsid w:val="009218F7"/>
    <w:rsid w:val="00921C10"/>
    <w:rsid w:val="00922063"/>
    <w:rsid w:val="00922D59"/>
    <w:rsid w:val="00922F19"/>
    <w:rsid w:val="0092306A"/>
    <w:rsid w:val="00923D97"/>
    <w:rsid w:val="0092421F"/>
    <w:rsid w:val="009247CE"/>
    <w:rsid w:val="00925070"/>
    <w:rsid w:val="0092581A"/>
    <w:rsid w:val="009258A0"/>
    <w:rsid w:val="00925C43"/>
    <w:rsid w:val="00925E4E"/>
    <w:rsid w:val="00926E45"/>
    <w:rsid w:val="00927794"/>
    <w:rsid w:val="00927A6A"/>
    <w:rsid w:val="00930097"/>
    <w:rsid w:val="009305E9"/>
    <w:rsid w:val="00930620"/>
    <w:rsid w:val="0093094B"/>
    <w:rsid w:val="009309D8"/>
    <w:rsid w:val="00930ADC"/>
    <w:rsid w:val="00930B0D"/>
    <w:rsid w:val="00931338"/>
    <w:rsid w:val="009318B1"/>
    <w:rsid w:val="00931924"/>
    <w:rsid w:val="00931AF6"/>
    <w:rsid w:val="009326E1"/>
    <w:rsid w:val="00932A0B"/>
    <w:rsid w:val="00932F71"/>
    <w:rsid w:val="0093302C"/>
    <w:rsid w:val="0093316A"/>
    <w:rsid w:val="009331D2"/>
    <w:rsid w:val="00933715"/>
    <w:rsid w:val="00933826"/>
    <w:rsid w:val="00933D7A"/>
    <w:rsid w:val="0093421E"/>
    <w:rsid w:val="009342FC"/>
    <w:rsid w:val="00934BF5"/>
    <w:rsid w:val="00935728"/>
    <w:rsid w:val="00936EB8"/>
    <w:rsid w:val="00937980"/>
    <w:rsid w:val="00940272"/>
    <w:rsid w:val="00940984"/>
    <w:rsid w:val="009409B6"/>
    <w:rsid w:val="00940F5A"/>
    <w:rsid w:val="00941849"/>
    <w:rsid w:val="0094190A"/>
    <w:rsid w:val="00941B79"/>
    <w:rsid w:val="00941CC0"/>
    <w:rsid w:val="00941E73"/>
    <w:rsid w:val="00942006"/>
    <w:rsid w:val="009421F2"/>
    <w:rsid w:val="009423B0"/>
    <w:rsid w:val="00942584"/>
    <w:rsid w:val="0094275A"/>
    <w:rsid w:val="00942D6A"/>
    <w:rsid w:val="00942E9C"/>
    <w:rsid w:val="009438CD"/>
    <w:rsid w:val="00943CD9"/>
    <w:rsid w:val="009443AE"/>
    <w:rsid w:val="009447AB"/>
    <w:rsid w:val="00944842"/>
    <w:rsid w:val="009449BE"/>
    <w:rsid w:val="00944F7A"/>
    <w:rsid w:val="009450C7"/>
    <w:rsid w:val="009455FF"/>
    <w:rsid w:val="00945631"/>
    <w:rsid w:val="00945F02"/>
    <w:rsid w:val="0094625B"/>
    <w:rsid w:val="00946B2A"/>
    <w:rsid w:val="00946C79"/>
    <w:rsid w:val="00946CD3"/>
    <w:rsid w:val="00946E06"/>
    <w:rsid w:val="009473C1"/>
    <w:rsid w:val="009475E4"/>
    <w:rsid w:val="00947702"/>
    <w:rsid w:val="0094796E"/>
    <w:rsid w:val="00947C4D"/>
    <w:rsid w:val="00947F83"/>
    <w:rsid w:val="0095030B"/>
    <w:rsid w:val="00950857"/>
    <w:rsid w:val="00950BE2"/>
    <w:rsid w:val="00950F03"/>
    <w:rsid w:val="009510CA"/>
    <w:rsid w:val="00951187"/>
    <w:rsid w:val="0095118A"/>
    <w:rsid w:val="009511BE"/>
    <w:rsid w:val="009518D0"/>
    <w:rsid w:val="00951D27"/>
    <w:rsid w:val="00951D5C"/>
    <w:rsid w:val="00952167"/>
    <w:rsid w:val="00952441"/>
    <w:rsid w:val="00952513"/>
    <w:rsid w:val="009527F5"/>
    <w:rsid w:val="009536DA"/>
    <w:rsid w:val="009537FD"/>
    <w:rsid w:val="00953B85"/>
    <w:rsid w:val="00953E7D"/>
    <w:rsid w:val="009540EF"/>
    <w:rsid w:val="0095475D"/>
    <w:rsid w:val="0095569B"/>
    <w:rsid w:val="0095580A"/>
    <w:rsid w:val="00955951"/>
    <w:rsid w:val="00955F16"/>
    <w:rsid w:val="0095676A"/>
    <w:rsid w:val="00956C6B"/>
    <w:rsid w:val="00956ED5"/>
    <w:rsid w:val="009571D4"/>
    <w:rsid w:val="0095723A"/>
    <w:rsid w:val="00957332"/>
    <w:rsid w:val="00957E55"/>
    <w:rsid w:val="0096022F"/>
    <w:rsid w:val="009605DF"/>
    <w:rsid w:val="009608FF"/>
    <w:rsid w:val="00960A00"/>
    <w:rsid w:val="00960C92"/>
    <w:rsid w:val="00960DC4"/>
    <w:rsid w:val="0096162C"/>
    <w:rsid w:val="00961AA5"/>
    <w:rsid w:val="00961C74"/>
    <w:rsid w:val="0096362C"/>
    <w:rsid w:val="0096367B"/>
    <w:rsid w:val="00963864"/>
    <w:rsid w:val="009641DB"/>
    <w:rsid w:val="00964D35"/>
    <w:rsid w:val="00964E29"/>
    <w:rsid w:val="00964EC3"/>
    <w:rsid w:val="009652EF"/>
    <w:rsid w:val="00965395"/>
    <w:rsid w:val="009654F0"/>
    <w:rsid w:val="0096558D"/>
    <w:rsid w:val="009658DD"/>
    <w:rsid w:val="00965B24"/>
    <w:rsid w:val="00966041"/>
    <w:rsid w:val="009661D8"/>
    <w:rsid w:val="0096693E"/>
    <w:rsid w:val="00966E1F"/>
    <w:rsid w:val="009673A2"/>
    <w:rsid w:val="009674ED"/>
    <w:rsid w:val="009676F0"/>
    <w:rsid w:val="009677A3"/>
    <w:rsid w:val="00967942"/>
    <w:rsid w:val="00967E50"/>
    <w:rsid w:val="00967FB9"/>
    <w:rsid w:val="00970166"/>
    <w:rsid w:val="009701A8"/>
    <w:rsid w:val="0097093C"/>
    <w:rsid w:val="00970FE5"/>
    <w:rsid w:val="00971190"/>
    <w:rsid w:val="00971832"/>
    <w:rsid w:val="00971DCC"/>
    <w:rsid w:val="00971E59"/>
    <w:rsid w:val="009727FA"/>
    <w:rsid w:val="00972B5B"/>
    <w:rsid w:val="00973136"/>
    <w:rsid w:val="00973C98"/>
    <w:rsid w:val="00973F8A"/>
    <w:rsid w:val="00974168"/>
    <w:rsid w:val="00974304"/>
    <w:rsid w:val="00974375"/>
    <w:rsid w:val="00974385"/>
    <w:rsid w:val="0097517B"/>
    <w:rsid w:val="009751B0"/>
    <w:rsid w:val="009754C8"/>
    <w:rsid w:val="00975748"/>
    <w:rsid w:val="00975917"/>
    <w:rsid w:val="00975DFD"/>
    <w:rsid w:val="009762A0"/>
    <w:rsid w:val="009763FC"/>
    <w:rsid w:val="00977404"/>
    <w:rsid w:val="00977768"/>
    <w:rsid w:val="009802E4"/>
    <w:rsid w:val="00980554"/>
    <w:rsid w:val="009805CA"/>
    <w:rsid w:val="00980C41"/>
    <w:rsid w:val="00980C8B"/>
    <w:rsid w:val="00980CFF"/>
    <w:rsid w:val="00980E5A"/>
    <w:rsid w:val="00981287"/>
    <w:rsid w:val="0098145B"/>
    <w:rsid w:val="0098150B"/>
    <w:rsid w:val="00981AC8"/>
    <w:rsid w:val="00981E20"/>
    <w:rsid w:val="00981E4E"/>
    <w:rsid w:val="00981E8A"/>
    <w:rsid w:val="00981FEA"/>
    <w:rsid w:val="009820CC"/>
    <w:rsid w:val="00982A21"/>
    <w:rsid w:val="00982CCE"/>
    <w:rsid w:val="00982E82"/>
    <w:rsid w:val="00983239"/>
    <w:rsid w:val="00983397"/>
    <w:rsid w:val="00983698"/>
    <w:rsid w:val="009838D9"/>
    <w:rsid w:val="00983A6B"/>
    <w:rsid w:val="00983AE8"/>
    <w:rsid w:val="00983BC1"/>
    <w:rsid w:val="00983C87"/>
    <w:rsid w:val="0098407E"/>
    <w:rsid w:val="009841EE"/>
    <w:rsid w:val="00984F90"/>
    <w:rsid w:val="00985358"/>
    <w:rsid w:val="0098572E"/>
    <w:rsid w:val="0098573F"/>
    <w:rsid w:val="009859FB"/>
    <w:rsid w:val="00985B7A"/>
    <w:rsid w:val="00986110"/>
    <w:rsid w:val="00986573"/>
    <w:rsid w:val="00986D80"/>
    <w:rsid w:val="00986ECE"/>
    <w:rsid w:val="0098719F"/>
    <w:rsid w:val="009875D4"/>
    <w:rsid w:val="00987EAA"/>
    <w:rsid w:val="00990033"/>
    <w:rsid w:val="00990473"/>
    <w:rsid w:val="00990720"/>
    <w:rsid w:val="00990D0D"/>
    <w:rsid w:val="00990EAE"/>
    <w:rsid w:val="00990FCB"/>
    <w:rsid w:val="00991097"/>
    <w:rsid w:val="00991B11"/>
    <w:rsid w:val="00992150"/>
    <w:rsid w:val="00992249"/>
    <w:rsid w:val="00992316"/>
    <w:rsid w:val="0099234D"/>
    <w:rsid w:val="009925DD"/>
    <w:rsid w:val="00992955"/>
    <w:rsid w:val="00992AD1"/>
    <w:rsid w:val="00992C6F"/>
    <w:rsid w:val="00992F3D"/>
    <w:rsid w:val="00993012"/>
    <w:rsid w:val="009934C0"/>
    <w:rsid w:val="0099356E"/>
    <w:rsid w:val="00993856"/>
    <w:rsid w:val="00993893"/>
    <w:rsid w:val="00993E41"/>
    <w:rsid w:val="00993E52"/>
    <w:rsid w:val="00993F78"/>
    <w:rsid w:val="0099423A"/>
    <w:rsid w:val="009945EB"/>
    <w:rsid w:val="009947D5"/>
    <w:rsid w:val="00994BA9"/>
    <w:rsid w:val="009950B8"/>
    <w:rsid w:val="0099588D"/>
    <w:rsid w:val="00995D1A"/>
    <w:rsid w:val="0099622E"/>
    <w:rsid w:val="0099638A"/>
    <w:rsid w:val="009965DC"/>
    <w:rsid w:val="00996761"/>
    <w:rsid w:val="00996A0F"/>
    <w:rsid w:val="00996C78"/>
    <w:rsid w:val="0099739D"/>
    <w:rsid w:val="009979EB"/>
    <w:rsid w:val="009A0839"/>
    <w:rsid w:val="009A0D26"/>
    <w:rsid w:val="009A1362"/>
    <w:rsid w:val="009A147B"/>
    <w:rsid w:val="009A16E7"/>
    <w:rsid w:val="009A195B"/>
    <w:rsid w:val="009A1ED4"/>
    <w:rsid w:val="009A2044"/>
    <w:rsid w:val="009A238E"/>
    <w:rsid w:val="009A269A"/>
    <w:rsid w:val="009A2B7A"/>
    <w:rsid w:val="009A2E7F"/>
    <w:rsid w:val="009A3612"/>
    <w:rsid w:val="009A3BA8"/>
    <w:rsid w:val="009A3D05"/>
    <w:rsid w:val="009A3D82"/>
    <w:rsid w:val="009A3EE5"/>
    <w:rsid w:val="009A4454"/>
    <w:rsid w:val="009A48B0"/>
    <w:rsid w:val="009A4A63"/>
    <w:rsid w:val="009A506E"/>
    <w:rsid w:val="009A50E3"/>
    <w:rsid w:val="009A6220"/>
    <w:rsid w:val="009A6D6B"/>
    <w:rsid w:val="009A721E"/>
    <w:rsid w:val="009A7350"/>
    <w:rsid w:val="009A7998"/>
    <w:rsid w:val="009A7A5D"/>
    <w:rsid w:val="009A7DF2"/>
    <w:rsid w:val="009A7F7D"/>
    <w:rsid w:val="009B0E82"/>
    <w:rsid w:val="009B10EE"/>
    <w:rsid w:val="009B1170"/>
    <w:rsid w:val="009B13E6"/>
    <w:rsid w:val="009B1A3A"/>
    <w:rsid w:val="009B1F39"/>
    <w:rsid w:val="009B2679"/>
    <w:rsid w:val="009B27B4"/>
    <w:rsid w:val="009B2962"/>
    <w:rsid w:val="009B2A09"/>
    <w:rsid w:val="009B3145"/>
    <w:rsid w:val="009B3518"/>
    <w:rsid w:val="009B37CF"/>
    <w:rsid w:val="009B3E3A"/>
    <w:rsid w:val="009B435E"/>
    <w:rsid w:val="009B444F"/>
    <w:rsid w:val="009B47DD"/>
    <w:rsid w:val="009B4E2E"/>
    <w:rsid w:val="009B5127"/>
    <w:rsid w:val="009B57F5"/>
    <w:rsid w:val="009B5AD8"/>
    <w:rsid w:val="009B5D47"/>
    <w:rsid w:val="009B6280"/>
    <w:rsid w:val="009B64C2"/>
    <w:rsid w:val="009B6A74"/>
    <w:rsid w:val="009B6B30"/>
    <w:rsid w:val="009B6E59"/>
    <w:rsid w:val="009B6E72"/>
    <w:rsid w:val="009B77C2"/>
    <w:rsid w:val="009B7984"/>
    <w:rsid w:val="009B7D68"/>
    <w:rsid w:val="009B7F84"/>
    <w:rsid w:val="009C003B"/>
    <w:rsid w:val="009C0A75"/>
    <w:rsid w:val="009C0B88"/>
    <w:rsid w:val="009C0BBF"/>
    <w:rsid w:val="009C0DC4"/>
    <w:rsid w:val="009C0E6A"/>
    <w:rsid w:val="009C1338"/>
    <w:rsid w:val="009C196A"/>
    <w:rsid w:val="009C2159"/>
    <w:rsid w:val="009C2A95"/>
    <w:rsid w:val="009C2CB4"/>
    <w:rsid w:val="009C2E0A"/>
    <w:rsid w:val="009C32BA"/>
    <w:rsid w:val="009C3447"/>
    <w:rsid w:val="009C3C8D"/>
    <w:rsid w:val="009C4257"/>
    <w:rsid w:val="009C439B"/>
    <w:rsid w:val="009C44E7"/>
    <w:rsid w:val="009C4872"/>
    <w:rsid w:val="009C496F"/>
    <w:rsid w:val="009C4AA1"/>
    <w:rsid w:val="009C4D45"/>
    <w:rsid w:val="009C4FD2"/>
    <w:rsid w:val="009C503E"/>
    <w:rsid w:val="009C57F7"/>
    <w:rsid w:val="009C5A71"/>
    <w:rsid w:val="009C5F91"/>
    <w:rsid w:val="009C6A51"/>
    <w:rsid w:val="009C6AB4"/>
    <w:rsid w:val="009C71F5"/>
    <w:rsid w:val="009C77F2"/>
    <w:rsid w:val="009C7C78"/>
    <w:rsid w:val="009D0B76"/>
    <w:rsid w:val="009D0E2A"/>
    <w:rsid w:val="009D10C8"/>
    <w:rsid w:val="009D10EA"/>
    <w:rsid w:val="009D135D"/>
    <w:rsid w:val="009D1AFD"/>
    <w:rsid w:val="009D24D8"/>
    <w:rsid w:val="009D252B"/>
    <w:rsid w:val="009D2968"/>
    <w:rsid w:val="009D2B1C"/>
    <w:rsid w:val="009D3A19"/>
    <w:rsid w:val="009D3E14"/>
    <w:rsid w:val="009D42D2"/>
    <w:rsid w:val="009D4380"/>
    <w:rsid w:val="009D44F9"/>
    <w:rsid w:val="009D4B31"/>
    <w:rsid w:val="009D4BD3"/>
    <w:rsid w:val="009D4C1E"/>
    <w:rsid w:val="009D4C89"/>
    <w:rsid w:val="009D4FE9"/>
    <w:rsid w:val="009D50DE"/>
    <w:rsid w:val="009D5B06"/>
    <w:rsid w:val="009D681E"/>
    <w:rsid w:val="009D6B03"/>
    <w:rsid w:val="009D70FC"/>
    <w:rsid w:val="009D7202"/>
    <w:rsid w:val="009D76BA"/>
    <w:rsid w:val="009D784A"/>
    <w:rsid w:val="009D7C83"/>
    <w:rsid w:val="009D7F5E"/>
    <w:rsid w:val="009E0156"/>
    <w:rsid w:val="009E0353"/>
    <w:rsid w:val="009E0401"/>
    <w:rsid w:val="009E0486"/>
    <w:rsid w:val="009E059D"/>
    <w:rsid w:val="009E1648"/>
    <w:rsid w:val="009E18C6"/>
    <w:rsid w:val="009E1A2A"/>
    <w:rsid w:val="009E25E8"/>
    <w:rsid w:val="009E294F"/>
    <w:rsid w:val="009E2A6B"/>
    <w:rsid w:val="009E2FEF"/>
    <w:rsid w:val="009E3002"/>
    <w:rsid w:val="009E33AA"/>
    <w:rsid w:val="009E38E2"/>
    <w:rsid w:val="009E3E9B"/>
    <w:rsid w:val="009E3ED3"/>
    <w:rsid w:val="009E4007"/>
    <w:rsid w:val="009E4121"/>
    <w:rsid w:val="009E418E"/>
    <w:rsid w:val="009E451B"/>
    <w:rsid w:val="009E4654"/>
    <w:rsid w:val="009E47AE"/>
    <w:rsid w:val="009E47D7"/>
    <w:rsid w:val="009E4B41"/>
    <w:rsid w:val="009E4DF7"/>
    <w:rsid w:val="009E50B2"/>
    <w:rsid w:val="009E54AB"/>
    <w:rsid w:val="009E554C"/>
    <w:rsid w:val="009E565F"/>
    <w:rsid w:val="009E58AD"/>
    <w:rsid w:val="009E59F1"/>
    <w:rsid w:val="009E5D0E"/>
    <w:rsid w:val="009E61DA"/>
    <w:rsid w:val="009E62A5"/>
    <w:rsid w:val="009E64F8"/>
    <w:rsid w:val="009E67AF"/>
    <w:rsid w:val="009E690D"/>
    <w:rsid w:val="009E69E0"/>
    <w:rsid w:val="009E6BDA"/>
    <w:rsid w:val="009E6F1E"/>
    <w:rsid w:val="009E7207"/>
    <w:rsid w:val="009E784C"/>
    <w:rsid w:val="009E7A9C"/>
    <w:rsid w:val="009E7B15"/>
    <w:rsid w:val="009E7C95"/>
    <w:rsid w:val="009E7CBD"/>
    <w:rsid w:val="009F0A7E"/>
    <w:rsid w:val="009F0C17"/>
    <w:rsid w:val="009F0C52"/>
    <w:rsid w:val="009F0FC7"/>
    <w:rsid w:val="009F1862"/>
    <w:rsid w:val="009F19C5"/>
    <w:rsid w:val="009F1BEB"/>
    <w:rsid w:val="009F22AF"/>
    <w:rsid w:val="009F2494"/>
    <w:rsid w:val="009F25A4"/>
    <w:rsid w:val="009F2DE8"/>
    <w:rsid w:val="009F3934"/>
    <w:rsid w:val="009F3A2E"/>
    <w:rsid w:val="009F3C8E"/>
    <w:rsid w:val="009F3E53"/>
    <w:rsid w:val="009F44E0"/>
    <w:rsid w:val="009F4537"/>
    <w:rsid w:val="009F470A"/>
    <w:rsid w:val="009F48C3"/>
    <w:rsid w:val="009F48CE"/>
    <w:rsid w:val="009F4980"/>
    <w:rsid w:val="009F4A23"/>
    <w:rsid w:val="009F4BF6"/>
    <w:rsid w:val="009F4C75"/>
    <w:rsid w:val="009F4DBC"/>
    <w:rsid w:val="009F56C4"/>
    <w:rsid w:val="009F5ABA"/>
    <w:rsid w:val="009F5B31"/>
    <w:rsid w:val="009F5B6E"/>
    <w:rsid w:val="009F68F4"/>
    <w:rsid w:val="009F6D96"/>
    <w:rsid w:val="009F75DF"/>
    <w:rsid w:val="009F762E"/>
    <w:rsid w:val="009F76DF"/>
    <w:rsid w:val="009F7856"/>
    <w:rsid w:val="009F7D50"/>
    <w:rsid w:val="009F7E1E"/>
    <w:rsid w:val="00A005DC"/>
    <w:rsid w:val="00A005E0"/>
    <w:rsid w:val="00A00772"/>
    <w:rsid w:val="00A00A0A"/>
    <w:rsid w:val="00A00DD4"/>
    <w:rsid w:val="00A0125F"/>
    <w:rsid w:val="00A013D4"/>
    <w:rsid w:val="00A01490"/>
    <w:rsid w:val="00A015DF"/>
    <w:rsid w:val="00A01A63"/>
    <w:rsid w:val="00A01D4A"/>
    <w:rsid w:val="00A01D72"/>
    <w:rsid w:val="00A01D80"/>
    <w:rsid w:val="00A01E62"/>
    <w:rsid w:val="00A02172"/>
    <w:rsid w:val="00A021F0"/>
    <w:rsid w:val="00A029A8"/>
    <w:rsid w:val="00A04092"/>
    <w:rsid w:val="00A040C1"/>
    <w:rsid w:val="00A043C1"/>
    <w:rsid w:val="00A04CDD"/>
    <w:rsid w:val="00A05C65"/>
    <w:rsid w:val="00A0603C"/>
    <w:rsid w:val="00A06AE1"/>
    <w:rsid w:val="00A06D46"/>
    <w:rsid w:val="00A071F9"/>
    <w:rsid w:val="00A07480"/>
    <w:rsid w:val="00A0749A"/>
    <w:rsid w:val="00A074A5"/>
    <w:rsid w:val="00A07703"/>
    <w:rsid w:val="00A0779B"/>
    <w:rsid w:val="00A0791E"/>
    <w:rsid w:val="00A1065C"/>
    <w:rsid w:val="00A10770"/>
    <w:rsid w:val="00A10783"/>
    <w:rsid w:val="00A11410"/>
    <w:rsid w:val="00A11BAC"/>
    <w:rsid w:val="00A11D65"/>
    <w:rsid w:val="00A1205E"/>
    <w:rsid w:val="00A12330"/>
    <w:rsid w:val="00A12BA7"/>
    <w:rsid w:val="00A13788"/>
    <w:rsid w:val="00A13927"/>
    <w:rsid w:val="00A13BD2"/>
    <w:rsid w:val="00A13E64"/>
    <w:rsid w:val="00A13FBC"/>
    <w:rsid w:val="00A141E1"/>
    <w:rsid w:val="00A142F9"/>
    <w:rsid w:val="00A1436E"/>
    <w:rsid w:val="00A14671"/>
    <w:rsid w:val="00A1504C"/>
    <w:rsid w:val="00A1514B"/>
    <w:rsid w:val="00A152B5"/>
    <w:rsid w:val="00A155DD"/>
    <w:rsid w:val="00A1576D"/>
    <w:rsid w:val="00A15952"/>
    <w:rsid w:val="00A15E40"/>
    <w:rsid w:val="00A16367"/>
    <w:rsid w:val="00A16676"/>
    <w:rsid w:val="00A166A3"/>
    <w:rsid w:val="00A16FDF"/>
    <w:rsid w:val="00A17BA4"/>
    <w:rsid w:val="00A2011A"/>
    <w:rsid w:val="00A20168"/>
    <w:rsid w:val="00A2029E"/>
    <w:rsid w:val="00A205C8"/>
    <w:rsid w:val="00A205D8"/>
    <w:rsid w:val="00A20678"/>
    <w:rsid w:val="00A20777"/>
    <w:rsid w:val="00A20C4D"/>
    <w:rsid w:val="00A210A3"/>
    <w:rsid w:val="00A21941"/>
    <w:rsid w:val="00A22300"/>
    <w:rsid w:val="00A22776"/>
    <w:rsid w:val="00A22CA6"/>
    <w:rsid w:val="00A22CE3"/>
    <w:rsid w:val="00A23020"/>
    <w:rsid w:val="00A232BD"/>
    <w:rsid w:val="00A2334C"/>
    <w:rsid w:val="00A23A2E"/>
    <w:rsid w:val="00A24384"/>
    <w:rsid w:val="00A249C3"/>
    <w:rsid w:val="00A25049"/>
    <w:rsid w:val="00A2534D"/>
    <w:rsid w:val="00A253FB"/>
    <w:rsid w:val="00A25514"/>
    <w:rsid w:val="00A2553D"/>
    <w:rsid w:val="00A25AE7"/>
    <w:rsid w:val="00A25F49"/>
    <w:rsid w:val="00A27467"/>
    <w:rsid w:val="00A27B8E"/>
    <w:rsid w:val="00A27FE9"/>
    <w:rsid w:val="00A30431"/>
    <w:rsid w:val="00A305F9"/>
    <w:rsid w:val="00A309FC"/>
    <w:rsid w:val="00A31D0C"/>
    <w:rsid w:val="00A326D4"/>
    <w:rsid w:val="00A32893"/>
    <w:rsid w:val="00A3291A"/>
    <w:rsid w:val="00A32B20"/>
    <w:rsid w:val="00A32E41"/>
    <w:rsid w:val="00A32FA0"/>
    <w:rsid w:val="00A33075"/>
    <w:rsid w:val="00A331D6"/>
    <w:rsid w:val="00A335DC"/>
    <w:rsid w:val="00A338F0"/>
    <w:rsid w:val="00A33F57"/>
    <w:rsid w:val="00A341E6"/>
    <w:rsid w:val="00A345BB"/>
    <w:rsid w:val="00A34EC8"/>
    <w:rsid w:val="00A3510A"/>
    <w:rsid w:val="00A351C1"/>
    <w:rsid w:val="00A35AE5"/>
    <w:rsid w:val="00A35C84"/>
    <w:rsid w:val="00A36292"/>
    <w:rsid w:val="00A3698D"/>
    <w:rsid w:val="00A369DA"/>
    <w:rsid w:val="00A37178"/>
    <w:rsid w:val="00A37480"/>
    <w:rsid w:val="00A376E2"/>
    <w:rsid w:val="00A37E70"/>
    <w:rsid w:val="00A37FBC"/>
    <w:rsid w:val="00A40CCA"/>
    <w:rsid w:val="00A40F8E"/>
    <w:rsid w:val="00A410C0"/>
    <w:rsid w:val="00A4110B"/>
    <w:rsid w:val="00A42259"/>
    <w:rsid w:val="00A4245C"/>
    <w:rsid w:val="00A429FA"/>
    <w:rsid w:val="00A42A67"/>
    <w:rsid w:val="00A42BDE"/>
    <w:rsid w:val="00A42E66"/>
    <w:rsid w:val="00A42FFE"/>
    <w:rsid w:val="00A43090"/>
    <w:rsid w:val="00A43806"/>
    <w:rsid w:val="00A43B17"/>
    <w:rsid w:val="00A43BA5"/>
    <w:rsid w:val="00A43F44"/>
    <w:rsid w:val="00A44165"/>
    <w:rsid w:val="00A4433F"/>
    <w:rsid w:val="00A447AC"/>
    <w:rsid w:val="00A44AA1"/>
    <w:rsid w:val="00A44C87"/>
    <w:rsid w:val="00A45927"/>
    <w:rsid w:val="00A45A98"/>
    <w:rsid w:val="00A45C12"/>
    <w:rsid w:val="00A45CE5"/>
    <w:rsid w:val="00A45D2C"/>
    <w:rsid w:val="00A45DBA"/>
    <w:rsid w:val="00A46677"/>
    <w:rsid w:val="00A46883"/>
    <w:rsid w:val="00A46ADB"/>
    <w:rsid w:val="00A46BB7"/>
    <w:rsid w:val="00A46BFB"/>
    <w:rsid w:val="00A476EE"/>
    <w:rsid w:val="00A47721"/>
    <w:rsid w:val="00A47853"/>
    <w:rsid w:val="00A47E65"/>
    <w:rsid w:val="00A501E5"/>
    <w:rsid w:val="00A5020C"/>
    <w:rsid w:val="00A503BD"/>
    <w:rsid w:val="00A50800"/>
    <w:rsid w:val="00A50A91"/>
    <w:rsid w:val="00A50AC7"/>
    <w:rsid w:val="00A50D52"/>
    <w:rsid w:val="00A50F0E"/>
    <w:rsid w:val="00A5108A"/>
    <w:rsid w:val="00A515B6"/>
    <w:rsid w:val="00A517B7"/>
    <w:rsid w:val="00A51928"/>
    <w:rsid w:val="00A520DB"/>
    <w:rsid w:val="00A520F0"/>
    <w:rsid w:val="00A5250F"/>
    <w:rsid w:val="00A52C18"/>
    <w:rsid w:val="00A531EE"/>
    <w:rsid w:val="00A5456C"/>
    <w:rsid w:val="00A54876"/>
    <w:rsid w:val="00A54964"/>
    <w:rsid w:val="00A54B41"/>
    <w:rsid w:val="00A54EF8"/>
    <w:rsid w:val="00A55874"/>
    <w:rsid w:val="00A5589E"/>
    <w:rsid w:val="00A55927"/>
    <w:rsid w:val="00A55DA4"/>
    <w:rsid w:val="00A56305"/>
    <w:rsid w:val="00A563EB"/>
    <w:rsid w:val="00A563F2"/>
    <w:rsid w:val="00A564E5"/>
    <w:rsid w:val="00A56EA3"/>
    <w:rsid w:val="00A5705D"/>
    <w:rsid w:val="00A576D2"/>
    <w:rsid w:val="00A6016D"/>
    <w:rsid w:val="00A602A7"/>
    <w:rsid w:val="00A6095D"/>
    <w:rsid w:val="00A60C5A"/>
    <w:rsid w:val="00A60D5D"/>
    <w:rsid w:val="00A62382"/>
    <w:rsid w:val="00A62944"/>
    <w:rsid w:val="00A62C4D"/>
    <w:rsid w:val="00A62D08"/>
    <w:rsid w:val="00A6397B"/>
    <w:rsid w:val="00A639E9"/>
    <w:rsid w:val="00A63D87"/>
    <w:rsid w:val="00A63E5F"/>
    <w:rsid w:val="00A63F94"/>
    <w:rsid w:val="00A6409A"/>
    <w:rsid w:val="00A642C0"/>
    <w:rsid w:val="00A64809"/>
    <w:rsid w:val="00A64A2A"/>
    <w:rsid w:val="00A6583A"/>
    <w:rsid w:val="00A65900"/>
    <w:rsid w:val="00A668E1"/>
    <w:rsid w:val="00A67A39"/>
    <w:rsid w:val="00A7003B"/>
    <w:rsid w:val="00A7047D"/>
    <w:rsid w:val="00A711FC"/>
    <w:rsid w:val="00A71768"/>
    <w:rsid w:val="00A7186B"/>
    <w:rsid w:val="00A719BF"/>
    <w:rsid w:val="00A71BD9"/>
    <w:rsid w:val="00A71FB4"/>
    <w:rsid w:val="00A72199"/>
    <w:rsid w:val="00A722AE"/>
    <w:rsid w:val="00A72986"/>
    <w:rsid w:val="00A72995"/>
    <w:rsid w:val="00A72D53"/>
    <w:rsid w:val="00A72EE0"/>
    <w:rsid w:val="00A730A0"/>
    <w:rsid w:val="00A73109"/>
    <w:rsid w:val="00A73418"/>
    <w:rsid w:val="00A73710"/>
    <w:rsid w:val="00A74084"/>
    <w:rsid w:val="00A74374"/>
    <w:rsid w:val="00A74677"/>
    <w:rsid w:val="00A74A0F"/>
    <w:rsid w:val="00A74B37"/>
    <w:rsid w:val="00A76589"/>
    <w:rsid w:val="00A76A66"/>
    <w:rsid w:val="00A76E3F"/>
    <w:rsid w:val="00A76FCD"/>
    <w:rsid w:val="00A770ED"/>
    <w:rsid w:val="00A775E2"/>
    <w:rsid w:val="00A77A36"/>
    <w:rsid w:val="00A803ED"/>
    <w:rsid w:val="00A80412"/>
    <w:rsid w:val="00A807EE"/>
    <w:rsid w:val="00A80978"/>
    <w:rsid w:val="00A80DCC"/>
    <w:rsid w:val="00A80FFA"/>
    <w:rsid w:val="00A812B5"/>
    <w:rsid w:val="00A81A41"/>
    <w:rsid w:val="00A81EC9"/>
    <w:rsid w:val="00A81F57"/>
    <w:rsid w:val="00A828AE"/>
    <w:rsid w:val="00A82B54"/>
    <w:rsid w:val="00A82C70"/>
    <w:rsid w:val="00A82D2D"/>
    <w:rsid w:val="00A8346C"/>
    <w:rsid w:val="00A8377C"/>
    <w:rsid w:val="00A83822"/>
    <w:rsid w:val="00A838E4"/>
    <w:rsid w:val="00A83B4A"/>
    <w:rsid w:val="00A8430C"/>
    <w:rsid w:val="00A84663"/>
    <w:rsid w:val="00A852B5"/>
    <w:rsid w:val="00A85397"/>
    <w:rsid w:val="00A855E0"/>
    <w:rsid w:val="00A857E8"/>
    <w:rsid w:val="00A87889"/>
    <w:rsid w:val="00A87981"/>
    <w:rsid w:val="00A87E91"/>
    <w:rsid w:val="00A87EA0"/>
    <w:rsid w:val="00A9142B"/>
    <w:rsid w:val="00A91A86"/>
    <w:rsid w:val="00A91DE4"/>
    <w:rsid w:val="00A921B0"/>
    <w:rsid w:val="00A9253D"/>
    <w:rsid w:val="00A92BD6"/>
    <w:rsid w:val="00A930B6"/>
    <w:rsid w:val="00A93743"/>
    <w:rsid w:val="00A937E5"/>
    <w:rsid w:val="00A939B7"/>
    <w:rsid w:val="00A93ACC"/>
    <w:rsid w:val="00A93E5B"/>
    <w:rsid w:val="00A93F1C"/>
    <w:rsid w:val="00A9438F"/>
    <w:rsid w:val="00A94736"/>
    <w:rsid w:val="00A9497E"/>
    <w:rsid w:val="00A95085"/>
    <w:rsid w:val="00A95518"/>
    <w:rsid w:val="00A9570A"/>
    <w:rsid w:val="00A95AA8"/>
    <w:rsid w:val="00A95B38"/>
    <w:rsid w:val="00A95C3E"/>
    <w:rsid w:val="00A95D05"/>
    <w:rsid w:val="00A95DD6"/>
    <w:rsid w:val="00A9637E"/>
    <w:rsid w:val="00A96514"/>
    <w:rsid w:val="00A9662F"/>
    <w:rsid w:val="00A96A47"/>
    <w:rsid w:val="00A96AB2"/>
    <w:rsid w:val="00A9747C"/>
    <w:rsid w:val="00A97A1A"/>
    <w:rsid w:val="00A97C2B"/>
    <w:rsid w:val="00A97F04"/>
    <w:rsid w:val="00AA0D62"/>
    <w:rsid w:val="00AA10B8"/>
    <w:rsid w:val="00AA1E8F"/>
    <w:rsid w:val="00AA212B"/>
    <w:rsid w:val="00AA2A1D"/>
    <w:rsid w:val="00AA2ABA"/>
    <w:rsid w:val="00AA3107"/>
    <w:rsid w:val="00AA3111"/>
    <w:rsid w:val="00AA3443"/>
    <w:rsid w:val="00AA3622"/>
    <w:rsid w:val="00AA39B0"/>
    <w:rsid w:val="00AA3B28"/>
    <w:rsid w:val="00AA3C93"/>
    <w:rsid w:val="00AA3D65"/>
    <w:rsid w:val="00AA3E5F"/>
    <w:rsid w:val="00AA427E"/>
    <w:rsid w:val="00AA471B"/>
    <w:rsid w:val="00AA4917"/>
    <w:rsid w:val="00AA4B8D"/>
    <w:rsid w:val="00AA4DEA"/>
    <w:rsid w:val="00AA4F82"/>
    <w:rsid w:val="00AA532A"/>
    <w:rsid w:val="00AA56A4"/>
    <w:rsid w:val="00AA59B3"/>
    <w:rsid w:val="00AA5C82"/>
    <w:rsid w:val="00AA5CEC"/>
    <w:rsid w:val="00AA5D17"/>
    <w:rsid w:val="00AA5D81"/>
    <w:rsid w:val="00AA617F"/>
    <w:rsid w:val="00AA772C"/>
    <w:rsid w:val="00AA798C"/>
    <w:rsid w:val="00AA7BD8"/>
    <w:rsid w:val="00AB00EE"/>
    <w:rsid w:val="00AB056F"/>
    <w:rsid w:val="00AB084E"/>
    <w:rsid w:val="00AB098A"/>
    <w:rsid w:val="00AB0E5B"/>
    <w:rsid w:val="00AB1213"/>
    <w:rsid w:val="00AB13FC"/>
    <w:rsid w:val="00AB1450"/>
    <w:rsid w:val="00AB19A5"/>
    <w:rsid w:val="00AB34D6"/>
    <w:rsid w:val="00AB36F0"/>
    <w:rsid w:val="00AB47AF"/>
    <w:rsid w:val="00AB4A89"/>
    <w:rsid w:val="00AB4D6A"/>
    <w:rsid w:val="00AB4D90"/>
    <w:rsid w:val="00AB4F3E"/>
    <w:rsid w:val="00AB5899"/>
    <w:rsid w:val="00AB5AF1"/>
    <w:rsid w:val="00AB5CB2"/>
    <w:rsid w:val="00AB629F"/>
    <w:rsid w:val="00AB62CA"/>
    <w:rsid w:val="00AB6563"/>
    <w:rsid w:val="00AB695C"/>
    <w:rsid w:val="00AB6CF2"/>
    <w:rsid w:val="00AB7480"/>
    <w:rsid w:val="00AB7720"/>
    <w:rsid w:val="00AC015C"/>
    <w:rsid w:val="00AC0713"/>
    <w:rsid w:val="00AC0C90"/>
    <w:rsid w:val="00AC1966"/>
    <w:rsid w:val="00AC1F6F"/>
    <w:rsid w:val="00AC223D"/>
    <w:rsid w:val="00AC2377"/>
    <w:rsid w:val="00AC255E"/>
    <w:rsid w:val="00AC2B0E"/>
    <w:rsid w:val="00AC3FA7"/>
    <w:rsid w:val="00AC47C1"/>
    <w:rsid w:val="00AC4BBB"/>
    <w:rsid w:val="00AC54A5"/>
    <w:rsid w:val="00AC57F5"/>
    <w:rsid w:val="00AC5CA6"/>
    <w:rsid w:val="00AC621D"/>
    <w:rsid w:val="00AC6809"/>
    <w:rsid w:val="00AC6D68"/>
    <w:rsid w:val="00AC77B7"/>
    <w:rsid w:val="00AD02BD"/>
    <w:rsid w:val="00AD039A"/>
    <w:rsid w:val="00AD04A3"/>
    <w:rsid w:val="00AD0885"/>
    <w:rsid w:val="00AD09B2"/>
    <w:rsid w:val="00AD0B50"/>
    <w:rsid w:val="00AD0E6F"/>
    <w:rsid w:val="00AD0EA8"/>
    <w:rsid w:val="00AD109F"/>
    <w:rsid w:val="00AD18E5"/>
    <w:rsid w:val="00AD2122"/>
    <w:rsid w:val="00AD2826"/>
    <w:rsid w:val="00AD2A2A"/>
    <w:rsid w:val="00AD2D71"/>
    <w:rsid w:val="00AD2E0F"/>
    <w:rsid w:val="00AD3059"/>
    <w:rsid w:val="00AD3636"/>
    <w:rsid w:val="00AD3DD6"/>
    <w:rsid w:val="00AD4306"/>
    <w:rsid w:val="00AD4436"/>
    <w:rsid w:val="00AD47B3"/>
    <w:rsid w:val="00AD4FA4"/>
    <w:rsid w:val="00AD506A"/>
    <w:rsid w:val="00AD5295"/>
    <w:rsid w:val="00AD5352"/>
    <w:rsid w:val="00AD568E"/>
    <w:rsid w:val="00AD5B86"/>
    <w:rsid w:val="00AD5DA5"/>
    <w:rsid w:val="00AD5DEB"/>
    <w:rsid w:val="00AD5ED3"/>
    <w:rsid w:val="00AD613C"/>
    <w:rsid w:val="00AD61CA"/>
    <w:rsid w:val="00AD6468"/>
    <w:rsid w:val="00AD64B6"/>
    <w:rsid w:val="00AD674C"/>
    <w:rsid w:val="00AD6907"/>
    <w:rsid w:val="00AD73EB"/>
    <w:rsid w:val="00AD7510"/>
    <w:rsid w:val="00AD7942"/>
    <w:rsid w:val="00AE006A"/>
    <w:rsid w:val="00AE00BF"/>
    <w:rsid w:val="00AE0336"/>
    <w:rsid w:val="00AE03D2"/>
    <w:rsid w:val="00AE13B6"/>
    <w:rsid w:val="00AE17E2"/>
    <w:rsid w:val="00AE1BBF"/>
    <w:rsid w:val="00AE2213"/>
    <w:rsid w:val="00AE25AB"/>
    <w:rsid w:val="00AE2A5D"/>
    <w:rsid w:val="00AE2ABC"/>
    <w:rsid w:val="00AE2D9E"/>
    <w:rsid w:val="00AE3169"/>
    <w:rsid w:val="00AE3619"/>
    <w:rsid w:val="00AE37F4"/>
    <w:rsid w:val="00AE3BB5"/>
    <w:rsid w:val="00AE3D53"/>
    <w:rsid w:val="00AE3EE7"/>
    <w:rsid w:val="00AE412F"/>
    <w:rsid w:val="00AE41EC"/>
    <w:rsid w:val="00AE4291"/>
    <w:rsid w:val="00AE4858"/>
    <w:rsid w:val="00AE4AA7"/>
    <w:rsid w:val="00AE4B03"/>
    <w:rsid w:val="00AE4C32"/>
    <w:rsid w:val="00AE50B5"/>
    <w:rsid w:val="00AE563B"/>
    <w:rsid w:val="00AE5B95"/>
    <w:rsid w:val="00AE5BF5"/>
    <w:rsid w:val="00AE5EE3"/>
    <w:rsid w:val="00AE6070"/>
    <w:rsid w:val="00AE6169"/>
    <w:rsid w:val="00AE642E"/>
    <w:rsid w:val="00AE6894"/>
    <w:rsid w:val="00AE7330"/>
    <w:rsid w:val="00AE7E47"/>
    <w:rsid w:val="00AE7EEE"/>
    <w:rsid w:val="00AF05AB"/>
    <w:rsid w:val="00AF0F3E"/>
    <w:rsid w:val="00AF1139"/>
    <w:rsid w:val="00AF1144"/>
    <w:rsid w:val="00AF1863"/>
    <w:rsid w:val="00AF2269"/>
    <w:rsid w:val="00AF240D"/>
    <w:rsid w:val="00AF24E9"/>
    <w:rsid w:val="00AF265B"/>
    <w:rsid w:val="00AF2710"/>
    <w:rsid w:val="00AF2812"/>
    <w:rsid w:val="00AF2AA8"/>
    <w:rsid w:val="00AF2B9F"/>
    <w:rsid w:val="00AF3414"/>
    <w:rsid w:val="00AF3503"/>
    <w:rsid w:val="00AF37B7"/>
    <w:rsid w:val="00AF3A77"/>
    <w:rsid w:val="00AF43F0"/>
    <w:rsid w:val="00AF4540"/>
    <w:rsid w:val="00AF4BE7"/>
    <w:rsid w:val="00AF4E21"/>
    <w:rsid w:val="00AF5087"/>
    <w:rsid w:val="00AF530A"/>
    <w:rsid w:val="00AF547C"/>
    <w:rsid w:val="00AF5AB5"/>
    <w:rsid w:val="00AF63C0"/>
    <w:rsid w:val="00AF6563"/>
    <w:rsid w:val="00AF6CBE"/>
    <w:rsid w:val="00AF7120"/>
    <w:rsid w:val="00AF724F"/>
    <w:rsid w:val="00AF735F"/>
    <w:rsid w:val="00AF73F9"/>
    <w:rsid w:val="00AF7445"/>
    <w:rsid w:val="00AF7A0B"/>
    <w:rsid w:val="00B0093F"/>
    <w:rsid w:val="00B014E7"/>
    <w:rsid w:val="00B01CD3"/>
    <w:rsid w:val="00B01D24"/>
    <w:rsid w:val="00B01D9A"/>
    <w:rsid w:val="00B023B6"/>
    <w:rsid w:val="00B027B1"/>
    <w:rsid w:val="00B02953"/>
    <w:rsid w:val="00B02EF9"/>
    <w:rsid w:val="00B03093"/>
    <w:rsid w:val="00B03A6A"/>
    <w:rsid w:val="00B03F85"/>
    <w:rsid w:val="00B0410D"/>
    <w:rsid w:val="00B0435B"/>
    <w:rsid w:val="00B04B5A"/>
    <w:rsid w:val="00B05044"/>
    <w:rsid w:val="00B05094"/>
    <w:rsid w:val="00B053C8"/>
    <w:rsid w:val="00B05684"/>
    <w:rsid w:val="00B05703"/>
    <w:rsid w:val="00B05825"/>
    <w:rsid w:val="00B05AA1"/>
    <w:rsid w:val="00B05B8E"/>
    <w:rsid w:val="00B06593"/>
    <w:rsid w:val="00B067B1"/>
    <w:rsid w:val="00B06AE4"/>
    <w:rsid w:val="00B06FBB"/>
    <w:rsid w:val="00B0729A"/>
    <w:rsid w:val="00B0729B"/>
    <w:rsid w:val="00B074FD"/>
    <w:rsid w:val="00B077D1"/>
    <w:rsid w:val="00B079C7"/>
    <w:rsid w:val="00B07B0A"/>
    <w:rsid w:val="00B103E4"/>
    <w:rsid w:val="00B108BE"/>
    <w:rsid w:val="00B10B8E"/>
    <w:rsid w:val="00B10F31"/>
    <w:rsid w:val="00B11192"/>
    <w:rsid w:val="00B1154D"/>
    <w:rsid w:val="00B119E3"/>
    <w:rsid w:val="00B1247D"/>
    <w:rsid w:val="00B12E91"/>
    <w:rsid w:val="00B1304D"/>
    <w:rsid w:val="00B13302"/>
    <w:rsid w:val="00B13608"/>
    <w:rsid w:val="00B14102"/>
    <w:rsid w:val="00B1411E"/>
    <w:rsid w:val="00B14557"/>
    <w:rsid w:val="00B14920"/>
    <w:rsid w:val="00B149D1"/>
    <w:rsid w:val="00B14DB3"/>
    <w:rsid w:val="00B15347"/>
    <w:rsid w:val="00B155B9"/>
    <w:rsid w:val="00B15868"/>
    <w:rsid w:val="00B15B0C"/>
    <w:rsid w:val="00B15D58"/>
    <w:rsid w:val="00B15D61"/>
    <w:rsid w:val="00B1618D"/>
    <w:rsid w:val="00B16500"/>
    <w:rsid w:val="00B16A19"/>
    <w:rsid w:val="00B16BFD"/>
    <w:rsid w:val="00B16EEA"/>
    <w:rsid w:val="00B17816"/>
    <w:rsid w:val="00B20685"/>
    <w:rsid w:val="00B208AB"/>
    <w:rsid w:val="00B20A59"/>
    <w:rsid w:val="00B20FF0"/>
    <w:rsid w:val="00B215E3"/>
    <w:rsid w:val="00B216C7"/>
    <w:rsid w:val="00B21A87"/>
    <w:rsid w:val="00B21FEE"/>
    <w:rsid w:val="00B21FF1"/>
    <w:rsid w:val="00B2254A"/>
    <w:rsid w:val="00B22643"/>
    <w:rsid w:val="00B226C4"/>
    <w:rsid w:val="00B2277C"/>
    <w:rsid w:val="00B22D89"/>
    <w:rsid w:val="00B22E94"/>
    <w:rsid w:val="00B2351B"/>
    <w:rsid w:val="00B23876"/>
    <w:rsid w:val="00B23E21"/>
    <w:rsid w:val="00B2456A"/>
    <w:rsid w:val="00B24AF4"/>
    <w:rsid w:val="00B24B16"/>
    <w:rsid w:val="00B24C9E"/>
    <w:rsid w:val="00B24E52"/>
    <w:rsid w:val="00B25472"/>
    <w:rsid w:val="00B25A83"/>
    <w:rsid w:val="00B2616F"/>
    <w:rsid w:val="00B261A8"/>
    <w:rsid w:val="00B263D7"/>
    <w:rsid w:val="00B26CB4"/>
    <w:rsid w:val="00B26CB8"/>
    <w:rsid w:val="00B26EBE"/>
    <w:rsid w:val="00B27192"/>
    <w:rsid w:val="00B27E3C"/>
    <w:rsid w:val="00B30300"/>
    <w:rsid w:val="00B30470"/>
    <w:rsid w:val="00B3141D"/>
    <w:rsid w:val="00B3161F"/>
    <w:rsid w:val="00B31624"/>
    <w:rsid w:val="00B31633"/>
    <w:rsid w:val="00B31B81"/>
    <w:rsid w:val="00B31D06"/>
    <w:rsid w:val="00B31F61"/>
    <w:rsid w:val="00B31FBB"/>
    <w:rsid w:val="00B3247E"/>
    <w:rsid w:val="00B32767"/>
    <w:rsid w:val="00B328E3"/>
    <w:rsid w:val="00B32A43"/>
    <w:rsid w:val="00B32C55"/>
    <w:rsid w:val="00B32DDB"/>
    <w:rsid w:val="00B33351"/>
    <w:rsid w:val="00B33921"/>
    <w:rsid w:val="00B33F14"/>
    <w:rsid w:val="00B3403C"/>
    <w:rsid w:val="00B340D1"/>
    <w:rsid w:val="00B3465B"/>
    <w:rsid w:val="00B34832"/>
    <w:rsid w:val="00B34AC1"/>
    <w:rsid w:val="00B34C6E"/>
    <w:rsid w:val="00B35870"/>
    <w:rsid w:val="00B35A3F"/>
    <w:rsid w:val="00B35A85"/>
    <w:rsid w:val="00B35D73"/>
    <w:rsid w:val="00B35DD6"/>
    <w:rsid w:val="00B35E1F"/>
    <w:rsid w:val="00B35F31"/>
    <w:rsid w:val="00B3670F"/>
    <w:rsid w:val="00B3698B"/>
    <w:rsid w:val="00B36B4D"/>
    <w:rsid w:val="00B375DC"/>
    <w:rsid w:val="00B37996"/>
    <w:rsid w:val="00B379C3"/>
    <w:rsid w:val="00B403D6"/>
    <w:rsid w:val="00B404BD"/>
    <w:rsid w:val="00B4098A"/>
    <w:rsid w:val="00B409AB"/>
    <w:rsid w:val="00B40AB7"/>
    <w:rsid w:val="00B40B45"/>
    <w:rsid w:val="00B40BAC"/>
    <w:rsid w:val="00B40D9D"/>
    <w:rsid w:val="00B40ECA"/>
    <w:rsid w:val="00B40F28"/>
    <w:rsid w:val="00B410E1"/>
    <w:rsid w:val="00B412D3"/>
    <w:rsid w:val="00B41586"/>
    <w:rsid w:val="00B41633"/>
    <w:rsid w:val="00B416D5"/>
    <w:rsid w:val="00B41EDA"/>
    <w:rsid w:val="00B42800"/>
    <w:rsid w:val="00B42906"/>
    <w:rsid w:val="00B42B2D"/>
    <w:rsid w:val="00B42B2E"/>
    <w:rsid w:val="00B432D7"/>
    <w:rsid w:val="00B434FE"/>
    <w:rsid w:val="00B43557"/>
    <w:rsid w:val="00B4363C"/>
    <w:rsid w:val="00B4364B"/>
    <w:rsid w:val="00B43925"/>
    <w:rsid w:val="00B4454F"/>
    <w:rsid w:val="00B44802"/>
    <w:rsid w:val="00B44C57"/>
    <w:rsid w:val="00B44E39"/>
    <w:rsid w:val="00B451B1"/>
    <w:rsid w:val="00B4527B"/>
    <w:rsid w:val="00B45994"/>
    <w:rsid w:val="00B45B52"/>
    <w:rsid w:val="00B45E8D"/>
    <w:rsid w:val="00B463D4"/>
    <w:rsid w:val="00B46A44"/>
    <w:rsid w:val="00B5061D"/>
    <w:rsid w:val="00B51444"/>
    <w:rsid w:val="00B514A0"/>
    <w:rsid w:val="00B51655"/>
    <w:rsid w:val="00B516B7"/>
    <w:rsid w:val="00B5193D"/>
    <w:rsid w:val="00B51B8A"/>
    <w:rsid w:val="00B51C6C"/>
    <w:rsid w:val="00B5245A"/>
    <w:rsid w:val="00B525CC"/>
    <w:rsid w:val="00B526E9"/>
    <w:rsid w:val="00B529F8"/>
    <w:rsid w:val="00B52D52"/>
    <w:rsid w:val="00B53129"/>
    <w:rsid w:val="00B5319A"/>
    <w:rsid w:val="00B532E9"/>
    <w:rsid w:val="00B5379B"/>
    <w:rsid w:val="00B537D4"/>
    <w:rsid w:val="00B539A4"/>
    <w:rsid w:val="00B54AF9"/>
    <w:rsid w:val="00B54B72"/>
    <w:rsid w:val="00B55007"/>
    <w:rsid w:val="00B551DB"/>
    <w:rsid w:val="00B554FC"/>
    <w:rsid w:val="00B5593D"/>
    <w:rsid w:val="00B55D31"/>
    <w:rsid w:val="00B55EC4"/>
    <w:rsid w:val="00B56017"/>
    <w:rsid w:val="00B56343"/>
    <w:rsid w:val="00B5654F"/>
    <w:rsid w:val="00B56568"/>
    <w:rsid w:val="00B56ADA"/>
    <w:rsid w:val="00B56B96"/>
    <w:rsid w:val="00B5732B"/>
    <w:rsid w:val="00B57588"/>
    <w:rsid w:val="00B576B6"/>
    <w:rsid w:val="00B57843"/>
    <w:rsid w:val="00B57D63"/>
    <w:rsid w:val="00B57EA8"/>
    <w:rsid w:val="00B607CE"/>
    <w:rsid w:val="00B60831"/>
    <w:rsid w:val="00B60A06"/>
    <w:rsid w:val="00B60CF8"/>
    <w:rsid w:val="00B61A09"/>
    <w:rsid w:val="00B61D83"/>
    <w:rsid w:val="00B61FB4"/>
    <w:rsid w:val="00B62281"/>
    <w:rsid w:val="00B629F6"/>
    <w:rsid w:val="00B62A22"/>
    <w:rsid w:val="00B62C58"/>
    <w:rsid w:val="00B62F0E"/>
    <w:rsid w:val="00B6302F"/>
    <w:rsid w:val="00B6309F"/>
    <w:rsid w:val="00B635B1"/>
    <w:rsid w:val="00B63E29"/>
    <w:rsid w:val="00B63E58"/>
    <w:rsid w:val="00B644F6"/>
    <w:rsid w:val="00B65071"/>
    <w:rsid w:val="00B6525D"/>
    <w:rsid w:val="00B65336"/>
    <w:rsid w:val="00B653FF"/>
    <w:rsid w:val="00B65EDE"/>
    <w:rsid w:val="00B660F7"/>
    <w:rsid w:val="00B661A9"/>
    <w:rsid w:val="00B66A3C"/>
    <w:rsid w:val="00B6727B"/>
    <w:rsid w:val="00B67349"/>
    <w:rsid w:val="00B6745E"/>
    <w:rsid w:val="00B67801"/>
    <w:rsid w:val="00B678C5"/>
    <w:rsid w:val="00B67A9D"/>
    <w:rsid w:val="00B67DF8"/>
    <w:rsid w:val="00B67E4D"/>
    <w:rsid w:val="00B704F2"/>
    <w:rsid w:val="00B710D8"/>
    <w:rsid w:val="00B713E9"/>
    <w:rsid w:val="00B71AEE"/>
    <w:rsid w:val="00B71B27"/>
    <w:rsid w:val="00B71E16"/>
    <w:rsid w:val="00B7215E"/>
    <w:rsid w:val="00B729F4"/>
    <w:rsid w:val="00B72E0B"/>
    <w:rsid w:val="00B72EFF"/>
    <w:rsid w:val="00B7307F"/>
    <w:rsid w:val="00B735D4"/>
    <w:rsid w:val="00B73D7A"/>
    <w:rsid w:val="00B74242"/>
    <w:rsid w:val="00B74412"/>
    <w:rsid w:val="00B74717"/>
    <w:rsid w:val="00B74C37"/>
    <w:rsid w:val="00B75406"/>
    <w:rsid w:val="00B75425"/>
    <w:rsid w:val="00B75676"/>
    <w:rsid w:val="00B75A85"/>
    <w:rsid w:val="00B75B0B"/>
    <w:rsid w:val="00B75B58"/>
    <w:rsid w:val="00B75B96"/>
    <w:rsid w:val="00B75D1F"/>
    <w:rsid w:val="00B766D3"/>
    <w:rsid w:val="00B76C2F"/>
    <w:rsid w:val="00B77AB0"/>
    <w:rsid w:val="00B801AB"/>
    <w:rsid w:val="00B810D1"/>
    <w:rsid w:val="00B8145F"/>
    <w:rsid w:val="00B81C25"/>
    <w:rsid w:val="00B81CCC"/>
    <w:rsid w:val="00B820BB"/>
    <w:rsid w:val="00B825E4"/>
    <w:rsid w:val="00B826D1"/>
    <w:rsid w:val="00B82B6B"/>
    <w:rsid w:val="00B82DA6"/>
    <w:rsid w:val="00B83490"/>
    <w:rsid w:val="00B835C2"/>
    <w:rsid w:val="00B8363B"/>
    <w:rsid w:val="00B83809"/>
    <w:rsid w:val="00B83BE7"/>
    <w:rsid w:val="00B83CDF"/>
    <w:rsid w:val="00B83CF9"/>
    <w:rsid w:val="00B8435E"/>
    <w:rsid w:val="00B844D6"/>
    <w:rsid w:val="00B845D5"/>
    <w:rsid w:val="00B84655"/>
    <w:rsid w:val="00B84765"/>
    <w:rsid w:val="00B847CA"/>
    <w:rsid w:val="00B847DE"/>
    <w:rsid w:val="00B85044"/>
    <w:rsid w:val="00B8506F"/>
    <w:rsid w:val="00B8508D"/>
    <w:rsid w:val="00B86563"/>
    <w:rsid w:val="00B867FC"/>
    <w:rsid w:val="00B86845"/>
    <w:rsid w:val="00B87D77"/>
    <w:rsid w:val="00B90058"/>
    <w:rsid w:val="00B90F19"/>
    <w:rsid w:val="00B9129D"/>
    <w:rsid w:val="00B912A1"/>
    <w:rsid w:val="00B91309"/>
    <w:rsid w:val="00B918FD"/>
    <w:rsid w:val="00B920B7"/>
    <w:rsid w:val="00B9251E"/>
    <w:rsid w:val="00B92716"/>
    <w:rsid w:val="00B92836"/>
    <w:rsid w:val="00B9293D"/>
    <w:rsid w:val="00B92FE4"/>
    <w:rsid w:val="00B930DF"/>
    <w:rsid w:val="00B93192"/>
    <w:rsid w:val="00B931C4"/>
    <w:rsid w:val="00B93B84"/>
    <w:rsid w:val="00B94149"/>
    <w:rsid w:val="00B94529"/>
    <w:rsid w:val="00B94D44"/>
    <w:rsid w:val="00B94D59"/>
    <w:rsid w:val="00B94E70"/>
    <w:rsid w:val="00B94F8A"/>
    <w:rsid w:val="00B956F3"/>
    <w:rsid w:val="00B9577D"/>
    <w:rsid w:val="00B95967"/>
    <w:rsid w:val="00B95C05"/>
    <w:rsid w:val="00B96272"/>
    <w:rsid w:val="00B96485"/>
    <w:rsid w:val="00B967B7"/>
    <w:rsid w:val="00B96C57"/>
    <w:rsid w:val="00B97330"/>
    <w:rsid w:val="00B974F5"/>
    <w:rsid w:val="00B977A0"/>
    <w:rsid w:val="00B979B8"/>
    <w:rsid w:val="00B97DE7"/>
    <w:rsid w:val="00B97EAD"/>
    <w:rsid w:val="00BA01C5"/>
    <w:rsid w:val="00BA06DA"/>
    <w:rsid w:val="00BA1521"/>
    <w:rsid w:val="00BA1774"/>
    <w:rsid w:val="00BA195D"/>
    <w:rsid w:val="00BA2460"/>
    <w:rsid w:val="00BA2C1E"/>
    <w:rsid w:val="00BA2C9A"/>
    <w:rsid w:val="00BA2E84"/>
    <w:rsid w:val="00BA2EFF"/>
    <w:rsid w:val="00BA306C"/>
    <w:rsid w:val="00BA33A9"/>
    <w:rsid w:val="00BA384F"/>
    <w:rsid w:val="00BA3927"/>
    <w:rsid w:val="00BA3DDC"/>
    <w:rsid w:val="00BA3FD7"/>
    <w:rsid w:val="00BA43D4"/>
    <w:rsid w:val="00BA4844"/>
    <w:rsid w:val="00BA4CA8"/>
    <w:rsid w:val="00BA4CC4"/>
    <w:rsid w:val="00BA5077"/>
    <w:rsid w:val="00BA516B"/>
    <w:rsid w:val="00BA5209"/>
    <w:rsid w:val="00BA5275"/>
    <w:rsid w:val="00BA530E"/>
    <w:rsid w:val="00BA5642"/>
    <w:rsid w:val="00BA5A8D"/>
    <w:rsid w:val="00BA60D6"/>
    <w:rsid w:val="00BA65A1"/>
    <w:rsid w:val="00BA66AD"/>
    <w:rsid w:val="00BA7970"/>
    <w:rsid w:val="00BA7A9D"/>
    <w:rsid w:val="00BA7E2D"/>
    <w:rsid w:val="00BA7E7E"/>
    <w:rsid w:val="00BB00AD"/>
    <w:rsid w:val="00BB00FA"/>
    <w:rsid w:val="00BB01D0"/>
    <w:rsid w:val="00BB09F3"/>
    <w:rsid w:val="00BB0BF1"/>
    <w:rsid w:val="00BB1255"/>
    <w:rsid w:val="00BB1371"/>
    <w:rsid w:val="00BB13B7"/>
    <w:rsid w:val="00BB1433"/>
    <w:rsid w:val="00BB187A"/>
    <w:rsid w:val="00BB1EE6"/>
    <w:rsid w:val="00BB2155"/>
    <w:rsid w:val="00BB3301"/>
    <w:rsid w:val="00BB3510"/>
    <w:rsid w:val="00BB3547"/>
    <w:rsid w:val="00BB3B4E"/>
    <w:rsid w:val="00BB41DA"/>
    <w:rsid w:val="00BB4205"/>
    <w:rsid w:val="00BB487F"/>
    <w:rsid w:val="00BB4ACD"/>
    <w:rsid w:val="00BB5BDC"/>
    <w:rsid w:val="00BB5BE6"/>
    <w:rsid w:val="00BB5CC9"/>
    <w:rsid w:val="00BB6354"/>
    <w:rsid w:val="00BB6771"/>
    <w:rsid w:val="00BB67E0"/>
    <w:rsid w:val="00BB6B3D"/>
    <w:rsid w:val="00BB6F26"/>
    <w:rsid w:val="00BB70C6"/>
    <w:rsid w:val="00BB725E"/>
    <w:rsid w:val="00BB791C"/>
    <w:rsid w:val="00BB7E94"/>
    <w:rsid w:val="00BB7EAF"/>
    <w:rsid w:val="00BC0625"/>
    <w:rsid w:val="00BC0830"/>
    <w:rsid w:val="00BC08DF"/>
    <w:rsid w:val="00BC0AD6"/>
    <w:rsid w:val="00BC0AE6"/>
    <w:rsid w:val="00BC0B20"/>
    <w:rsid w:val="00BC0CC1"/>
    <w:rsid w:val="00BC0DE9"/>
    <w:rsid w:val="00BC0FD7"/>
    <w:rsid w:val="00BC0FF4"/>
    <w:rsid w:val="00BC117F"/>
    <w:rsid w:val="00BC159D"/>
    <w:rsid w:val="00BC176C"/>
    <w:rsid w:val="00BC19C2"/>
    <w:rsid w:val="00BC1ABB"/>
    <w:rsid w:val="00BC215E"/>
    <w:rsid w:val="00BC3412"/>
    <w:rsid w:val="00BC34D9"/>
    <w:rsid w:val="00BC34E5"/>
    <w:rsid w:val="00BC36CD"/>
    <w:rsid w:val="00BC3989"/>
    <w:rsid w:val="00BC42E3"/>
    <w:rsid w:val="00BC49CD"/>
    <w:rsid w:val="00BC4CD0"/>
    <w:rsid w:val="00BC4D52"/>
    <w:rsid w:val="00BC4DEE"/>
    <w:rsid w:val="00BC4EFB"/>
    <w:rsid w:val="00BC4FF7"/>
    <w:rsid w:val="00BC54F6"/>
    <w:rsid w:val="00BC5C1A"/>
    <w:rsid w:val="00BC65A3"/>
    <w:rsid w:val="00BC66D5"/>
    <w:rsid w:val="00BC6761"/>
    <w:rsid w:val="00BC6CF3"/>
    <w:rsid w:val="00BC6E60"/>
    <w:rsid w:val="00BC716F"/>
    <w:rsid w:val="00BC74E4"/>
    <w:rsid w:val="00BD0071"/>
    <w:rsid w:val="00BD0232"/>
    <w:rsid w:val="00BD07D3"/>
    <w:rsid w:val="00BD089D"/>
    <w:rsid w:val="00BD09AB"/>
    <w:rsid w:val="00BD0A62"/>
    <w:rsid w:val="00BD13EA"/>
    <w:rsid w:val="00BD1BBF"/>
    <w:rsid w:val="00BD1C4D"/>
    <w:rsid w:val="00BD2479"/>
    <w:rsid w:val="00BD24F3"/>
    <w:rsid w:val="00BD2B53"/>
    <w:rsid w:val="00BD2E03"/>
    <w:rsid w:val="00BD31A1"/>
    <w:rsid w:val="00BD3330"/>
    <w:rsid w:val="00BD363F"/>
    <w:rsid w:val="00BD39E4"/>
    <w:rsid w:val="00BD3F8A"/>
    <w:rsid w:val="00BD40D8"/>
    <w:rsid w:val="00BD4174"/>
    <w:rsid w:val="00BD475A"/>
    <w:rsid w:val="00BD4C8C"/>
    <w:rsid w:val="00BD4DED"/>
    <w:rsid w:val="00BD51AD"/>
    <w:rsid w:val="00BD532F"/>
    <w:rsid w:val="00BD55FE"/>
    <w:rsid w:val="00BD5CF2"/>
    <w:rsid w:val="00BD5D46"/>
    <w:rsid w:val="00BD612E"/>
    <w:rsid w:val="00BD67EA"/>
    <w:rsid w:val="00BD6D25"/>
    <w:rsid w:val="00BD6DD0"/>
    <w:rsid w:val="00BD6EBD"/>
    <w:rsid w:val="00BD6F08"/>
    <w:rsid w:val="00BD7113"/>
    <w:rsid w:val="00BD767D"/>
    <w:rsid w:val="00BD7B90"/>
    <w:rsid w:val="00BD7C9F"/>
    <w:rsid w:val="00BD7F0E"/>
    <w:rsid w:val="00BE051A"/>
    <w:rsid w:val="00BE072D"/>
    <w:rsid w:val="00BE0A9A"/>
    <w:rsid w:val="00BE0E77"/>
    <w:rsid w:val="00BE0F74"/>
    <w:rsid w:val="00BE12AA"/>
    <w:rsid w:val="00BE1494"/>
    <w:rsid w:val="00BE1509"/>
    <w:rsid w:val="00BE15F1"/>
    <w:rsid w:val="00BE21DD"/>
    <w:rsid w:val="00BE2DB6"/>
    <w:rsid w:val="00BE3EFD"/>
    <w:rsid w:val="00BE4329"/>
    <w:rsid w:val="00BE45DD"/>
    <w:rsid w:val="00BE4D13"/>
    <w:rsid w:val="00BE5708"/>
    <w:rsid w:val="00BE576A"/>
    <w:rsid w:val="00BE5793"/>
    <w:rsid w:val="00BE621B"/>
    <w:rsid w:val="00BE6919"/>
    <w:rsid w:val="00BE6E4A"/>
    <w:rsid w:val="00BE6F29"/>
    <w:rsid w:val="00BE6FCE"/>
    <w:rsid w:val="00BE789E"/>
    <w:rsid w:val="00BE7927"/>
    <w:rsid w:val="00BE7B19"/>
    <w:rsid w:val="00BE7D34"/>
    <w:rsid w:val="00BF03D8"/>
    <w:rsid w:val="00BF092C"/>
    <w:rsid w:val="00BF0CE0"/>
    <w:rsid w:val="00BF0D8B"/>
    <w:rsid w:val="00BF18C1"/>
    <w:rsid w:val="00BF1AC4"/>
    <w:rsid w:val="00BF1B81"/>
    <w:rsid w:val="00BF1D22"/>
    <w:rsid w:val="00BF232A"/>
    <w:rsid w:val="00BF2AF1"/>
    <w:rsid w:val="00BF2F82"/>
    <w:rsid w:val="00BF327C"/>
    <w:rsid w:val="00BF33BA"/>
    <w:rsid w:val="00BF370C"/>
    <w:rsid w:val="00BF3B6A"/>
    <w:rsid w:val="00BF3F5D"/>
    <w:rsid w:val="00BF4025"/>
    <w:rsid w:val="00BF4043"/>
    <w:rsid w:val="00BF4050"/>
    <w:rsid w:val="00BF44C7"/>
    <w:rsid w:val="00BF4A11"/>
    <w:rsid w:val="00BF4AC5"/>
    <w:rsid w:val="00BF4E10"/>
    <w:rsid w:val="00BF5655"/>
    <w:rsid w:val="00BF6433"/>
    <w:rsid w:val="00BF6E66"/>
    <w:rsid w:val="00BF7CC2"/>
    <w:rsid w:val="00C00816"/>
    <w:rsid w:val="00C0100F"/>
    <w:rsid w:val="00C010B8"/>
    <w:rsid w:val="00C01460"/>
    <w:rsid w:val="00C023F3"/>
    <w:rsid w:val="00C02F6A"/>
    <w:rsid w:val="00C031AF"/>
    <w:rsid w:val="00C036C7"/>
    <w:rsid w:val="00C043BD"/>
    <w:rsid w:val="00C0449B"/>
    <w:rsid w:val="00C04895"/>
    <w:rsid w:val="00C04FF0"/>
    <w:rsid w:val="00C051A6"/>
    <w:rsid w:val="00C05A5A"/>
    <w:rsid w:val="00C05BD9"/>
    <w:rsid w:val="00C05EAC"/>
    <w:rsid w:val="00C05EBF"/>
    <w:rsid w:val="00C05FAE"/>
    <w:rsid w:val="00C06222"/>
    <w:rsid w:val="00C06573"/>
    <w:rsid w:val="00C066CC"/>
    <w:rsid w:val="00C06C30"/>
    <w:rsid w:val="00C06D0E"/>
    <w:rsid w:val="00C07638"/>
    <w:rsid w:val="00C07F50"/>
    <w:rsid w:val="00C07FAC"/>
    <w:rsid w:val="00C102C5"/>
    <w:rsid w:val="00C1111D"/>
    <w:rsid w:val="00C118E9"/>
    <w:rsid w:val="00C11DBA"/>
    <w:rsid w:val="00C11F01"/>
    <w:rsid w:val="00C122C1"/>
    <w:rsid w:val="00C1242F"/>
    <w:rsid w:val="00C124B1"/>
    <w:rsid w:val="00C124BD"/>
    <w:rsid w:val="00C1254E"/>
    <w:rsid w:val="00C12743"/>
    <w:rsid w:val="00C12973"/>
    <w:rsid w:val="00C12A59"/>
    <w:rsid w:val="00C12AB9"/>
    <w:rsid w:val="00C12E75"/>
    <w:rsid w:val="00C12E84"/>
    <w:rsid w:val="00C12ED8"/>
    <w:rsid w:val="00C1320A"/>
    <w:rsid w:val="00C1343B"/>
    <w:rsid w:val="00C13B2D"/>
    <w:rsid w:val="00C13D20"/>
    <w:rsid w:val="00C13E37"/>
    <w:rsid w:val="00C14125"/>
    <w:rsid w:val="00C145DC"/>
    <w:rsid w:val="00C14804"/>
    <w:rsid w:val="00C14843"/>
    <w:rsid w:val="00C15071"/>
    <w:rsid w:val="00C156C5"/>
    <w:rsid w:val="00C163DB"/>
    <w:rsid w:val="00C17630"/>
    <w:rsid w:val="00C2002A"/>
    <w:rsid w:val="00C201A7"/>
    <w:rsid w:val="00C2033A"/>
    <w:rsid w:val="00C20347"/>
    <w:rsid w:val="00C20396"/>
    <w:rsid w:val="00C20FA3"/>
    <w:rsid w:val="00C2122D"/>
    <w:rsid w:val="00C21D3C"/>
    <w:rsid w:val="00C21DA7"/>
    <w:rsid w:val="00C22000"/>
    <w:rsid w:val="00C22331"/>
    <w:rsid w:val="00C224CA"/>
    <w:rsid w:val="00C226BF"/>
    <w:rsid w:val="00C2282D"/>
    <w:rsid w:val="00C228B2"/>
    <w:rsid w:val="00C22904"/>
    <w:rsid w:val="00C22A31"/>
    <w:rsid w:val="00C22AED"/>
    <w:rsid w:val="00C22BF0"/>
    <w:rsid w:val="00C22E48"/>
    <w:rsid w:val="00C231B0"/>
    <w:rsid w:val="00C233BA"/>
    <w:rsid w:val="00C23570"/>
    <w:rsid w:val="00C23647"/>
    <w:rsid w:val="00C237F7"/>
    <w:rsid w:val="00C239F4"/>
    <w:rsid w:val="00C2400E"/>
    <w:rsid w:val="00C240EB"/>
    <w:rsid w:val="00C24238"/>
    <w:rsid w:val="00C245EC"/>
    <w:rsid w:val="00C249D7"/>
    <w:rsid w:val="00C2552B"/>
    <w:rsid w:val="00C25906"/>
    <w:rsid w:val="00C25D1B"/>
    <w:rsid w:val="00C25F64"/>
    <w:rsid w:val="00C25FF2"/>
    <w:rsid w:val="00C2654D"/>
    <w:rsid w:val="00C26721"/>
    <w:rsid w:val="00C2747B"/>
    <w:rsid w:val="00C2772E"/>
    <w:rsid w:val="00C27CC5"/>
    <w:rsid w:val="00C303EA"/>
    <w:rsid w:val="00C304AD"/>
    <w:rsid w:val="00C30901"/>
    <w:rsid w:val="00C30B00"/>
    <w:rsid w:val="00C30CB8"/>
    <w:rsid w:val="00C30D8C"/>
    <w:rsid w:val="00C3165F"/>
    <w:rsid w:val="00C32A44"/>
    <w:rsid w:val="00C32EE7"/>
    <w:rsid w:val="00C32F84"/>
    <w:rsid w:val="00C341E4"/>
    <w:rsid w:val="00C34793"/>
    <w:rsid w:val="00C35699"/>
    <w:rsid w:val="00C35842"/>
    <w:rsid w:val="00C35851"/>
    <w:rsid w:val="00C35DEC"/>
    <w:rsid w:val="00C36085"/>
    <w:rsid w:val="00C3673C"/>
    <w:rsid w:val="00C36C91"/>
    <w:rsid w:val="00C36CA5"/>
    <w:rsid w:val="00C36FA9"/>
    <w:rsid w:val="00C37236"/>
    <w:rsid w:val="00C3772C"/>
    <w:rsid w:val="00C37748"/>
    <w:rsid w:val="00C37961"/>
    <w:rsid w:val="00C379F7"/>
    <w:rsid w:val="00C37A1A"/>
    <w:rsid w:val="00C37CCF"/>
    <w:rsid w:val="00C37F33"/>
    <w:rsid w:val="00C40050"/>
    <w:rsid w:val="00C40112"/>
    <w:rsid w:val="00C4059A"/>
    <w:rsid w:val="00C406A3"/>
    <w:rsid w:val="00C40AE0"/>
    <w:rsid w:val="00C416D3"/>
    <w:rsid w:val="00C4173F"/>
    <w:rsid w:val="00C41E9A"/>
    <w:rsid w:val="00C427B2"/>
    <w:rsid w:val="00C42AE1"/>
    <w:rsid w:val="00C4331C"/>
    <w:rsid w:val="00C4337D"/>
    <w:rsid w:val="00C43477"/>
    <w:rsid w:val="00C44787"/>
    <w:rsid w:val="00C44AE0"/>
    <w:rsid w:val="00C44DE4"/>
    <w:rsid w:val="00C44FC8"/>
    <w:rsid w:val="00C44FF7"/>
    <w:rsid w:val="00C4529C"/>
    <w:rsid w:val="00C455DA"/>
    <w:rsid w:val="00C459CC"/>
    <w:rsid w:val="00C45A56"/>
    <w:rsid w:val="00C45E4C"/>
    <w:rsid w:val="00C466E5"/>
    <w:rsid w:val="00C46ECC"/>
    <w:rsid w:val="00C471BC"/>
    <w:rsid w:val="00C4739E"/>
    <w:rsid w:val="00C47477"/>
    <w:rsid w:val="00C4768B"/>
    <w:rsid w:val="00C47717"/>
    <w:rsid w:val="00C47882"/>
    <w:rsid w:val="00C47B42"/>
    <w:rsid w:val="00C47FD4"/>
    <w:rsid w:val="00C50194"/>
    <w:rsid w:val="00C505D5"/>
    <w:rsid w:val="00C5071F"/>
    <w:rsid w:val="00C50853"/>
    <w:rsid w:val="00C50A54"/>
    <w:rsid w:val="00C50AE1"/>
    <w:rsid w:val="00C50DDC"/>
    <w:rsid w:val="00C51673"/>
    <w:rsid w:val="00C517E0"/>
    <w:rsid w:val="00C52524"/>
    <w:rsid w:val="00C52532"/>
    <w:rsid w:val="00C5264A"/>
    <w:rsid w:val="00C52691"/>
    <w:rsid w:val="00C52694"/>
    <w:rsid w:val="00C52748"/>
    <w:rsid w:val="00C52AC7"/>
    <w:rsid w:val="00C52B39"/>
    <w:rsid w:val="00C52CF0"/>
    <w:rsid w:val="00C52E7D"/>
    <w:rsid w:val="00C53054"/>
    <w:rsid w:val="00C5394C"/>
    <w:rsid w:val="00C5397C"/>
    <w:rsid w:val="00C53BA4"/>
    <w:rsid w:val="00C53EA0"/>
    <w:rsid w:val="00C53F27"/>
    <w:rsid w:val="00C542D2"/>
    <w:rsid w:val="00C54476"/>
    <w:rsid w:val="00C54571"/>
    <w:rsid w:val="00C54BD1"/>
    <w:rsid w:val="00C54FA2"/>
    <w:rsid w:val="00C55018"/>
    <w:rsid w:val="00C5518F"/>
    <w:rsid w:val="00C551B5"/>
    <w:rsid w:val="00C55BA2"/>
    <w:rsid w:val="00C56BA5"/>
    <w:rsid w:val="00C56DC6"/>
    <w:rsid w:val="00C57729"/>
    <w:rsid w:val="00C5776F"/>
    <w:rsid w:val="00C57AA9"/>
    <w:rsid w:val="00C57E77"/>
    <w:rsid w:val="00C603AD"/>
    <w:rsid w:val="00C60692"/>
    <w:rsid w:val="00C6072C"/>
    <w:rsid w:val="00C60C5F"/>
    <w:rsid w:val="00C60FA0"/>
    <w:rsid w:val="00C610D6"/>
    <w:rsid w:val="00C6115D"/>
    <w:rsid w:val="00C614E7"/>
    <w:rsid w:val="00C61683"/>
    <w:rsid w:val="00C6198F"/>
    <w:rsid w:val="00C61D6A"/>
    <w:rsid w:val="00C62B91"/>
    <w:rsid w:val="00C62CD7"/>
    <w:rsid w:val="00C62DE0"/>
    <w:rsid w:val="00C638A2"/>
    <w:rsid w:val="00C63E06"/>
    <w:rsid w:val="00C648E1"/>
    <w:rsid w:val="00C6495D"/>
    <w:rsid w:val="00C64D9A"/>
    <w:rsid w:val="00C64DEF"/>
    <w:rsid w:val="00C64F2F"/>
    <w:rsid w:val="00C65207"/>
    <w:rsid w:val="00C65F00"/>
    <w:rsid w:val="00C6664E"/>
    <w:rsid w:val="00C6668C"/>
    <w:rsid w:val="00C66826"/>
    <w:rsid w:val="00C66927"/>
    <w:rsid w:val="00C66C50"/>
    <w:rsid w:val="00C66DCE"/>
    <w:rsid w:val="00C66E70"/>
    <w:rsid w:val="00C6748B"/>
    <w:rsid w:val="00C6770A"/>
    <w:rsid w:val="00C677D2"/>
    <w:rsid w:val="00C67969"/>
    <w:rsid w:val="00C67AF0"/>
    <w:rsid w:val="00C67B49"/>
    <w:rsid w:val="00C70291"/>
    <w:rsid w:val="00C7046A"/>
    <w:rsid w:val="00C70811"/>
    <w:rsid w:val="00C70B76"/>
    <w:rsid w:val="00C70D0F"/>
    <w:rsid w:val="00C71212"/>
    <w:rsid w:val="00C713E9"/>
    <w:rsid w:val="00C718FA"/>
    <w:rsid w:val="00C72057"/>
    <w:rsid w:val="00C7206A"/>
    <w:rsid w:val="00C72233"/>
    <w:rsid w:val="00C72598"/>
    <w:rsid w:val="00C72703"/>
    <w:rsid w:val="00C729C7"/>
    <w:rsid w:val="00C72B5C"/>
    <w:rsid w:val="00C72E5A"/>
    <w:rsid w:val="00C7309C"/>
    <w:rsid w:val="00C73358"/>
    <w:rsid w:val="00C737E6"/>
    <w:rsid w:val="00C73FA8"/>
    <w:rsid w:val="00C744B5"/>
    <w:rsid w:val="00C74FDD"/>
    <w:rsid w:val="00C751E9"/>
    <w:rsid w:val="00C75369"/>
    <w:rsid w:val="00C75985"/>
    <w:rsid w:val="00C76061"/>
    <w:rsid w:val="00C7633F"/>
    <w:rsid w:val="00C76825"/>
    <w:rsid w:val="00C76DC3"/>
    <w:rsid w:val="00C76E01"/>
    <w:rsid w:val="00C76F05"/>
    <w:rsid w:val="00C776A8"/>
    <w:rsid w:val="00C800D1"/>
    <w:rsid w:val="00C80284"/>
    <w:rsid w:val="00C8029F"/>
    <w:rsid w:val="00C802B5"/>
    <w:rsid w:val="00C811B8"/>
    <w:rsid w:val="00C81400"/>
    <w:rsid w:val="00C81ABA"/>
    <w:rsid w:val="00C81B20"/>
    <w:rsid w:val="00C821EA"/>
    <w:rsid w:val="00C82260"/>
    <w:rsid w:val="00C82858"/>
    <w:rsid w:val="00C828E8"/>
    <w:rsid w:val="00C82D76"/>
    <w:rsid w:val="00C82EBD"/>
    <w:rsid w:val="00C8308B"/>
    <w:rsid w:val="00C83F9B"/>
    <w:rsid w:val="00C840D6"/>
    <w:rsid w:val="00C84524"/>
    <w:rsid w:val="00C84599"/>
    <w:rsid w:val="00C845B4"/>
    <w:rsid w:val="00C8482A"/>
    <w:rsid w:val="00C84AF1"/>
    <w:rsid w:val="00C85338"/>
    <w:rsid w:val="00C853FC"/>
    <w:rsid w:val="00C85491"/>
    <w:rsid w:val="00C85C6A"/>
    <w:rsid w:val="00C86408"/>
    <w:rsid w:val="00C864A6"/>
    <w:rsid w:val="00C86742"/>
    <w:rsid w:val="00C86786"/>
    <w:rsid w:val="00C86B6B"/>
    <w:rsid w:val="00C86BC6"/>
    <w:rsid w:val="00C86F83"/>
    <w:rsid w:val="00C871A5"/>
    <w:rsid w:val="00C87286"/>
    <w:rsid w:val="00C87341"/>
    <w:rsid w:val="00C87373"/>
    <w:rsid w:val="00C87733"/>
    <w:rsid w:val="00C87A03"/>
    <w:rsid w:val="00C909BE"/>
    <w:rsid w:val="00C90AAB"/>
    <w:rsid w:val="00C90B48"/>
    <w:rsid w:val="00C90BA5"/>
    <w:rsid w:val="00C90F00"/>
    <w:rsid w:val="00C91208"/>
    <w:rsid w:val="00C9154F"/>
    <w:rsid w:val="00C916BE"/>
    <w:rsid w:val="00C91938"/>
    <w:rsid w:val="00C91CA0"/>
    <w:rsid w:val="00C920C4"/>
    <w:rsid w:val="00C921FD"/>
    <w:rsid w:val="00C92E1E"/>
    <w:rsid w:val="00C92E3D"/>
    <w:rsid w:val="00C9301C"/>
    <w:rsid w:val="00C93133"/>
    <w:rsid w:val="00C931D2"/>
    <w:rsid w:val="00C93F94"/>
    <w:rsid w:val="00C941B4"/>
    <w:rsid w:val="00C94269"/>
    <w:rsid w:val="00C94447"/>
    <w:rsid w:val="00C947C5"/>
    <w:rsid w:val="00C94938"/>
    <w:rsid w:val="00C94B96"/>
    <w:rsid w:val="00C94DBE"/>
    <w:rsid w:val="00C94FE8"/>
    <w:rsid w:val="00C953B4"/>
    <w:rsid w:val="00C95626"/>
    <w:rsid w:val="00C956A1"/>
    <w:rsid w:val="00C95DE9"/>
    <w:rsid w:val="00C96888"/>
    <w:rsid w:val="00C96B00"/>
    <w:rsid w:val="00C96C77"/>
    <w:rsid w:val="00C97886"/>
    <w:rsid w:val="00C978E5"/>
    <w:rsid w:val="00C97E02"/>
    <w:rsid w:val="00CA022E"/>
    <w:rsid w:val="00CA095D"/>
    <w:rsid w:val="00CA2C67"/>
    <w:rsid w:val="00CA310B"/>
    <w:rsid w:val="00CA31E2"/>
    <w:rsid w:val="00CA3309"/>
    <w:rsid w:val="00CA34DC"/>
    <w:rsid w:val="00CA37AD"/>
    <w:rsid w:val="00CA3C21"/>
    <w:rsid w:val="00CA3C42"/>
    <w:rsid w:val="00CA3E4E"/>
    <w:rsid w:val="00CA4121"/>
    <w:rsid w:val="00CA4492"/>
    <w:rsid w:val="00CA4764"/>
    <w:rsid w:val="00CA5D93"/>
    <w:rsid w:val="00CA6073"/>
    <w:rsid w:val="00CA6684"/>
    <w:rsid w:val="00CA6DA3"/>
    <w:rsid w:val="00CA777E"/>
    <w:rsid w:val="00CA7E04"/>
    <w:rsid w:val="00CB058C"/>
    <w:rsid w:val="00CB060D"/>
    <w:rsid w:val="00CB092B"/>
    <w:rsid w:val="00CB0A24"/>
    <w:rsid w:val="00CB13F7"/>
    <w:rsid w:val="00CB1CA5"/>
    <w:rsid w:val="00CB2077"/>
    <w:rsid w:val="00CB2145"/>
    <w:rsid w:val="00CB2213"/>
    <w:rsid w:val="00CB2985"/>
    <w:rsid w:val="00CB2A5E"/>
    <w:rsid w:val="00CB2AAE"/>
    <w:rsid w:val="00CB2F80"/>
    <w:rsid w:val="00CB37D3"/>
    <w:rsid w:val="00CB38D3"/>
    <w:rsid w:val="00CB459E"/>
    <w:rsid w:val="00CB4902"/>
    <w:rsid w:val="00CB499E"/>
    <w:rsid w:val="00CB4C3C"/>
    <w:rsid w:val="00CB52B1"/>
    <w:rsid w:val="00CB52EB"/>
    <w:rsid w:val="00CB56D9"/>
    <w:rsid w:val="00CB5A94"/>
    <w:rsid w:val="00CB5D5A"/>
    <w:rsid w:val="00CB6226"/>
    <w:rsid w:val="00CB63B1"/>
    <w:rsid w:val="00CB6CC8"/>
    <w:rsid w:val="00CB7A04"/>
    <w:rsid w:val="00CC02E1"/>
    <w:rsid w:val="00CC0A1F"/>
    <w:rsid w:val="00CC0DA6"/>
    <w:rsid w:val="00CC0E03"/>
    <w:rsid w:val="00CC0E4A"/>
    <w:rsid w:val="00CC194E"/>
    <w:rsid w:val="00CC1A67"/>
    <w:rsid w:val="00CC201F"/>
    <w:rsid w:val="00CC2399"/>
    <w:rsid w:val="00CC282F"/>
    <w:rsid w:val="00CC2BA1"/>
    <w:rsid w:val="00CC2F49"/>
    <w:rsid w:val="00CC31A0"/>
    <w:rsid w:val="00CC37B4"/>
    <w:rsid w:val="00CC45D1"/>
    <w:rsid w:val="00CC462C"/>
    <w:rsid w:val="00CC53A3"/>
    <w:rsid w:val="00CC547E"/>
    <w:rsid w:val="00CC54B1"/>
    <w:rsid w:val="00CC579D"/>
    <w:rsid w:val="00CC5C6A"/>
    <w:rsid w:val="00CC5C82"/>
    <w:rsid w:val="00CC60EC"/>
    <w:rsid w:val="00CC6958"/>
    <w:rsid w:val="00CC6A15"/>
    <w:rsid w:val="00CC6BBF"/>
    <w:rsid w:val="00CC744E"/>
    <w:rsid w:val="00CD00BD"/>
    <w:rsid w:val="00CD0164"/>
    <w:rsid w:val="00CD0762"/>
    <w:rsid w:val="00CD08A0"/>
    <w:rsid w:val="00CD0BA6"/>
    <w:rsid w:val="00CD0EB9"/>
    <w:rsid w:val="00CD119B"/>
    <w:rsid w:val="00CD11E7"/>
    <w:rsid w:val="00CD1364"/>
    <w:rsid w:val="00CD13B6"/>
    <w:rsid w:val="00CD185E"/>
    <w:rsid w:val="00CD1949"/>
    <w:rsid w:val="00CD1AAE"/>
    <w:rsid w:val="00CD1BBE"/>
    <w:rsid w:val="00CD1DB2"/>
    <w:rsid w:val="00CD1E11"/>
    <w:rsid w:val="00CD415E"/>
    <w:rsid w:val="00CD4661"/>
    <w:rsid w:val="00CD4E7D"/>
    <w:rsid w:val="00CD4E95"/>
    <w:rsid w:val="00CD5134"/>
    <w:rsid w:val="00CD541C"/>
    <w:rsid w:val="00CD542E"/>
    <w:rsid w:val="00CD5979"/>
    <w:rsid w:val="00CD5C22"/>
    <w:rsid w:val="00CD5DB9"/>
    <w:rsid w:val="00CD654B"/>
    <w:rsid w:val="00CD6B36"/>
    <w:rsid w:val="00CD6B51"/>
    <w:rsid w:val="00CD6BC6"/>
    <w:rsid w:val="00CD71C3"/>
    <w:rsid w:val="00CD7631"/>
    <w:rsid w:val="00CD768F"/>
    <w:rsid w:val="00CD78D2"/>
    <w:rsid w:val="00CD7A5C"/>
    <w:rsid w:val="00CE0561"/>
    <w:rsid w:val="00CE0D14"/>
    <w:rsid w:val="00CE125D"/>
    <w:rsid w:val="00CE1295"/>
    <w:rsid w:val="00CE152A"/>
    <w:rsid w:val="00CE1539"/>
    <w:rsid w:val="00CE174F"/>
    <w:rsid w:val="00CE197D"/>
    <w:rsid w:val="00CE199B"/>
    <w:rsid w:val="00CE1CDA"/>
    <w:rsid w:val="00CE2219"/>
    <w:rsid w:val="00CE2881"/>
    <w:rsid w:val="00CE2AB1"/>
    <w:rsid w:val="00CE2B61"/>
    <w:rsid w:val="00CE2EDA"/>
    <w:rsid w:val="00CE38CC"/>
    <w:rsid w:val="00CE399D"/>
    <w:rsid w:val="00CE3C02"/>
    <w:rsid w:val="00CE3F30"/>
    <w:rsid w:val="00CE413E"/>
    <w:rsid w:val="00CE496D"/>
    <w:rsid w:val="00CE4993"/>
    <w:rsid w:val="00CE574E"/>
    <w:rsid w:val="00CE5ADD"/>
    <w:rsid w:val="00CE657F"/>
    <w:rsid w:val="00CE6DB9"/>
    <w:rsid w:val="00CE6F5F"/>
    <w:rsid w:val="00CE75F4"/>
    <w:rsid w:val="00CE770C"/>
    <w:rsid w:val="00CE7753"/>
    <w:rsid w:val="00CE7CBD"/>
    <w:rsid w:val="00CF0034"/>
    <w:rsid w:val="00CF009E"/>
    <w:rsid w:val="00CF00D8"/>
    <w:rsid w:val="00CF0402"/>
    <w:rsid w:val="00CF049E"/>
    <w:rsid w:val="00CF07C2"/>
    <w:rsid w:val="00CF0AFB"/>
    <w:rsid w:val="00CF0D42"/>
    <w:rsid w:val="00CF1145"/>
    <w:rsid w:val="00CF17DD"/>
    <w:rsid w:val="00CF1C75"/>
    <w:rsid w:val="00CF1F34"/>
    <w:rsid w:val="00CF2E92"/>
    <w:rsid w:val="00CF318C"/>
    <w:rsid w:val="00CF3616"/>
    <w:rsid w:val="00CF3964"/>
    <w:rsid w:val="00CF410A"/>
    <w:rsid w:val="00CF4554"/>
    <w:rsid w:val="00CF468E"/>
    <w:rsid w:val="00CF48F2"/>
    <w:rsid w:val="00CF4D2A"/>
    <w:rsid w:val="00CF4EE9"/>
    <w:rsid w:val="00CF4F54"/>
    <w:rsid w:val="00CF510F"/>
    <w:rsid w:val="00CF5182"/>
    <w:rsid w:val="00CF547E"/>
    <w:rsid w:val="00CF55CB"/>
    <w:rsid w:val="00CF614F"/>
    <w:rsid w:val="00CF65DB"/>
    <w:rsid w:val="00CF74D4"/>
    <w:rsid w:val="00CF783D"/>
    <w:rsid w:val="00CF7914"/>
    <w:rsid w:val="00CF793D"/>
    <w:rsid w:val="00CF7B9E"/>
    <w:rsid w:val="00D00478"/>
    <w:rsid w:val="00D00986"/>
    <w:rsid w:val="00D00D27"/>
    <w:rsid w:val="00D010D2"/>
    <w:rsid w:val="00D01620"/>
    <w:rsid w:val="00D018DF"/>
    <w:rsid w:val="00D01AC0"/>
    <w:rsid w:val="00D01C33"/>
    <w:rsid w:val="00D02610"/>
    <w:rsid w:val="00D02954"/>
    <w:rsid w:val="00D02A4C"/>
    <w:rsid w:val="00D031C6"/>
    <w:rsid w:val="00D033D8"/>
    <w:rsid w:val="00D03759"/>
    <w:rsid w:val="00D03785"/>
    <w:rsid w:val="00D037E8"/>
    <w:rsid w:val="00D03C82"/>
    <w:rsid w:val="00D041E0"/>
    <w:rsid w:val="00D04343"/>
    <w:rsid w:val="00D04EE9"/>
    <w:rsid w:val="00D05CFD"/>
    <w:rsid w:val="00D05EAA"/>
    <w:rsid w:val="00D05FE5"/>
    <w:rsid w:val="00D0634C"/>
    <w:rsid w:val="00D06888"/>
    <w:rsid w:val="00D068C1"/>
    <w:rsid w:val="00D069B1"/>
    <w:rsid w:val="00D06DF7"/>
    <w:rsid w:val="00D06FB0"/>
    <w:rsid w:val="00D070D2"/>
    <w:rsid w:val="00D07473"/>
    <w:rsid w:val="00D07E9B"/>
    <w:rsid w:val="00D10304"/>
    <w:rsid w:val="00D10435"/>
    <w:rsid w:val="00D105F9"/>
    <w:rsid w:val="00D107B7"/>
    <w:rsid w:val="00D10CEF"/>
    <w:rsid w:val="00D10D88"/>
    <w:rsid w:val="00D10E68"/>
    <w:rsid w:val="00D11168"/>
    <w:rsid w:val="00D11E76"/>
    <w:rsid w:val="00D12221"/>
    <w:rsid w:val="00D1223C"/>
    <w:rsid w:val="00D12319"/>
    <w:rsid w:val="00D12558"/>
    <w:rsid w:val="00D127A1"/>
    <w:rsid w:val="00D12B5A"/>
    <w:rsid w:val="00D12BDF"/>
    <w:rsid w:val="00D12E78"/>
    <w:rsid w:val="00D13474"/>
    <w:rsid w:val="00D135B7"/>
    <w:rsid w:val="00D136E8"/>
    <w:rsid w:val="00D13873"/>
    <w:rsid w:val="00D1392D"/>
    <w:rsid w:val="00D13A3E"/>
    <w:rsid w:val="00D14149"/>
    <w:rsid w:val="00D14179"/>
    <w:rsid w:val="00D14194"/>
    <w:rsid w:val="00D141D1"/>
    <w:rsid w:val="00D14C3F"/>
    <w:rsid w:val="00D157DA"/>
    <w:rsid w:val="00D1581D"/>
    <w:rsid w:val="00D159A3"/>
    <w:rsid w:val="00D15A68"/>
    <w:rsid w:val="00D160D4"/>
    <w:rsid w:val="00D160EA"/>
    <w:rsid w:val="00D16538"/>
    <w:rsid w:val="00D16759"/>
    <w:rsid w:val="00D1689D"/>
    <w:rsid w:val="00D16AAF"/>
    <w:rsid w:val="00D16AC6"/>
    <w:rsid w:val="00D17576"/>
    <w:rsid w:val="00D17CAD"/>
    <w:rsid w:val="00D17FC7"/>
    <w:rsid w:val="00D205DE"/>
    <w:rsid w:val="00D2149F"/>
    <w:rsid w:val="00D21AB7"/>
    <w:rsid w:val="00D21C81"/>
    <w:rsid w:val="00D21D7A"/>
    <w:rsid w:val="00D22334"/>
    <w:rsid w:val="00D22758"/>
    <w:rsid w:val="00D2293D"/>
    <w:rsid w:val="00D237A7"/>
    <w:rsid w:val="00D24047"/>
    <w:rsid w:val="00D240A7"/>
    <w:rsid w:val="00D24244"/>
    <w:rsid w:val="00D24662"/>
    <w:rsid w:val="00D2473B"/>
    <w:rsid w:val="00D24851"/>
    <w:rsid w:val="00D24B9F"/>
    <w:rsid w:val="00D24DFE"/>
    <w:rsid w:val="00D2518D"/>
    <w:rsid w:val="00D25565"/>
    <w:rsid w:val="00D25D15"/>
    <w:rsid w:val="00D26B53"/>
    <w:rsid w:val="00D27183"/>
    <w:rsid w:val="00D2765B"/>
    <w:rsid w:val="00D27B8D"/>
    <w:rsid w:val="00D300EE"/>
    <w:rsid w:val="00D3027C"/>
    <w:rsid w:val="00D3083F"/>
    <w:rsid w:val="00D30890"/>
    <w:rsid w:val="00D312E7"/>
    <w:rsid w:val="00D31448"/>
    <w:rsid w:val="00D3162D"/>
    <w:rsid w:val="00D31A1E"/>
    <w:rsid w:val="00D31BD4"/>
    <w:rsid w:val="00D31E5B"/>
    <w:rsid w:val="00D323A7"/>
    <w:rsid w:val="00D324EA"/>
    <w:rsid w:val="00D32FF0"/>
    <w:rsid w:val="00D33303"/>
    <w:rsid w:val="00D33580"/>
    <w:rsid w:val="00D33A63"/>
    <w:rsid w:val="00D33B86"/>
    <w:rsid w:val="00D3489A"/>
    <w:rsid w:val="00D34C6B"/>
    <w:rsid w:val="00D350F1"/>
    <w:rsid w:val="00D35BB6"/>
    <w:rsid w:val="00D35D0D"/>
    <w:rsid w:val="00D3644A"/>
    <w:rsid w:val="00D366C6"/>
    <w:rsid w:val="00D36781"/>
    <w:rsid w:val="00D368AF"/>
    <w:rsid w:val="00D376BB"/>
    <w:rsid w:val="00D37722"/>
    <w:rsid w:val="00D3791F"/>
    <w:rsid w:val="00D4041F"/>
    <w:rsid w:val="00D4048F"/>
    <w:rsid w:val="00D419D9"/>
    <w:rsid w:val="00D41C4C"/>
    <w:rsid w:val="00D41E04"/>
    <w:rsid w:val="00D426C0"/>
    <w:rsid w:val="00D427BD"/>
    <w:rsid w:val="00D42DB2"/>
    <w:rsid w:val="00D42EA4"/>
    <w:rsid w:val="00D430C2"/>
    <w:rsid w:val="00D43273"/>
    <w:rsid w:val="00D433A9"/>
    <w:rsid w:val="00D436D7"/>
    <w:rsid w:val="00D439EE"/>
    <w:rsid w:val="00D4432A"/>
    <w:rsid w:val="00D44CD7"/>
    <w:rsid w:val="00D44DD9"/>
    <w:rsid w:val="00D44F3F"/>
    <w:rsid w:val="00D44F66"/>
    <w:rsid w:val="00D45142"/>
    <w:rsid w:val="00D4567A"/>
    <w:rsid w:val="00D4587C"/>
    <w:rsid w:val="00D45950"/>
    <w:rsid w:val="00D45BD0"/>
    <w:rsid w:val="00D45C71"/>
    <w:rsid w:val="00D45CD6"/>
    <w:rsid w:val="00D45DB4"/>
    <w:rsid w:val="00D45DEA"/>
    <w:rsid w:val="00D4642D"/>
    <w:rsid w:val="00D4643E"/>
    <w:rsid w:val="00D4680B"/>
    <w:rsid w:val="00D46D36"/>
    <w:rsid w:val="00D46FE0"/>
    <w:rsid w:val="00D470F7"/>
    <w:rsid w:val="00D47150"/>
    <w:rsid w:val="00D47170"/>
    <w:rsid w:val="00D50108"/>
    <w:rsid w:val="00D5024C"/>
    <w:rsid w:val="00D502EF"/>
    <w:rsid w:val="00D50316"/>
    <w:rsid w:val="00D50416"/>
    <w:rsid w:val="00D506F3"/>
    <w:rsid w:val="00D510A8"/>
    <w:rsid w:val="00D51CA4"/>
    <w:rsid w:val="00D51CB1"/>
    <w:rsid w:val="00D51D56"/>
    <w:rsid w:val="00D51D5E"/>
    <w:rsid w:val="00D51F3E"/>
    <w:rsid w:val="00D5287D"/>
    <w:rsid w:val="00D52A42"/>
    <w:rsid w:val="00D53060"/>
    <w:rsid w:val="00D53261"/>
    <w:rsid w:val="00D53952"/>
    <w:rsid w:val="00D53A21"/>
    <w:rsid w:val="00D54227"/>
    <w:rsid w:val="00D54234"/>
    <w:rsid w:val="00D54315"/>
    <w:rsid w:val="00D54416"/>
    <w:rsid w:val="00D54741"/>
    <w:rsid w:val="00D54CCE"/>
    <w:rsid w:val="00D558D6"/>
    <w:rsid w:val="00D559C4"/>
    <w:rsid w:val="00D55A5F"/>
    <w:rsid w:val="00D55D71"/>
    <w:rsid w:val="00D55F06"/>
    <w:rsid w:val="00D56415"/>
    <w:rsid w:val="00D56812"/>
    <w:rsid w:val="00D56AD7"/>
    <w:rsid w:val="00D5715B"/>
    <w:rsid w:val="00D57597"/>
    <w:rsid w:val="00D577AA"/>
    <w:rsid w:val="00D57925"/>
    <w:rsid w:val="00D57C2B"/>
    <w:rsid w:val="00D57DA8"/>
    <w:rsid w:val="00D600AF"/>
    <w:rsid w:val="00D603A9"/>
    <w:rsid w:val="00D6056F"/>
    <w:rsid w:val="00D60907"/>
    <w:rsid w:val="00D609E6"/>
    <w:rsid w:val="00D6272C"/>
    <w:rsid w:val="00D62BEA"/>
    <w:rsid w:val="00D62C45"/>
    <w:rsid w:val="00D62FC1"/>
    <w:rsid w:val="00D634BE"/>
    <w:rsid w:val="00D63917"/>
    <w:rsid w:val="00D63953"/>
    <w:rsid w:val="00D63D8C"/>
    <w:rsid w:val="00D64A65"/>
    <w:rsid w:val="00D65868"/>
    <w:rsid w:val="00D6598D"/>
    <w:rsid w:val="00D65A7C"/>
    <w:rsid w:val="00D65C64"/>
    <w:rsid w:val="00D66D0D"/>
    <w:rsid w:val="00D670A5"/>
    <w:rsid w:val="00D67689"/>
    <w:rsid w:val="00D676F6"/>
    <w:rsid w:val="00D67A8D"/>
    <w:rsid w:val="00D70065"/>
    <w:rsid w:val="00D70359"/>
    <w:rsid w:val="00D7064B"/>
    <w:rsid w:val="00D7078E"/>
    <w:rsid w:val="00D70F14"/>
    <w:rsid w:val="00D70F3C"/>
    <w:rsid w:val="00D72A34"/>
    <w:rsid w:val="00D733C5"/>
    <w:rsid w:val="00D73775"/>
    <w:rsid w:val="00D744DD"/>
    <w:rsid w:val="00D7470A"/>
    <w:rsid w:val="00D74782"/>
    <w:rsid w:val="00D74981"/>
    <w:rsid w:val="00D74C88"/>
    <w:rsid w:val="00D74DE9"/>
    <w:rsid w:val="00D74FA6"/>
    <w:rsid w:val="00D758CA"/>
    <w:rsid w:val="00D7645A"/>
    <w:rsid w:val="00D76D2A"/>
    <w:rsid w:val="00D76DD0"/>
    <w:rsid w:val="00D77825"/>
    <w:rsid w:val="00D77A1F"/>
    <w:rsid w:val="00D77CBD"/>
    <w:rsid w:val="00D77F1A"/>
    <w:rsid w:val="00D77FC3"/>
    <w:rsid w:val="00D806A1"/>
    <w:rsid w:val="00D8098C"/>
    <w:rsid w:val="00D80C06"/>
    <w:rsid w:val="00D81504"/>
    <w:rsid w:val="00D816C6"/>
    <w:rsid w:val="00D81A35"/>
    <w:rsid w:val="00D81A8A"/>
    <w:rsid w:val="00D81ED1"/>
    <w:rsid w:val="00D82300"/>
    <w:rsid w:val="00D82467"/>
    <w:rsid w:val="00D8271B"/>
    <w:rsid w:val="00D82965"/>
    <w:rsid w:val="00D833D3"/>
    <w:rsid w:val="00D835AE"/>
    <w:rsid w:val="00D837B1"/>
    <w:rsid w:val="00D83A25"/>
    <w:rsid w:val="00D84040"/>
    <w:rsid w:val="00D8416E"/>
    <w:rsid w:val="00D84B1F"/>
    <w:rsid w:val="00D84D72"/>
    <w:rsid w:val="00D84E5D"/>
    <w:rsid w:val="00D852F2"/>
    <w:rsid w:val="00D85893"/>
    <w:rsid w:val="00D86001"/>
    <w:rsid w:val="00D8608F"/>
    <w:rsid w:val="00D860F0"/>
    <w:rsid w:val="00D8642E"/>
    <w:rsid w:val="00D869CC"/>
    <w:rsid w:val="00D86AD0"/>
    <w:rsid w:val="00D86D14"/>
    <w:rsid w:val="00D87017"/>
    <w:rsid w:val="00D87976"/>
    <w:rsid w:val="00D90782"/>
    <w:rsid w:val="00D90F67"/>
    <w:rsid w:val="00D91690"/>
    <w:rsid w:val="00D925A9"/>
    <w:rsid w:val="00D92B6D"/>
    <w:rsid w:val="00D93307"/>
    <w:rsid w:val="00D93432"/>
    <w:rsid w:val="00D9349D"/>
    <w:rsid w:val="00D9371F"/>
    <w:rsid w:val="00D93BA1"/>
    <w:rsid w:val="00D93F7E"/>
    <w:rsid w:val="00D942C9"/>
    <w:rsid w:val="00D94BCE"/>
    <w:rsid w:val="00D959D2"/>
    <w:rsid w:val="00D96246"/>
    <w:rsid w:val="00D96719"/>
    <w:rsid w:val="00D970C0"/>
    <w:rsid w:val="00D97423"/>
    <w:rsid w:val="00D97AF0"/>
    <w:rsid w:val="00D97D3F"/>
    <w:rsid w:val="00DA0579"/>
    <w:rsid w:val="00DA0BA4"/>
    <w:rsid w:val="00DA0F90"/>
    <w:rsid w:val="00DA112B"/>
    <w:rsid w:val="00DA12B4"/>
    <w:rsid w:val="00DA1342"/>
    <w:rsid w:val="00DA1D48"/>
    <w:rsid w:val="00DA1EB1"/>
    <w:rsid w:val="00DA208F"/>
    <w:rsid w:val="00DA22B9"/>
    <w:rsid w:val="00DA27D5"/>
    <w:rsid w:val="00DA2857"/>
    <w:rsid w:val="00DA305A"/>
    <w:rsid w:val="00DA3334"/>
    <w:rsid w:val="00DA36A0"/>
    <w:rsid w:val="00DA37DC"/>
    <w:rsid w:val="00DA3B92"/>
    <w:rsid w:val="00DA4188"/>
    <w:rsid w:val="00DA428E"/>
    <w:rsid w:val="00DA42DE"/>
    <w:rsid w:val="00DA47CC"/>
    <w:rsid w:val="00DA49FD"/>
    <w:rsid w:val="00DA4A21"/>
    <w:rsid w:val="00DA4F17"/>
    <w:rsid w:val="00DA5515"/>
    <w:rsid w:val="00DA5BFF"/>
    <w:rsid w:val="00DA6393"/>
    <w:rsid w:val="00DA64F0"/>
    <w:rsid w:val="00DA669A"/>
    <w:rsid w:val="00DA6CD0"/>
    <w:rsid w:val="00DA6DFA"/>
    <w:rsid w:val="00DA7E34"/>
    <w:rsid w:val="00DA7F3D"/>
    <w:rsid w:val="00DB076B"/>
    <w:rsid w:val="00DB0E82"/>
    <w:rsid w:val="00DB167E"/>
    <w:rsid w:val="00DB197E"/>
    <w:rsid w:val="00DB1A8A"/>
    <w:rsid w:val="00DB1C8E"/>
    <w:rsid w:val="00DB1CF6"/>
    <w:rsid w:val="00DB1E68"/>
    <w:rsid w:val="00DB26BE"/>
    <w:rsid w:val="00DB2BE5"/>
    <w:rsid w:val="00DB2CA8"/>
    <w:rsid w:val="00DB2E6F"/>
    <w:rsid w:val="00DB305B"/>
    <w:rsid w:val="00DB3251"/>
    <w:rsid w:val="00DB358C"/>
    <w:rsid w:val="00DB3675"/>
    <w:rsid w:val="00DB3928"/>
    <w:rsid w:val="00DB3CC6"/>
    <w:rsid w:val="00DB3DAE"/>
    <w:rsid w:val="00DB3F27"/>
    <w:rsid w:val="00DB4BCF"/>
    <w:rsid w:val="00DB4DD4"/>
    <w:rsid w:val="00DB5159"/>
    <w:rsid w:val="00DB5781"/>
    <w:rsid w:val="00DB57E4"/>
    <w:rsid w:val="00DB587E"/>
    <w:rsid w:val="00DB5D47"/>
    <w:rsid w:val="00DB5DD1"/>
    <w:rsid w:val="00DB5E05"/>
    <w:rsid w:val="00DB60F3"/>
    <w:rsid w:val="00DB6290"/>
    <w:rsid w:val="00DB65CF"/>
    <w:rsid w:val="00DB66F5"/>
    <w:rsid w:val="00DB6D9A"/>
    <w:rsid w:val="00DB6F66"/>
    <w:rsid w:val="00DB770A"/>
    <w:rsid w:val="00DB7F0F"/>
    <w:rsid w:val="00DC0028"/>
    <w:rsid w:val="00DC042B"/>
    <w:rsid w:val="00DC04A4"/>
    <w:rsid w:val="00DC05B9"/>
    <w:rsid w:val="00DC0C5D"/>
    <w:rsid w:val="00DC0DF7"/>
    <w:rsid w:val="00DC0EFA"/>
    <w:rsid w:val="00DC10C6"/>
    <w:rsid w:val="00DC14A4"/>
    <w:rsid w:val="00DC1503"/>
    <w:rsid w:val="00DC165B"/>
    <w:rsid w:val="00DC226A"/>
    <w:rsid w:val="00DC2967"/>
    <w:rsid w:val="00DC2D7D"/>
    <w:rsid w:val="00DC2E0D"/>
    <w:rsid w:val="00DC2E47"/>
    <w:rsid w:val="00DC2E8A"/>
    <w:rsid w:val="00DC300D"/>
    <w:rsid w:val="00DC33BC"/>
    <w:rsid w:val="00DC36D5"/>
    <w:rsid w:val="00DC3FBA"/>
    <w:rsid w:val="00DC412E"/>
    <w:rsid w:val="00DC43AD"/>
    <w:rsid w:val="00DC4F2F"/>
    <w:rsid w:val="00DC5372"/>
    <w:rsid w:val="00DC551C"/>
    <w:rsid w:val="00DC57BB"/>
    <w:rsid w:val="00DC6316"/>
    <w:rsid w:val="00DC672A"/>
    <w:rsid w:val="00DC68F9"/>
    <w:rsid w:val="00DC6A52"/>
    <w:rsid w:val="00DC6A83"/>
    <w:rsid w:val="00DC6B2F"/>
    <w:rsid w:val="00DC6C10"/>
    <w:rsid w:val="00DC6D50"/>
    <w:rsid w:val="00DC77E0"/>
    <w:rsid w:val="00DC7839"/>
    <w:rsid w:val="00DC7841"/>
    <w:rsid w:val="00DD015C"/>
    <w:rsid w:val="00DD07D0"/>
    <w:rsid w:val="00DD0D87"/>
    <w:rsid w:val="00DD116B"/>
    <w:rsid w:val="00DD1DB1"/>
    <w:rsid w:val="00DD20F0"/>
    <w:rsid w:val="00DD21C9"/>
    <w:rsid w:val="00DD25EF"/>
    <w:rsid w:val="00DD272B"/>
    <w:rsid w:val="00DD2D1F"/>
    <w:rsid w:val="00DD3DB6"/>
    <w:rsid w:val="00DD41AA"/>
    <w:rsid w:val="00DD41E7"/>
    <w:rsid w:val="00DD4A50"/>
    <w:rsid w:val="00DD4B81"/>
    <w:rsid w:val="00DD4B8C"/>
    <w:rsid w:val="00DD4C7F"/>
    <w:rsid w:val="00DD54FC"/>
    <w:rsid w:val="00DD5DDE"/>
    <w:rsid w:val="00DD5FE3"/>
    <w:rsid w:val="00DD6177"/>
    <w:rsid w:val="00DD61E3"/>
    <w:rsid w:val="00DD6D84"/>
    <w:rsid w:val="00DD7048"/>
    <w:rsid w:val="00DD72CA"/>
    <w:rsid w:val="00DD7572"/>
    <w:rsid w:val="00DD78A1"/>
    <w:rsid w:val="00DD7C7B"/>
    <w:rsid w:val="00DD7D47"/>
    <w:rsid w:val="00DE0554"/>
    <w:rsid w:val="00DE09AC"/>
    <w:rsid w:val="00DE0C53"/>
    <w:rsid w:val="00DE1019"/>
    <w:rsid w:val="00DE16BC"/>
    <w:rsid w:val="00DE17A6"/>
    <w:rsid w:val="00DE1FE6"/>
    <w:rsid w:val="00DE2BEF"/>
    <w:rsid w:val="00DE2C15"/>
    <w:rsid w:val="00DE3157"/>
    <w:rsid w:val="00DE3174"/>
    <w:rsid w:val="00DE320E"/>
    <w:rsid w:val="00DE3305"/>
    <w:rsid w:val="00DE337F"/>
    <w:rsid w:val="00DE33A9"/>
    <w:rsid w:val="00DE3450"/>
    <w:rsid w:val="00DE3A2B"/>
    <w:rsid w:val="00DE3DD6"/>
    <w:rsid w:val="00DE419B"/>
    <w:rsid w:val="00DE4631"/>
    <w:rsid w:val="00DE4642"/>
    <w:rsid w:val="00DE4B10"/>
    <w:rsid w:val="00DE502C"/>
    <w:rsid w:val="00DE598D"/>
    <w:rsid w:val="00DE5B07"/>
    <w:rsid w:val="00DE5DF2"/>
    <w:rsid w:val="00DE5F5B"/>
    <w:rsid w:val="00DE6488"/>
    <w:rsid w:val="00DE6EF7"/>
    <w:rsid w:val="00DE6F8A"/>
    <w:rsid w:val="00DE7215"/>
    <w:rsid w:val="00DE750B"/>
    <w:rsid w:val="00DE763F"/>
    <w:rsid w:val="00DE795A"/>
    <w:rsid w:val="00DE7B00"/>
    <w:rsid w:val="00DE7C2A"/>
    <w:rsid w:val="00DE7ED4"/>
    <w:rsid w:val="00DE7F57"/>
    <w:rsid w:val="00DF01E3"/>
    <w:rsid w:val="00DF023B"/>
    <w:rsid w:val="00DF02D9"/>
    <w:rsid w:val="00DF099F"/>
    <w:rsid w:val="00DF0A3D"/>
    <w:rsid w:val="00DF0DF8"/>
    <w:rsid w:val="00DF10DD"/>
    <w:rsid w:val="00DF1361"/>
    <w:rsid w:val="00DF1375"/>
    <w:rsid w:val="00DF17F5"/>
    <w:rsid w:val="00DF244F"/>
    <w:rsid w:val="00DF248B"/>
    <w:rsid w:val="00DF2B38"/>
    <w:rsid w:val="00DF360D"/>
    <w:rsid w:val="00DF4504"/>
    <w:rsid w:val="00DF4602"/>
    <w:rsid w:val="00DF486F"/>
    <w:rsid w:val="00DF4E45"/>
    <w:rsid w:val="00DF5BB8"/>
    <w:rsid w:val="00DF5C23"/>
    <w:rsid w:val="00DF5CAA"/>
    <w:rsid w:val="00DF65A4"/>
    <w:rsid w:val="00DF6658"/>
    <w:rsid w:val="00DF69E8"/>
    <w:rsid w:val="00DF6B23"/>
    <w:rsid w:val="00DF6F77"/>
    <w:rsid w:val="00DF7207"/>
    <w:rsid w:val="00DF7693"/>
    <w:rsid w:val="00DF7BC9"/>
    <w:rsid w:val="00E00577"/>
    <w:rsid w:val="00E00BA0"/>
    <w:rsid w:val="00E00BC4"/>
    <w:rsid w:val="00E00CB6"/>
    <w:rsid w:val="00E017A0"/>
    <w:rsid w:val="00E018CE"/>
    <w:rsid w:val="00E026A5"/>
    <w:rsid w:val="00E028F8"/>
    <w:rsid w:val="00E02BDE"/>
    <w:rsid w:val="00E02ED0"/>
    <w:rsid w:val="00E037DE"/>
    <w:rsid w:val="00E0397C"/>
    <w:rsid w:val="00E03A4C"/>
    <w:rsid w:val="00E03A94"/>
    <w:rsid w:val="00E040B6"/>
    <w:rsid w:val="00E041E5"/>
    <w:rsid w:val="00E04890"/>
    <w:rsid w:val="00E049DE"/>
    <w:rsid w:val="00E0550A"/>
    <w:rsid w:val="00E05696"/>
    <w:rsid w:val="00E0595C"/>
    <w:rsid w:val="00E05AE5"/>
    <w:rsid w:val="00E05D29"/>
    <w:rsid w:val="00E05F30"/>
    <w:rsid w:val="00E0607B"/>
    <w:rsid w:val="00E0614F"/>
    <w:rsid w:val="00E0628B"/>
    <w:rsid w:val="00E06AF7"/>
    <w:rsid w:val="00E06C8E"/>
    <w:rsid w:val="00E07689"/>
    <w:rsid w:val="00E079ED"/>
    <w:rsid w:val="00E07A90"/>
    <w:rsid w:val="00E07F76"/>
    <w:rsid w:val="00E11B1E"/>
    <w:rsid w:val="00E11D44"/>
    <w:rsid w:val="00E11E45"/>
    <w:rsid w:val="00E120A4"/>
    <w:rsid w:val="00E1210B"/>
    <w:rsid w:val="00E12200"/>
    <w:rsid w:val="00E1257B"/>
    <w:rsid w:val="00E12929"/>
    <w:rsid w:val="00E12BCD"/>
    <w:rsid w:val="00E132E6"/>
    <w:rsid w:val="00E13906"/>
    <w:rsid w:val="00E13DD9"/>
    <w:rsid w:val="00E1405D"/>
    <w:rsid w:val="00E14153"/>
    <w:rsid w:val="00E14D34"/>
    <w:rsid w:val="00E153DD"/>
    <w:rsid w:val="00E1558B"/>
    <w:rsid w:val="00E15856"/>
    <w:rsid w:val="00E15ADF"/>
    <w:rsid w:val="00E16530"/>
    <w:rsid w:val="00E1666A"/>
    <w:rsid w:val="00E1697B"/>
    <w:rsid w:val="00E2090A"/>
    <w:rsid w:val="00E20C64"/>
    <w:rsid w:val="00E21045"/>
    <w:rsid w:val="00E21138"/>
    <w:rsid w:val="00E21883"/>
    <w:rsid w:val="00E22463"/>
    <w:rsid w:val="00E22C03"/>
    <w:rsid w:val="00E235B4"/>
    <w:rsid w:val="00E23A5B"/>
    <w:rsid w:val="00E23B2F"/>
    <w:rsid w:val="00E23DD9"/>
    <w:rsid w:val="00E2413C"/>
    <w:rsid w:val="00E2470D"/>
    <w:rsid w:val="00E24726"/>
    <w:rsid w:val="00E24AE5"/>
    <w:rsid w:val="00E24F26"/>
    <w:rsid w:val="00E258D1"/>
    <w:rsid w:val="00E25A26"/>
    <w:rsid w:val="00E25E3D"/>
    <w:rsid w:val="00E25F39"/>
    <w:rsid w:val="00E26285"/>
    <w:rsid w:val="00E26431"/>
    <w:rsid w:val="00E267A6"/>
    <w:rsid w:val="00E273FA"/>
    <w:rsid w:val="00E27B79"/>
    <w:rsid w:val="00E308F8"/>
    <w:rsid w:val="00E3192F"/>
    <w:rsid w:val="00E32410"/>
    <w:rsid w:val="00E327B9"/>
    <w:rsid w:val="00E32C6C"/>
    <w:rsid w:val="00E3321B"/>
    <w:rsid w:val="00E33506"/>
    <w:rsid w:val="00E33726"/>
    <w:rsid w:val="00E34CF0"/>
    <w:rsid w:val="00E35519"/>
    <w:rsid w:val="00E35C92"/>
    <w:rsid w:val="00E35F16"/>
    <w:rsid w:val="00E35FD4"/>
    <w:rsid w:val="00E36088"/>
    <w:rsid w:val="00E36418"/>
    <w:rsid w:val="00E36DF1"/>
    <w:rsid w:val="00E37087"/>
    <w:rsid w:val="00E3773B"/>
    <w:rsid w:val="00E37B59"/>
    <w:rsid w:val="00E37E7F"/>
    <w:rsid w:val="00E4021D"/>
    <w:rsid w:val="00E4096C"/>
    <w:rsid w:val="00E40BD5"/>
    <w:rsid w:val="00E40D9D"/>
    <w:rsid w:val="00E40FFA"/>
    <w:rsid w:val="00E413CB"/>
    <w:rsid w:val="00E414AE"/>
    <w:rsid w:val="00E41990"/>
    <w:rsid w:val="00E41DB3"/>
    <w:rsid w:val="00E42244"/>
    <w:rsid w:val="00E423D5"/>
    <w:rsid w:val="00E425ED"/>
    <w:rsid w:val="00E429D4"/>
    <w:rsid w:val="00E439C8"/>
    <w:rsid w:val="00E43A96"/>
    <w:rsid w:val="00E43BA0"/>
    <w:rsid w:val="00E43F1A"/>
    <w:rsid w:val="00E43FAD"/>
    <w:rsid w:val="00E43FF5"/>
    <w:rsid w:val="00E440C8"/>
    <w:rsid w:val="00E44E85"/>
    <w:rsid w:val="00E44FE7"/>
    <w:rsid w:val="00E454A0"/>
    <w:rsid w:val="00E4586C"/>
    <w:rsid w:val="00E4657B"/>
    <w:rsid w:val="00E4768A"/>
    <w:rsid w:val="00E5017E"/>
    <w:rsid w:val="00E501A4"/>
    <w:rsid w:val="00E505D7"/>
    <w:rsid w:val="00E50993"/>
    <w:rsid w:val="00E51B3E"/>
    <w:rsid w:val="00E51C48"/>
    <w:rsid w:val="00E51E28"/>
    <w:rsid w:val="00E52683"/>
    <w:rsid w:val="00E52883"/>
    <w:rsid w:val="00E529C1"/>
    <w:rsid w:val="00E5307E"/>
    <w:rsid w:val="00E535AF"/>
    <w:rsid w:val="00E536B9"/>
    <w:rsid w:val="00E53B9F"/>
    <w:rsid w:val="00E53D10"/>
    <w:rsid w:val="00E53E81"/>
    <w:rsid w:val="00E544C4"/>
    <w:rsid w:val="00E54A3C"/>
    <w:rsid w:val="00E54E43"/>
    <w:rsid w:val="00E55068"/>
    <w:rsid w:val="00E555AA"/>
    <w:rsid w:val="00E55B3F"/>
    <w:rsid w:val="00E55CBC"/>
    <w:rsid w:val="00E5623E"/>
    <w:rsid w:val="00E56297"/>
    <w:rsid w:val="00E562E9"/>
    <w:rsid w:val="00E5655F"/>
    <w:rsid w:val="00E56A83"/>
    <w:rsid w:val="00E56F9E"/>
    <w:rsid w:val="00E57CB6"/>
    <w:rsid w:val="00E57FC9"/>
    <w:rsid w:val="00E6086E"/>
    <w:rsid w:val="00E6087D"/>
    <w:rsid w:val="00E60AF5"/>
    <w:rsid w:val="00E611A6"/>
    <w:rsid w:val="00E6126D"/>
    <w:rsid w:val="00E6149A"/>
    <w:rsid w:val="00E621A6"/>
    <w:rsid w:val="00E623C7"/>
    <w:rsid w:val="00E62838"/>
    <w:rsid w:val="00E62B0A"/>
    <w:rsid w:val="00E6320C"/>
    <w:rsid w:val="00E63495"/>
    <w:rsid w:val="00E6398E"/>
    <w:rsid w:val="00E6399A"/>
    <w:rsid w:val="00E63B08"/>
    <w:rsid w:val="00E63B78"/>
    <w:rsid w:val="00E6433E"/>
    <w:rsid w:val="00E645F3"/>
    <w:rsid w:val="00E64604"/>
    <w:rsid w:val="00E64618"/>
    <w:rsid w:val="00E64873"/>
    <w:rsid w:val="00E64989"/>
    <w:rsid w:val="00E64EDB"/>
    <w:rsid w:val="00E650DD"/>
    <w:rsid w:val="00E65183"/>
    <w:rsid w:val="00E65646"/>
    <w:rsid w:val="00E6586A"/>
    <w:rsid w:val="00E65C4A"/>
    <w:rsid w:val="00E65CDA"/>
    <w:rsid w:val="00E65EE0"/>
    <w:rsid w:val="00E661A9"/>
    <w:rsid w:val="00E6656A"/>
    <w:rsid w:val="00E669EE"/>
    <w:rsid w:val="00E66BF9"/>
    <w:rsid w:val="00E66CBA"/>
    <w:rsid w:val="00E67570"/>
    <w:rsid w:val="00E67676"/>
    <w:rsid w:val="00E67689"/>
    <w:rsid w:val="00E6786D"/>
    <w:rsid w:val="00E67BF7"/>
    <w:rsid w:val="00E67D89"/>
    <w:rsid w:val="00E703FC"/>
    <w:rsid w:val="00E70AA0"/>
    <w:rsid w:val="00E70F43"/>
    <w:rsid w:val="00E71329"/>
    <w:rsid w:val="00E71A05"/>
    <w:rsid w:val="00E724F0"/>
    <w:rsid w:val="00E72531"/>
    <w:rsid w:val="00E7260E"/>
    <w:rsid w:val="00E72A79"/>
    <w:rsid w:val="00E72FC9"/>
    <w:rsid w:val="00E73353"/>
    <w:rsid w:val="00E73597"/>
    <w:rsid w:val="00E73CD0"/>
    <w:rsid w:val="00E73DF5"/>
    <w:rsid w:val="00E744ED"/>
    <w:rsid w:val="00E746D8"/>
    <w:rsid w:val="00E74BAE"/>
    <w:rsid w:val="00E74BED"/>
    <w:rsid w:val="00E75063"/>
    <w:rsid w:val="00E751E1"/>
    <w:rsid w:val="00E752C4"/>
    <w:rsid w:val="00E75433"/>
    <w:rsid w:val="00E75D98"/>
    <w:rsid w:val="00E76573"/>
    <w:rsid w:val="00E768DE"/>
    <w:rsid w:val="00E769A0"/>
    <w:rsid w:val="00E76C27"/>
    <w:rsid w:val="00E77822"/>
    <w:rsid w:val="00E77C62"/>
    <w:rsid w:val="00E77DEE"/>
    <w:rsid w:val="00E77E56"/>
    <w:rsid w:val="00E77E7B"/>
    <w:rsid w:val="00E800F1"/>
    <w:rsid w:val="00E80153"/>
    <w:rsid w:val="00E80610"/>
    <w:rsid w:val="00E815D0"/>
    <w:rsid w:val="00E816EE"/>
    <w:rsid w:val="00E82945"/>
    <w:rsid w:val="00E831FE"/>
    <w:rsid w:val="00E83319"/>
    <w:rsid w:val="00E8367A"/>
    <w:rsid w:val="00E83C96"/>
    <w:rsid w:val="00E83CA2"/>
    <w:rsid w:val="00E84297"/>
    <w:rsid w:val="00E8480D"/>
    <w:rsid w:val="00E8504F"/>
    <w:rsid w:val="00E85389"/>
    <w:rsid w:val="00E85931"/>
    <w:rsid w:val="00E85B8E"/>
    <w:rsid w:val="00E85FD5"/>
    <w:rsid w:val="00E860B2"/>
    <w:rsid w:val="00E860EB"/>
    <w:rsid w:val="00E86581"/>
    <w:rsid w:val="00E865A6"/>
    <w:rsid w:val="00E86944"/>
    <w:rsid w:val="00E86EB0"/>
    <w:rsid w:val="00E86FED"/>
    <w:rsid w:val="00E87032"/>
    <w:rsid w:val="00E8709E"/>
    <w:rsid w:val="00E870EB"/>
    <w:rsid w:val="00E87279"/>
    <w:rsid w:val="00E8733B"/>
    <w:rsid w:val="00E87874"/>
    <w:rsid w:val="00E902CA"/>
    <w:rsid w:val="00E905F5"/>
    <w:rsid w:val="00E90677"/>
    <w:rsid w:val="00E90792"/>
    <w:rsid w:val="00E9093E"/>
    <w:rsid w:val="00E90BB8"/>
    <w:rsid w:val="00E90D92"/>
    <w:rsid w:val="00E910A0"/>
    <w:rsid w:val="00E91106"/>
    <w:rsid w:val="00E913BD"/>
    <w:rsid w:val="00E92014"/>
    <w:rsid w:val="00E92575"/>
    <w:rsid w:val="00E92680"/>
    <w:rsid w:val="00E929FB"/>
    <w:rsid w:val="00E92E80"/>
    <w:rsid w:val="00E93E10"/>
    <w:rsid w:val="00E94099"/>
    <w:rsid w:val="00E94B1F"/>
    <w:rsid w:val="00E94F9E"/>
    <w:rsid w:val="00E95C66"/>
    <w:rsid w:val="00E96433"/>
    <w:rsid w:val="00E96E26"/>
    <w:rsid w:val="00E9772F"/>
    <w:rsid w:val="00EA00D2"/>
    <w:rsid w:val="00EA0734"/>
    <w:rsid w:val="00EA0B55"/>
    <w:rsid w:val="00EA0CBA"/>
    <w:rsid w:val="00EA0CDA"/>
    <w:rsid w:val="00EA14B7"/>
    <w:rsid w:val="00EA16DB"/>
    <w:rsid w:val="00EA186F"/>
    <w:rsid w:val="00EA18AA"/>
    <w:rsid w:val="00EA1AD7"/>
    <w:rsid w:val="00EA1DF4"/>
    <w:rsid w:val="00EA2162"/>
    <w:rsid w:val="00EA218E"/>
    <w:rsid w:val="00EA226C"/>
    <w:rsid w:val="00EA22DB"/>
    <w:rsid w:val="00EA31A7"/>
    <w:rsid w:val="00EA31AB"/>
    <w:rsid w:val="00EA36D5"/>
    <w:rsid w:val="00EA36DE"/>
    <w:rsid w:val="00EA37CD"/>
    <w:rsid w:val="00EA3D0F"/>
    <w:rsid w:val="00EA3DE3"/>
    <w:rsid w:val="00EA5217"/>
    <w:rsid w:val="00EA5EAC"/>
    <w:rsid w:val="00EA5FC6"/>
    <w:rsid w:val="00EA67F5"/>
    <w:rsid w:val="00EA6E4B"/>
    <w:rsid w:val="00EA7314"/>
    <w:rsid w:val="00EA73BD"/>
    <w:rsid w:val="00EA73DE"/>
    <w:rsid w:val="00EA7725"/>
    <w:rsid w:val="00EA7FDE"/>
    <w:rsid w:val="00EB01C6"/>
    <w:rsid w:val="00EB0868"/>
    <w:rsid w:val="00EB0CA5"/>
    <w:rsid w:val="00EB1B3A"/>
    <w:rsid w:val="00EB26D2"/>
    <w:rsid w:val="00EB2754"/>
    <w:rsid w:val="00EB277A"/>
    <w:rsid w:val="00EB2B70"/>
    <w:rsid w:val="00EB2D51"/>
    <w:rsid w:val="00EB3436"/>
    <w:rsid w:val="00EB34C7"/>
    <w:rsid w:val="00EB3B0B"/>
    <w:rsid w:val="00EB402F"/>
    <w:rsid w:val="00EB4464"/>
    <w:rsid w:val="00EB45D8"/>
    <w:rsid w:val="00EB4CA3"/>
    <w:rsid w:val="00EB4CB3"/>
    <w:rsid w:val="00EB50B6"/>
    <w:rsid w:val="00EB55F0"/>
    <w:rsid w:val="00EB59FA"/>
    <w:rsid w:val="00EB6172"/>
    <w:rsid w:val="00EB6C72"/>
    <w:rsid w:val="00EB6CE7"/>
    <w:rsid w:val="00EB6E25"/>
    <w:rsid w:val="00EB74B8"/>
    <w:rsid w:val="00EB7718"/>
    <w:rsid w:val="00EB7913"/>
    <w:rsid w:val="00EB7A37"/>
    <w:rsid w:val="00EC01EB"/>
    <w:rsid w:val="00EC0582"/>
    <w:rsid w:val="00EC0621"/>
    <w:rsid w:val="00EC098C"/>
    <w:rsid w:val="00EC0C32"/>
    <w:rsid w:val="00EC1849"/>
    <w:rsid w:val="00EC1F77"/>
    <w:rsid w:val="00EC2243"/>
    <w:rsid w:val="00EC26C4"/>
    <w:rsid w:val="00EC2732"/>
    <w:rsid w:val="00EC277C"/>
    <w:rsid w:val="00EC2D3C"/>
    <w:rsid w:val="00EC2F54"/>
    <w:rsid w:val="00EC40C2"/>
    <w:rsid w:val="00EC440A"/>
    <w:rsid w:val="00EC4A8C"/>
    <w:rsid w:val="00EC5725"/>
    <w:rsid w:val="00EC6990"/>
    <w:rsid w:val="00EC69FE"/>
    <w:rsid w:val="00EC6AF5"/>
    <w:rsid w:val="00EC6C38"/>
    <w:rsid w:val="00EC6D3C"/>
    <w:rsid w:val="00EC6D9D"/>
    <w:rsid w:val="00EC6DE5"/>
    <w:rsid w:val="00EC6EC6"/>
    <w:rsid w:val="00EC7264"/>
    <w:rsid w:val="00EC7371"/>
    <w:rsid w:val="00EC7519"/>
    <w:rsid w:val="00EC792C"/>
    <w:rsid w:val="00EC7968"/>
    <w:rsid w:val="00EC7A91"/>
    <w:rsid w:val="00EC7DD5"/>
    <w:rsid w:val="00ED013B"/>
    <w:rsid w:val="00ED01B0"/>
    <w:rsid w:val="00ED04C5"/>
    <w:rsid w:val="00ED053C"/>
    <w:rsid w:val="00ED0754"/>
    <w:rsid w:val="00ED0ACF"/>
    <w:rsid w:val="00ED0BB1"/>
    <w:rsid w:val="00ED1345"/>
    <w:rsid w:val="00ED1374"/>
    <w:rsid w:val="00ED1390"/>
    <w:rsid w:val="00ED1952"/>
    <w:rsid w:val="00ED1F51"/>
    <w:rsid w:val="00ED2090"/>
    <w:rsid w:val="00ED2F79"/>
    <w:rsid w:val="00ED2FB4"/>
    <w:rsid w:val="00ED358E"/>
    <w:rsid w:val="00ED37EB"/>
    <w:rsid w:val="00ED39A2"/>
    <w:rsid w:val="00ED3DCA"/>
    <w:rsid w:val="00ED3DE4"/>
    <w:rsid w:val="00ED4459"/>
    <w:rsid w:val="00ED45CB"/>
    <w:rsid w:val="00ED551A"/>
    <w:rsid w:val="00ED5B95"/>
    <w:rsid w:val="00ED5BB9"/>
    <w:rsid w:val="00ED5F21"/>
    <w:rsid w:val="00ED62AF"/>
    <w:rsid w:val="00ED6391"/>
    <w:rsid w:val="00ED6640"/>
    <w:rsid w:val="00ED67FC"/>
    <w:rsid w:val="00ED6882"/>
    <w:rsid w:val="00ED69B1"/>
    <w:rsid w:val="00ED6A46"/>
    <w:rsid w:val="00ED6EF2"/>
    <w:rsid w:val="00ED7548"/>
    <w:rsid w:val="00ED7DFF"/>
    <w:rsid w:val="00ED7FC8"/>
    <w:rsid w:val="00EE0287"/>
    <w:rsid w:val="00EE09C0"/>
    <w:rsid w:val="00EE0A1A"/>
    <w:rsid w:val="00EE0E1C"/>
    <w:rsid w:val="00EE1F61"/>
    <w:rsid w:val="00EE20F2"/>
    <w:rsid w:val="00EE25BA"/>
    <w:rsid w:val="00EE2967"/>
    <w:rsid w:val="00EE2BBA"/>
    <w:rsid w:val="00EE2E7B"/>
    <w:rsid w:val="00EE34CE"/>
    <w:rsid w:val="00EE3562"/>
    <w:rsid w:val="00EE3BCD"/>
    <w:rsid w:val="00EE40FC"/>
    <w:rsid w:val="00EE420F"/>
    <w:rsid w:val="00EE4798"/>
    <w:rsid w:val="00EE47CA"/>
    <w:rsid w:val="00EE50D1"/>
    <w:rsid w:val="00EE56E8"/>
    <w:rsid w:val="00EE5701"/>
    <w:rsid w:val="00EE5D87"/>
    <w:rsid w:val="00EE5DF4"/>
    <w:rsid w:val="00EE5EAF"/>
    <w:rsid w:val="00EE5F2E"/>
    <w:rsid w:val="00EE6000"/>
    <w:rsid w:val="00EE6029"/>
    <w:rsid w:val="00EE655B"/>
    <w:rsid w:val="00EE6C52"/>
    <w:rsid w:val="00EE6DB8"/>
    <w:rsid w:val="00EE73AD"/>
    <w:rsid w:val="00EE770E"/>
    <w:rsid w:val="00EE780E"/>
    <w:rsid w:val="00EE78E6"/>
    <w:rsid w:val="00EE7C7D"/>
    <w:rsid w:val="00EE7DFE"/>
    <w:rsid w:val="00EE7E9F"/>
    <w:rsid w:val="00EF016F"/>
    <w:rsid w:val="00EF0AD5"/>
    <w:rsid w:val="00EF0C63"/>
    <w:rsid w:val="00EF198C"/>
    <w:rsid w:val="00EF23AB"/>
    <w:rsid w:val="00EF241F"/>
    <w:rsid w:val="00EF2A1B"/>
    <w:rsid w:val="00EF2D7B"/>
    <w:rsid w:val="00EF3350"/>
    <w:rsid w:val="00EF3511"/>
    <w:rsid w:val="00EF3D9D"/>
    <w:rsid w:val="00EF40F2"/>
    <w:rsid w:val="00EF4284"/>
    <w:rsid w:val="00EF439E"/>
    <w:rsid w:val="00EF43C7"/>
    <w:rsid w:val="00EF4588"/>
    <w:rsid w:val="00EF4629"/>
    <w:rsid w:val="00EF4682"/>
    <w:rsid w:val="00EF4867"/>
    <w:rsid w:val="00EF4A70"/>
    <w:rsid w:val="00EF4BB0"/>
    <w:rsid w:val="00EF4D0D"/>
    <w:rsid w:val="00EF51FE"/>
    <w:rsid w:val="00EF56F2"/>
    <w:rsid w:val="00EF5B8F"/>
    <w:rsid w:val="00EF5F59"/>
    <w:rsid w:val="00EF645B"/>
    <w:rsid w:val="00EF711A"/>
    <w:rsid w:val="00EF731E"/>
    <w:rsid w:val="00EF7327"/>
    <w:rsid w:val="00EF7847"/>
    <w:rsid w:val="00EF7A2A"/>
    <w:rsid w:val="00EF7A99"/>
    <w:rsid w:val="00EF7C71"/>
    <w:rsid w:val="00EF7D9B"/>
    <w:rsid w:val="00EF7FCB"/>
    <w:rsid w:val="00F00320"/>
    <w:rsid w:val="00F00D5A"/>
    <w:rsid w:val="00F01015"/>
    <w:rsid w:val="00F011F2"/>
    <w:rsid w:val="00F01C28"/>
    <w:rsid w:val="00F02186"/>
    <w:rsid w:val="00F02254"/>
    <w:rsid w:val="00F02426"/>
    <w:rsid w:val="00F02430"/>
    <w:rsid w:val="00F0280D"/>
    <w:rsid w:val="00F02884"/>
    <w:rsid w:val="00F02D29"/>
    <w:rsid w:val="00F03356"/>
    <w:rsid w:val="00F03467"/>
    <w:rsid w:val="00F03664"/>
    <w:rsid w:val="00F039D0"/>
    <w:rsid w:val="00F03A5E"/>
    <w:rsid w:val="00F043CF"/>
    <w:rsid w:val="00F050D3"/>
    <w:rsid w:val="00F056AF"/>
    <w:rsid w:val="00F060BB"/>
    <w:rsid w:val="00F061AE"/>
    <w:rsid w:val="00F066BA"/>
    <w:rsid w:val="00F06756"/>
    <w:rsid w:val="00F067A2"/>
    <w:rsid w:val="00F06D55"/>
    <w:rsid w:val="00F06F95"/>
    <w:rsid w:val="00F07281"/>
    <w:rsid w:val="00F0729B"/>
    <w:rsid w:val="00F07709"/>
    <w:rsid w:val="00F07973"/>
    <w:rsid w:val="00F10138"/>
    <w:rsid w:val="00F1013C"/>
    <w:rsid w:val="00F10187"/>
    <w:rsid w:val="00F109E3"/>
    <w:rsid w:val="00F117A5"/>
    <w:rsid w:val="00F11B3D"/>
    <w:rsid w:val="00F11BD8"/>
    <w:rsid w:val="00F11D37"/>
    <w:rsid w:val="00F11E1F"/>
    <w:rsid w:val="00F11E91"/>
    <w:rsid w:val="00F11EB9"/>
    <w:rsid w:val="00F11FAC"/>
    <w:rsid w:val="00F12B83"/>
    <w:rsid w:val="00F12E4C"/>
    <w:rsid w:val="00F12E93"/>
    <w:rsid w:val="00F130A6"/>
    <w:rsid w:val="00F13173"/>
    <w:rsid w:val="00F135E6"/>
    <w:rsid w:val="00F13958"/>
    <w:rsid w:val="00F14030"/>
    <w:rsid w:val="00F1492A"/>
    <w:rsid w:val="00F14BE5"/>
    <w:rsid w:val="00F14D38"/>
    <w:rsid w:val="00F14F56"/>
    <w:rsid w:val="00F1521A"/>
    <w:rsid w:val="00F15456"/>
    <w:rsid w:val="00F1563C"/>
    <w:rsid w:val="00F159F2"/>
    <w:rsid w:val="00F164E4"/>
    <w:rsid w:val="00F16576"/>
    <w:rsid w:val="00F167A0"/>
    <w:rsid w:val="00F16DDA"/>
    <w:rsid w:val="00F171BD"/>
    <w:rsid w:val="00F17333"/>
    <w:rsid w:val="00F17C11"/>
    <w:rsid w:val="00F17EC4"/>
    <w:rsid w:val="00F17F48"/>
    <w:rsid w:val="00F200BD"/>
    <w:rsid w:val="00F2049C"/>
    <w:rsid w:val="00F20841"/>
    <w:rsid w:val="00F209AA"/>
    <w:rsid w:val="00F211BC"/>
    <w:rsid w:val="00F213CE"/>
    <w:rsid w:val="00F21D64"/>
    <w:rsid w:val="00F22761"/>
    <w:rsid w:val="00F22771"/>
    <w:rsid w:val="00F233A2"/>
    <w:rsid w:val="00F245A4"/>
    <w:rsid w:val="00F247CD"/>
    <w:rsid w:val="00F24A45"/>
    <w:rsid w:val="00F24E4D"/>
    <w:rsid w:val="00F254EC"/>
    <w:rsid w:val="00F2552D"/>
    <w:rsid w:val="00F256B5"/>
    <w:rsid w:val="00F256EE"/>
    <w:rsid w:val="00F25C6B"/>
    <w:rsid w:val="00F25D2F"/>
    <w:rsid w:val="00F27345"/>
    <w:rsid w:val="00F27B03"/>
    <w:rsid w:val="00F27B57"/>
    <w:rsid w:val="00F27CBA"/>
    <w:rsid w:val="00F27E26"/>
    <w:rsid w:val="00F303E2"/>
    <w:rsid w:val="00F3156A"/>
    <w:rsid w:val="00F31659"/>
    <w:rsid w:val="00F32F6C"/>
    <w:rsid w:val="00F3309C"/>
    <w:rsid w:val="00F331B0"/>
    <w:rsid w:val="00F33340"/>
    <w:rsid w:val="00F334A5"/>
    <w:rsid w:val="00F33B7A"/>
    <w:rsid w:val="00F34380"/>
    <w:rsid w:val="00F34ACD"/>
    <w:rsid w:val="00F34D11"/>
    <w:rsid w:val="00F35724"/>
    <w:rsid w:val="00F359A4"/>
    <w:rsid w:val="00F35C65"/>
    <w:rsid w:val="00F35F32"/>
    <w:rsid w:val="00F362B1"/>
    <w:rsid w:val="00F36ACC"/>
    <w:rsid w:val="00F36B55"/>
    <w:rsid w:val="00F36C3F"/>
    <w:rsid w:val="00F36D1F"/>
    <w:rsid w:val="00F37095"/>
    <w:rsid w:val="00F37182"/>
    <w:rsid w:val="00F374F6"/>
    <w:rsid w:val="00F3771A"/>
    <w:rsid w:val="00F37970"/>
    <w:rsid w:val="00F37C21"/>
    <w:rsid w:val="00F37DCA"/>
    <w:rsid w:val="00F40156"/>
    <w:rsid w:val="00F401DA"/>
    <w:rsid w:val="00F4065C"/>
    <w:rsid w:val="00F40858"/>
    <w:rsid w:val="00F4106B"/>
    <w:rsid w:val="00F413E2"/>
    <w:rsid w:val="00F4145D"/>
    <w:rsid w:val="00F41545"/>
    <w:rsid w:val="00F41C46"/>
    <w:rsid w:val="00F42002"/>
    <w:rsid w:val="00F4214A"/>
    <w:rsid w:val="00F4234C"/>
    <w:rsid w:val="00F4237F"/>
    <w:rsid w:val="00F42494"/>
    <w:rsid w:val="00F42D04"/>
    <w:rsid w:val="00F42DCC"/>
    <w:rsid w:val="00F431FE"/>
    <w:rsid w:val="00F4381F"/>
    <w:rsid w:val="00F43E3C"/>
    <w:rsid w:val="00F441AF"/>
    <w:rsid w:val="00F4495B"/>
    <w:rsid w:val="00F44E9B"/>
    <w:rsid w:val="00F4533D"/>
    <w:rsid w:val="00F45903"/>
    <w:rsid w:val="00F45AE8"/>
    <w:rsid w:val="00F4604F"/>
    <w:rsid w:val="00F4618C"/>
    <w:rsid w:val="00F4621C"/>
    <w:rsid w:val="00F463F3"/>
    <w:rsid w:val="00F47186"/>
    <w:rsid w:val="00F4799D"/>
    <w:rsid w:val="00F47B30"/>
    <w:rsid w:val="00F47DE2"/>
    <w:rsid w:val="00F5053A"/>
    <w:rsid w:val="00F50653"/>
    <w:rsid w:val="00F509D7"/>
    <w:rsid w:val="00F50DC8"/>
    <w:rsid w:val="00F51239"/>
    <w:rsid w:val="00F5153B"/>
    <w:rsid w:val="00F516CF"/>
    <w:rsid w:val="00F51726"/>
    <w:rsid w:val="00F52586"/>
    <w:rsid w:val="00F52741"/>
    <w:rsid w:val="00F527BA"/>
    <w:rsid w:val="00F52907"/>
    <w:rsid w:val="00F52A9D"/>
    <w:rsid w:val="00F52D46"/>
    <w:rsid w:val="00F530B5"/>
    <w:rsid w:val="00F5325C"/>
    <w:rsid w:val="00F53270"/>
    <w:rsid w:val="00F5415D"/>
    <w:rsid w:val="00F54271"/>
    <w:rsid w:val="00F54339"/>
    <w:rsid w:val="00F54458"/>
    <w:rsid w:val="00F54464"/>
    <w:rsid w:val="00F546A3"/>
    <w:rsid w:val="00F54950"/>
    <w:rsid w:val="00F54965"/>
    <w:rsid w:val="00F54A7A"/>
    <w:rsid w:val="00F54CDB"/>
    <w:rsid w:val="00F555B0"/>
    <w:rsid w:val="00F55644"/>
    <w:rsid w:val="00F558A1"/>
    <w:rsid w:val="00F56861"/>
    <w:rsid w:val="00F56D70"/>
    <w:rsid w:val="00F57184"/>
    <w:rsid w:val="00F5736C"/>
    <w:rsid w:val="00F57628"/>
    <w:rsid w:val="00F57D7A"/>
    <w:rsid w:val="00F57DD3"/>
    <w:rsid w:val="00F600B1"/>
    <w:rsid w:val="00F60980"/>
    <w:rsid w:val="00F60A27"/>
    <w:rsid w:val="00F612DE"/>
    <w:rsid w:val="00F61855"/>
    <w:rsid w:val="00F61F40"/>
    <w:rsid w:val="00F625E1"/>
    <w:rsid w:val="00F626BD"/>
    <w:rsid w:val="00F62FFA"/>
    <w:rsid w:val="00F63188"/>
    <w:rsid w:val="00F6324E"/>
    <w:rsid w:val="00F63430"/>
    <w:rsid w:val="00F63636"/>
    <w:rsid w:val="00F6396A"/>
    <w:rsid w:val="00F63BC1"/>
    <w:rsid w:val="00F6429C"/>
    <w:rsid w:val="00F64A97"/>
    <w:rsid w:val="00F64EAF"/>
    <w:rsid w:val="00F64EEE"/>
    <w:rsid w:val="00F65698"/>
    <w:rsid w:val="00F65E54"/>
    <w:rsid w:val="00F65FD3"/>
    <w:rsid w:val="00F66358"/>
    <w:rsid w:val="00F66484"/>
    <w:rsid w:val="00F66785"/>
    <w:rsid w:val="00F66B28"/>
    <w:rsid w:val="00F66F37"/>
    <w:rsid w:val="00F66F96"/>
    <w:rsid w:val="00F67395"/>
    <w:rsid w:val="00F675A5"/>
    <w:rsid w:val="00F67A62"/>
    <w:rsid w:val="00F70441"/>
    <w:rsid w:val="00F7074A"/>
    <w:rsid w:val="00F709A8"/>
    <w:rsid w:val="00F70C67"/>
    <w:rsid w:val="00F70F57"/>
    <w:rsid w:val="00F71028"/>
    <w:rsid w:val="00F7102B"/>
    <w:rsid w:val="00F71574"/>
    <w:rsid w:val="00F71737"/>
    <w:rsid w:val="00F71948"/>
    <w:rsid w:val="00F71F30"/>
    <w:rsid w:val="00F722CB"/>
    <w:rsid w:val="00F723A8"/>
    <w:rsid w:val="00F72B5C"/>
    <w:rsid w:val="00F72BBB"/>
    <w:rsid w:val="00F72BC5"/>
    <w:rsid w:val="00F730DA"/>
    <w:rsid w:val="00F734AB"/>
    <w:rsid w:val="00F73CCE"/>
    <w:rsid w:val="00F746AC"/>
    <w:rsid w:val="00F7484E"/>
    <w:rsid w:val="00F74BB5"/>
    <w:rsid w:val="00F74DD6"/>
    <w:rsid w:val="00F74F6C"/>
    <w:rsid w:val="00F75BD1"/>
    <w:rsid w:val="00F76143"/>
    <w:rsid w:val="00F7638F"/>
    <w:rsid w:val="00F763B2"/>
    <w:rsid w:val="00F763E0"/>
    <w:rsid w:val="00F76B3C"/>
    <w:rsid w:val="00F76E89"/>
    <w:rsid w:val="00F77955"/>
    <w:rsid w:val="00F77C2F"/>
    <w:rsid w:val="00F77F38"/>
    <w:rsid w:val="00F800F9"/>
    <w:rsid w:val="00F80307"/>
    <w:rsid w:val="00F80314"/>
    <w:rsid w:val="00F80346"/>
    <w:rsid w:val="00F8091B"/>
    <w:rsid w:val="00F80ABD"/>
    <w:rsid w:val="00F80ABF"/>
    <w:rsid w:val="00F80D46"/>
    <w:rsid w:val="00F80DB9"/>
    <w:rsid w:val="00F816FF"/>
    <w:rsid w:val="00F81FE8"/>
    <w:rsid w:val="00F8201E"/>
    <w:rsid w:val="00F8328C"/>
    <w:rsid w:val="00F83308"/>
    <w:rsid w:val="00F8372F"/>
    <w:rsid w:val="00F8373A"/>
    <w:rsid w:val="00F83EEB"/>
    <w:rsid w:val="00F847DB"/>
    <w:rsid w:val="00F84C53"/>
    <w:rsid w:val="00F85408"/>
    <w:rsid w:val="00F858DD"/>
    <w:rsid w:val="00F85FAD"/>
    <w:rsid w:val="00F8616F"/>
    <w:rsid w:val="00F863C5"/>
    <w:rsid w:val="00F863DF"/>
    <w:rsid w:val="00F863E3"/>
    <w:rsid w:val="00F86545"/>
    <w:rsid w:val="00F86A86"/>
    <w:rsid w:val="00F86C6F"/>
    <w:rsid w:val="00F87945"/>
    <w:rsid w:val="00F87A7E"/>
    <w:rsid w:val="00F87DEC"/>
    <w:rsid w:val="00F87DF2"/>
    <w:rsid w:val="00F90A01"/>
    <w:rsid w:val="00F90DEE"/>
    <w:rsid w:val="00F91320"/>
    <w:rsid w:val="00F913E2"/>
    <w:rsid w:val="00F9150E"/>
    <w:rsid w:val="00F915C8"/>
    <w:rsid w:val="00F91A56"/>
    <w:rsid w:val="00F91E14"/>
    <w:rsid w:val="00F9235D"/>
    <w:rsid w:val="00F92706"/>
    <w:rsid w:val="00F92792"/>
    <w:rsid w:val="00F92A5F"/>
    <w:rsid w:val="00F92BA4"/>
    <w:rsid w:val="00F937F1"/>
    <w:rsid w:val="00F9393D"/>
    <w:rsid w:val="00F93BB2"/>
    <w:rsid w:val="00F93BEE"/>
    <w:rsid w:val="00F93DA3"/>
    <w:rsid w:val="00F93E17"/>
    <w:rsid w:val="00F94671"/>
    <w:rsid w:val="00F94911"/>
    <w:rsid w:val="00F952BF"/>
    <w:rsid w:val="00F957F3"/>
    <w:rsid w:val="00F9593B"/>
    <w:rsid w:val="00F9594C"/>
    <w:rsid w:val="00F95DC9"/>
    <w:rsid w:val="00F96133"/>
    <w:rsid w:val="00F96511"/>
    <w:rsid w:val="00F9698D"/>
    <w:rsid w:val="00F96E25"/>
    <w:rsid w:val="00F974B8"/>
    <w:rsid w:val="00FA0477"/>
    <w:rsid w:val="00FA0B37"/>
    <w:rsid w:val="00FA0CC3"/>
    <w:rsid w:val="00FA0E2D"/>
    <w:rsid w:val="00FA0F72"/>
    <w:rsid w:val="00FA1A63"/>
    <w:rsid w:val="00FA262A"/>
    <w:rsid w:val="00FA274A"/>
    <w:rsid w:val="00FA2BF1"/>
    <w:rsid w:val="00FA3052"/>
    <w:rsid w:val="00FA3AB4"/>
    <w:rsid w:val="00FA3E92"/>
    <w:rsid w:val="00FA4361"/>
    <w:rsid w:val="00FA4426"/>
    <w:rsid w:val="00FA4AA5"/>
    <w:rsid w:val="00FA4B1D"/>
    <w:rsid w:val="00FA4C6D"/>
    <w:rsid w:val="00FA5343"/>
    <w:rsid w:val="00FA53D4"/>
    <w:rsid w:val="00FA541A"/>
    <w:rsid w:val="00FA5444"/>
    <w:rsid w:val="00FA5C1A"/>
    <w:rsid w:val="00FA5E5C"/>
    <w:rsid w:val="00FA5FD3"/>
    <w:rsid w:val="00FA636F"/>
    <w:rsid w:val="00FA6396"/>
    <w:rsid w:val="00FA67F6"/>
    <w:rsid w:val="00FA779B"/>
    <w:rsid w:val="00FA7862"/>
    <w:rsid w:val="00FA7E86"/>
    <w:rsid w:val="00FB0467"/>
    <w:rsid w:val="00FB0549"/>
    <w:rsid w:val="00FB05AE"/>
    <w:rsid w:val="00FB0D41"/>
    <w:rsid w:val="00FB15B9"/>
    <w:rsid w:val="00FB1640"/>
    <w:rsid w:val="00FB1D46"/>
    <w:rsid w:val="00FB1DFC"/>
    <w:rsid w:val="00FB2948"/>
    <w:rsid w:val="00FB29CC"/>
    <w:rsid w:val="00FB2A7F"/>
    <w:rsid w:val="00FB2BA1"/>
    <w:rsid w:val="00FB2BE5"/>
    <w:rsid w:val="00FB2F7F"/>
    <w:rsid w:val="00FB2F8E"/>
    <w:rsid w:val="00FB335B"/>
    <w:rsid w:val="00FB3963"/>
    <w:rsid w:val="00FB3D8C"/>
    <w:rsid w:val="00FB40A1"/>
    <w:rsid w:val="00FB43B5"/>
    <w:rsid w:val="00FB4617"/>
    <w:rsid w:val="00FB4A25"/>
    <w:rsid w:val="00FB4BB4"/>
    <w:rsid w:val="00FB5132"/>
    <w:rsid w:val="00FB553C"/>
    <w:rsid w:val="00FB55C1"/>
    <w:rsid w:val="00FB5631"/>
    <w:rsid w:val="00FB65F5"/>
    <w:rsid w:val="00FB670A"/>
    <w:rsid w:val="00FB696F"/>
    <w:rsid w:val="00FB6B07"/>
    <w:rsid w:val="00FB7045"/>
    <w:rsid w:val="00FB708A"/>
    <w:rsid w:val="00FB7679"/>
    <w:rsid w:val="00FB7C5A"/>
    <w:rsid w:val="00FC00CF"/>
    <w:rsid w:val="00FC0241"/>
    <w:rsid w:val="00FC06C6"/>
    <w:rsid w:val="00FC084E"/>
    <w:rsid w:val="00FC0C7C"/>
    <w:rsid w:val="00FC1A1B"/>
    <w:rsid w:val="00FC1BF3"/>
    <w:rsid w:val="00FC2F01"/>
    <w:rsid w:val="00FC31D1"/>
    <w:rsid w:val="00FC3556"/>
    <w:rsid w:val="00FC3A3D"/>
    <w:rsid w:val="00FC3DFB"/>
    <w:rsid w:val="00FC3F8C"/>
    <w:rsid w:val="00FC4EB1"/>
    <w:rsid w:val="00FC55E6"/>
    <w:rsid w:val="00FC58B7"/>
    <w:rsid w:val="00FC599F"/>
    <w:rsid w:val="00FC65E2"/>
    <w:rsid w:val="00FC68DD"/>
    <w:rsid w:val="00FC6A33"/>
    <w:rsid w:val="00FC7023"/>
    <w:rsid w:val="00FC711E"/>
    <w:rsid w:val="00FC74FF"/>
    <w:rsid w:val="00FC7511"/>
    <w:rsid w:val="00FC76C1"/>
    <w:rsid w:val="00FC7CF6"/>
    <w:rsid w:val="00FC7E5E"/>
    <w:rsid w:val="00FC7FB0"/>
    <w:rsid w:val="00FD0994"/>
    <w:rsid w:val="00FD0C03"/>
    <w:rsid w:val="00FD0DBA"/>
    <w:rsid w:val="00FD10C7"/>
    <w:rsid w:val="00FD16F8"/>
    <w:rsid w:val="00FD1C1C"/>
    <w:rsid w:val="00FD1D5D"/>
    <w:rsid w:val="00FD1E2E"/>
    <w:rsid w:val="00FD29B4"/>
    <w:rsid w:val="00FD2B19"/>
    <w:rsid w:val="00FD31DC"/>
    <w:rsid w:val="00FD3391"/>
    <w:rsid w:val="00FD4BD4"/>
    <w:rsid w:val="00FD5150"/>
    <w:rsid w:val="00FD5295"/>
    <w:rsid w:val="00FD5726"/>
    <w:rsid w:val="00FD572A"/>
    <w:rsid w:val="00FD581D"/>
    <w:rsid w:val="00FD5BF1"/>
    <w:rsid w:val="00FD5E47"/>
    <w:rsid w:val="00FD6738"/>
    <w:rsid w:val="00FD6CFA"/>
    <w:rsid w:val="00FD6FEC"/>
    <w:rsid w:val="00FD7041"/>
    <w:rsid w:val="00FD707D"/>
    <w:rsid w:val="00FD7354"/>
    <w:rsid w:val="00FD7549"/>
    <w:rsid w:val="00FD7687"/>
    <w:rsid w:val="00FD77AD"/>
    <w:rsid w:val="00FD7ACD"/>
    <w:rsid w:val="00FD7BAE"/>
    <w:rsid w:val="00FE0D42"/>
    <w:rsid w:val="00FE0EED"/>
    <w:rsid w:val="00FE1905"/>
    <w:rsid w:val="00FE1B00"/>
    <w:rsid w:val="00FE1B4F"/>
    <w:rsid w:val="00FE2083"/>
    <w:rsid w:val="00FE233B"/>
    <w:rsid w:val="00FE24CF"/>
    <w:rsid w:val="00FE253F"/>
    <w:rsid w:val="00FE2994"/>
    <w:rsid w:val="00FE2CEE"/>
    <w:rsid w:val="00FE2E8B"/>
    <w:rsid w:val="00FE2F52"/>
    <w:rsid w:val="00FE3715"/>
    <w:rsid w:val="00FE38B3"/>
    <w:rsid w:val="00FE3917"/>
    <w:rsid w:val="00FE3950"/>
    <w:rsid w:val="00FE398E"/>
    <w:rsid w:val="00FE39C3"/>
    <w:rsid w:val="00FE3A14"/>
    <w:rsid w:val="00FE3BB8"/>
    <w:rsid w:val="00FE3CA0"/>
    <w:rsid w:val="00FE3CB7"/>
    <w:rsid w:val="00FE3FB3"/>
    <w:rsid w:val="00FE42EC"/>
    <w:rsid w:val="00FE4455"/>
    <w:rsid w:val="00FE4824"/>
    <w:rsid w:val="00FE4F23"/>
    <w:rsid w:val="00FE5017"/>
    <w:rsid w:val="00FE5046"/>
    <w:rsid w:val="00FE5B1B"/>
    <w:rsid w:val="00FE6F0F"/>
    <w:rsid w:val="00FE6F1E"/>
    <w:rsid w:val="00FE715E"/>
    <w:rsid w:val="00FE734B"/>
    <w:rsid w:val="00FE7486"/>
    <w:rsid w:val="00FE7FFB"/>
    <w:rsid w:val="00FF05A2"/>
    <w:rsid w:val="00FF0741"/>
    <w:rsid w:val="00FF0886"/>
    <w:rsid w:val="00FF0F9B"/>
    <w:rsid w:val="00FF11EA"/>
    <w:rsid w:val="00FF12A7"/>
    <w:rsid w:val="00FF15BA"/>
    <w:rsid w:val="00FF1959"/>
    <w:rsid w:val="00FF1C81"/>
    <w:rsid w:val="00FF20E1"/>
    <w:rsid w:val="00FF2A8E"/>
    <w:rsid w:val="00FF2FB1"/>
    <w:rsid w:val="00FF323E"/>
    <w:rsid w:val="00FF3261"/>
    <w:rsid w:val="00FF347A"/>
    <w:rsid w:val="00FF384F"/>
    <w:rsid w:val="00FF3E1B"/>
    <w:rsid w:val="00FF43C0"/>
    <w:rsid w:val="00FF4CBE"/>
    <w:rsid w:val="00FF4DE1"/>
    <w:rsid w:val="00FF4F2E"/>
    <w:rsid w:val="00FF521D"/>
    <w:rsid w:val="00FF535B"/>
    <w:rsid w:val="00FF706E"/>
    <w:rsid w:val="00FF7525"/>
    <w:rsid w:val="00FF77B5"/>
    <w:rsid w:val="00FF789A"/>
    <w:rsid w:val="0142052C"/>
    <w:rsid w:val="025CFB1A"/>
    <w:rsid w:val="0266504E"/>
    <w:rsid w:val="02807101"/>
    <w:rsid w:val="030A77AE"/>
    <w:rsid w:val="0335351B"/>
    <w:rsid w:val="0365D834"/>
    <w:rsid w:val="03E98956"/>
    <w:rsid w:val="042E7184"/>
    <w:rsid w:val="0449378F"/>
    <w:rsid w:val="0452164C"/>
    <w:rsid w:val="0473A217"/>
    <w:rsid w:val="04D4AE26"/>
    <w:rsid w:val="065EA750"/>
    <w:rsid w:val="0691CFA0"/>
    <w:rsid w:val="06EBD1EB"/>
    <w:rsid w:val="07920870"/>
    <w:rsid w:val="07A3B58F"/>
    <w:rsid w:val="07B01C0A"/>
    <w:rsid w:val="07C88161"/>
    <w:rsid w:val="07D5C8FA"/>
    <w:rsid w:val="0860422C"/>
    <w:rsid w:val="0894310C"/>
    <w:rsid w:val="08F4C548"/>
    <w:rsid w:val="09702ECF"/>
    <w:rsid w:val="09EC8EAC"/>
    <w:rsid w:val="0A76A523"/>
    <w:rsid w:val="0ACBA12A"/>
    <w:rsid w:val="0AD888AD"/>
    <w:rsid w:val="0C4F2A08"/>
    <w:rsid w:val="0C981173"/>
    <w:rsid w:val="0CEBDE0F"/>
    <w:rsid w:val="0D1B22E3"/>
    <w:rsid w:val="0EC4BF80"/>
    <w:rsid w:val="0F7CF99F"/>
    <w:rsid w:val="1035F5AA"/>
    <w:rsid w:val="104973BA"/>
    <w:rsid w:val="1065ED54"/>
    <w:rsid w:val="108FE877"/>
    <w:rsid w:val="116D50AB"/>
    <w:rsid w:val="12BFD362"/>
    <w:rsid w:val="12F06486"/>
    <w:rsid w:val="12FA45E8"/>
    <w:rsid w:val="131174AB"/>
    <w:rsid w:val="137069DC"/>
    <w:rsid w:val="13B83AC0"/>
    <w:rsid w:val="14297D09"/>
    <w:rsid w:val="1445A2CB"/>
    <w:rsid w:val="148C475D"/>
    <w:rsid w:val="15440FB0"/>
    <w:rsid w:val="154F042A"/>
    <w:rsid w:val="1575DC81"/>
    <w:rsid w:val="15C0C8E5"/>
    <w:rsid w:val="16322949"/>
    <w:rsid w:val="165639BB"/>
    <w:rsid w:val="16DAB7ED"/>
    <w:rsid w:val="16ED9905"/>
    <w:rsid w:val="171BFBF7"/>
    <w:rsid w:val="1759CDDB"/>
    <w:rsid w:val="18CC75F4"/>
    <w:rsid w:val="18DCAA2A"/>
    <w:rsid w:val="190CFF73"/>
    <w:rsid w:val="1928F3C9"/>
    <w:rsid w:val="19B344D0"/>
    <w:rsid w:val="19CC3D97"/>
    <w:rsid w:val="1A263F16"/>
    <w:rsid w:val="1A43E5B1"/>
    <w:rsid w:val="1A880A3F"/>
    <w:rsid w:val="1B31686C"/>
    <w:rsid w:val="1BC07D75"/>
    <w:rsid w:val="1BFDAE00"/>
    <w:rsid w:val="1C2146EC"/>
    <w:rsid w:val="1C31B890"/>
    <w:rsid w:val="1CE9E859"/>
    <w:rsid w:val="1D17B295"/>
    <w:rsid w:val="1D1FB749"/>
    <w:rsid w:val="1D6A02DD"/>
    <w:rsid w:val="1D81B8AF"/>
    <w:rsid w:val="1D83E673"/>
    <w:rsid w:val="1DC9D7C8"/>
    <w:rsid w:val="1E5CF893"/>
    <w:rsid w:val="1E718D17"/>
    <w:rsid w:val="1E8F81A7"/>
    <w:rsid w:val="1E906C21"/>
    <w:rsid w:val="1EF64D0A"/>
    <w:rsid w:val="1EF8621A"/>
    <w:rsid w:val="1F0FF644"/>
    <w:rsid w:val="1F19EBF9"/>
    <w:rsid w:val="1F1DE63A"/>
    <w:rsid w:val="1FA98CE4"/>
    <w:rsid w:val="1FEF504C"/>
    <w:rsid w:val="20275E45"/>
    <w:rsid w:val="2113CCAE"/>
    <w:rsid w:val="213D6BC9"/>
    <w:rsid w:val="21AE8A1F"/>
    <w:rsid w:val="225758F3"/>
    <w:rsid w:val="2267353F"/>
    <w:rsid w:val="2372C451"/>
    <w:rsid w:val="23A50BC3"/>
    <w:rsid w:val="23B75490"/>
    <w:rsid w:val="23D178E2"/>
    <w:rsid w:val="25C1E98D"/>
    <w:rsid w:val="25F06680"/>
    <w:rsid w:val="25FB7430"/>
    <w:rsid w:val="269B2FEF"/>
    <w:rsid w:val="269B7E06"/>
    <w:rsid w:val="26C7BFEE"/>
    <w:rsid w:val="27214D6F"/>
    <w:rsid w:val="275A8FE6"/>
    <w:rsid w:val="2770088B"/>
    <w:rsid w:val="279BFE09"/>
    <w:rsid w:val="28209556"/>
    <w:rsid w:val="28365794"/>
    <w:rsid w:val="28A7504C"/>
    <w:rsid w:val="28C3B2AA"/>
    <w:rsid w:val="28CE7DCA"/>
    <w:rsid w:val="28D7A0CC"/>
    <w:rsid w:val="2A227526"/>
    <w:rsid w:val="2A57CCB5"/>
    <w:rsid w:val="2A6FD6DE"/>
    <w:rsid w:val="2A72FA7B"/>
    <w:rsid w:val="2ABCFBF7"/>
    <w:rsid w:val="2BDDEDAF"/>
    <w:rsid w:val="2CF627FF"/>
    <w:rsid w:val="2CFA650E"/>
    <w:rsid w:val="2D222867"/>
    <w:rsid w:val="2E63E67F"/>
    <w:rsid w:val="2E6A407F"/>
    <w:rsid w:val="2E8A707C"/>
    <w:rsid w:val="2EB1792B"/>
    <w:rsid w:val="2ECF99C3"/>
    <w:rsid w:val="2ED2C402"/>
    <w:rsid w:val="2EF3B08B"/>
    <w:rsid w:val="2F18556E"/>
    <w:rsid w:val="2F49526D"/>
    <w:rsid w:val="2F515CA5"/>
    <w:rsid w:val="2F5CFAE0"/>
    <w:rsid w:val="2F72B0A0"/>
    <w:rsid w:val="2FA16BB8"/>
    <w:rsid w:val="2FEFF413"/>
    <w:rsid w:val="3003B585"/>
    <w:rsid w:val="300BF435"/>
    <w:rsid w:val="304C34B1"/>
    <w:rsid w:val="3059906B"/>
    <w:rsid w:val="30DF7013"/>
    <w:rsid w:val="30ED950E"/>
    <w:rsid w:val="31B7F8A9"/>
    <w:rsid w:val="31E1F736"/>
    <w:rsid w:val="3288FD67"/>
    <w:rsid w:val="32E11A75"/>
    <w:rsid w:val="3380A3E0"/>
    <w:rsid w:val="33D1CA77"/>
    <w:rsid w:val="33DA5E11"/>
    <w:rsid w:val="34113947"/>
    <w:rsid w:val="34D6A79D"/>
    <w:rsid w:val="356B73A0"/>
    <w:rsid w:val="358E35E1"/>
    <w:rsid w:val="3743462D"/>
    <w:rsid w:val="3756FA98"/>
    <w:rsid w:val="377F158B"/>
    <w:rsid w:val="378E516A"/>
    <w:rsid w:val="37BB6E02"/>
    <w:rsid w:val="37CCA7B1"/>
    <w:rsid w:val="38756BDD"/>
    <w:rsid w:val="39F13018"/>
    <w:rsid w:val="3A5EFEC1"/>
    <w:rsid w:val="3ACC964A"/>
    <w:rsid w:val="3B0C85A6"/>
    <w:rsid w:val="3B5FB962"/>
    <w:rsid w:val="3B715836"/>
    <w:rsid w:val="3BC4A8D7"/>
    <w:rsid w:val="3C790F9F"/>
    <w:rsid w:val="3C8D26BF"/>
    <w:rsid w:val="3D3D4C6D"/>
    <w:rsid w:val="3DC170C1"/>
    <w:rsid w:val="3DC246DE"/>
    <w:rsid w:val="3DD69BE0"/>
    <w:rsid w:val="3E087401"/>
    <w:rsid w:val="3E242299"/>
    <w:rsid w:val="3E4418B2"/>
    <w:rsid w:val="3E9AB630"/>
    <w:rsid w:val="3EAB5D1A"/>
    <w:rsid w:val="3EC21F98"/>
    <w:rsid w:val="3EEF9A0F"/>
    <w:rsid w:val="3F056A9C"/>
    <w:rsid w:val="401088EA"/>
    <w:rsid w:val="4076C47E"/>
    <w:rsid w:val="40CCE950"/>
    <w:rsid w:val="411543A6"/>
    <w:rsid w:val="418E2127"/>
    <w:rsid w:val="41BBE6A5"/>
    <w:rsid w:val="4214F78E"/>
    <w:rsid w:val="4263AFDF"/>
    <w:rsid w:val="42850F6B"/>
    <w:rsid w:val="42A577CC"/>
    <w:rsid w:val="42A70392"/>
    <w:rsid w:val="42A7CB75"/>
    <w:rsid w:val="432657A6"/>
    <w:rsid w:val="4347EAF7"/>
    <w:rsid w:val="43627F50"/>
    <w:rsid w:val="439427A6"/>
    <w:rsid w:val="43A1FE49"/>
    <w:rsid w:val="442A6416"/>
    <w:rsid w:val="446730E4"/>
    <w:rsid w:val="44C7E37C"/>
    <w:rsid w:val="44D277B1"/>
    <w:rsid w:val="4553A46E"/>
    <w:rsid w:val="455C70F9"/>
    <w:rsid w:val="45C1AFED"/>
    <w:rsid w:val="461CAFAC"/>
    <w:rsid w:val="462522A0"/>
    <w:rsid w:val="4685B236"/>
    <w:rsid w:val="468ED34E"/>
    <w:rsid w:val="470FFFAD"/>
    <w:rsid w:val="478CA0EC"/>
    <w:rsid w:val="4791C121"/>
    <w:rsid w:val="48E7528B"/>
    <w:rsid w:val="49C6F88A"/>
    <w:rsid w:val="4B492AA4"/>
    <w:rsid w:val="4B4E4FE8"/>
    <w:rsid w:val="4BBEE59F"/>
    <w:rsid w:val="4BBF23AC"/>
    <w:rsid w:val="4BF5A936"/>
    <w:rsid w:val="4C29391D"/>
    <w:rsid w:val="4C478BBA"/>
    <w:rsid w:val="4C5CE33A"/>
    <w:rsid w:val="4C73D915"/>
    <w:rsid w:val="4CBFF2BA"/>
    <w:rsid w:val="4D209E0D"/>
    <w:rsid w:val="4D2C75DB"/>
    <w:rsid w:val="4D6C9B6D"/>
    <w:rsid w:val="4E01D682"/>
    <w:rsid w:val="4E696B1D"/>
    <w:rsid w:val="4E814150"/>
    <w:rsid w:val="4FB03C7F"/>
    <w:rsid w:val="508ECAE2"/>
    <w:rsid w:val="510E6481"/>
    <w:rsid w:val="51AE5A11"/>
    <w:rsid w:val="51F4E001"/>
    <w:rsid w:val="529A2F7E"/>
    <w:rsid w:val="52CDC83F"/>
    <w:rsid w:val="52FEB469"/>
    <w:rsid w:val="5326B259"/>
    <w:rsid w:val="533BAECE"/>
    <w:rsid w:val="53946FD1"/>
    <w:rsid w:val="53EA1884"/>
    <w:rsid w:val="53F3E95B"/>
    <w:rsid w:val="541FFFAB"/>
    <w:rsid w:val="542C227B"/>
    <w:rsid w:val="545EEDE9"/>
    <w:rsid w:val="54A5074F"/>
    <w:rsid w:val="54FEF314"/>
    <w:rsid w:val="55681677"/>
    <w:rsid w:val="5569A44E"/>
    <w:rsid w:val="55818E00"/>
    <w:rsid w:val="55A67BD6"/>
    <w:rsid w:val="55CC0076"/>
    <w:rsid w:val="5607B767"/>
    <w:rsid w:val="5624A11F"/>
    <w:rsid w:val="5657B0C3"/>
    <w:rsid w:val="566C944E"/>
    <w:rsid w:val="56964062"/>
    <w:rsid w:val="56FD4D3D"/>
    <w:rsid w:val="5701A07D"/>
    <w:rsid w:val="570F1C11"/>
    <w:rsid w:val="57436248"/>
    <w:rsid w:val="576C0FEF"/>
    <w:rsid w:val="580B59AE"/>
    <w:rsid w:val="5856532F"/>
    <w:rsid w:val="58691B65"/>
    <w:rsid w:val="58C5000F"/>
    <w:rsid w:val="59431984"/>
    <w:rsid w:val="5958B0FD"/>
    <w:rsid w:val="595EC917"/>
    <w:rsid w:val="5A1B1953"/>
    <w:rsid w:val="5A5449C1"/>
    <w:rsid w:val="5A70AA46"/>
    <w:rsid w:val="5ACFB4E7"/>
    <w:rsid w:val="5ADEE9E5"/>
    <w:rsid w:val="5B60052B"/>
    <w:rsid w:val="5BBBC858"/>
    <w:rsid w:val="5BDD30FC"/>
    <w:rsid w:val="5C23A539"/>
    <w:rsid w:val="5C7ABA46"/>
    <w:rsid w:val="5D33F85D"/>
    <w:rsid w:val="5D4D5FD7"/>
    <w:rsid w:val="5D575D04"/>
    <w:rsid w:val="5D909548"/>
    <w:rsid w:val="5DA2E22C"/>
    <w:rsid w:val="5EC9A7F4"/>
    <w:rsid w:val="5F199033"/>
    <w:rsid w:val="5F3710BC"/>
    <w:rsid w:val="5F385E48"/>
    <w:rsid w:val="5FFAC6CE"/>
    <w:rsid w:val="60003BAC"/>
    <w:rsid w:val="608A25D1"/>
    <w:rsid w:val="60DBA323"/>
    <w:rsid w:val="60EC0CD3"/>
    <w:rsid w:val="610AAA7C"/>
    <w:rsid w:val="6116E22D"/>
    <w:rsid w:val="612D451C"/>
    <w:rsid w:val="61653D6B"/>
    <w:rsid w:val="6205472F"/>
    <w:rsid w:val="623B9405"/>
    <w:rsid w:val="62635EE4"/>
    <w:rsid w:val="62B2B28E"/>
    <w:rsid w:val="6339DC7F"/>
    <w:rsid w:val="638ADD18"/>
    <w:rsid w:val="63DD0E27"/>
    <w:rsid w:val="63DDBEBD"/>
    <w:rsid w:val="63EA7D1A"/>
    <w:rsid w:val="649BD56A"/>
    <w:rsid w:val="64C0835E"/>
    <w:rsid w:val="651E145D"/>
    <w:rsid w:val="655F35E7"/>
    <w:rsid w:val="66171483"/>
    <w:rsid w:val="66568645"/>
    <w:rsid w:val="66CC6946"/>
    <w:rsid w:val="66DB8D75"/>
    <w:rsid w:val="671CA8B7"/>
    <w:rsid w:val="6756A43B"/>
    <w:rsid w:val="6793D14D"/>
    <w:rsid w:val="679639F2"/>
    <w:rsid w:val="67D4AE74"/>
    <w:rsid w:val="68162B2E"/>
    <w:rsid w:val="6841D308"/>
    <w:rsid w:val="684C9BDC"/>
    <w:rsid w:val="68605368"/>
    <w:rsid w:val="689036C4"/>
    <w:rsid w:val="68B9F377"/>
    <w:rsid w:val="68E572D5"/>
    <w:rsid w:val="69487716"/>
    <w:rsid w:val="69560002"/>
    <w:rsid w:val="69E795F2"/>
    <w:rsid w:val="6A173027"/>
    <w:rsid w:val="6AABDEA7"/>
    <w:rsid w:val="6AED3116"/>
    <w:rsid w:val="6AF58425"/>
    <w:rsid w:val="6CC32A94"/>
    <w:rsid w:val="6D050573"/>
    <w:rsid w:val="6D72B007"/>
    <w:rsid w:val="6D9C3CB1"/>
    <w:rsid w:val="6DB99D23"/>
    <w:rsid w:val="6E355D8B"/>
    <w:rsid w:val="6E962C49"/>
    <w:rsid w:val="6ED03136"/>
    <w:rsid w:val="6F0EE45B"/>
    <w:rsid w:val="6F9A978E"/>
    <w:rsid w:val="6FBDCD0B"/>
    <w:rsid w:val="6FE1B6EA"/>
    <w:rsid w:val="702EAFF8"/>
    <w:rsid w:val="70381E6E"/>
    <w:rsid w:val="704E4D8A"/>
    <w:rsid w:val="7064F631"/>
    <w:rsid w:val="70F115FB"/>
    <w:rsid w:val="7121BE07"/>
    <w:rsid w:val="7123F3DB"/>
    <w:rsid w:val="714432FE"/>
    <w:rsid w:val="7181453A"/>
    <w:rsid w:val="71FA2CF2"/>
    <w:rsid w:val="729434EB"/>
    <w:rsid w:val="729DDA46"/>
    <w:rsid w:val="72DBF6D5"/>
    <w:rsid w:val="7303082D"/>
    <w:rsid w:val="737E2F70"/>
    <w:rsid w:val="740CCB70"/>
    <w:rsid w:val="743ADC86"/>
    <w:rsid w:val="748B1AC0"/>
    <w:rsid w:val="748D4043"/>
    <w:rsid w:val="74A176C2"/>
    <w:rsid w:val="74C8382B"/>
    <w:rsid w:val="7613CB20"/>
    <w:rsid w:val="76497E41"/>
    <w:rsid w:val="76799017"/>
    <w:rsid w:val="76E090E3"/>
    <w:rsid w:val="774E7BC5"/>
    <w:rsid w:val="7753FA13"/>
    <w:rsid w:val="777B47F6"/>
    <w:rsid w:val="7797B0FF"/>
    <w:rsid w:val="77C4E5DC"/>
    <w:rsid w:val="77CDA567"/>
    <w:rsid w:val="7839D472"/>
    <w:rsid w:val="78652FC4"/>
    <w:rsid w:val="7913393C"/>
    <w:rsid w:val="791B0826"/>
    <w:rsid w:val="792D07CA"/>
    <w:rsid w:val="79912653"/>
    <w:rsid w:val="79A17DDF"/>
    <w:rsid w:val="79DA2464"/>
    <w:rsid w:val="79FBE4C6"/>
    <w:rsid w:val="7A11BB1A"/>
    <w:rsid w:val="7A225FFF"/>
    <w:rsid w:val="7AA22E90"/>
    <w:rsid w:val="7B140370"/>
    <w:rsid w:val="7BA3C42F"/>
    <w:rsid w:val="7BFCFC2E"/>
    <w:rsid w:val="7C4BEFBB"/>
    <w:rsid w:val="7C8A7DC4"/>
    <w:rsid w:val="7D26540C"/>
    <w:rsid w:val="7DF0342D"/>
    <w:rsid w:val="7E8CA594"/>
    <w:rsid w:val="7F2BC665"/>
    <w:rsid w:val="7F337610"/>
    <w:rsid w:val="7F5883FB"/>
    <w:rsid w:val="7FAC81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BC5A0"/>
  <w14:defaultImageDpi w14:val="96"/>
  <w15:chartTrackingRefBased/>
  <w15:docId w15:val="{6278EB30-7930-471D-9F43-CBC61EB5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6A3"/>
    <w:pPr>
      <w:jc w:val="both"/>
    </w:pPr>
  </w:style>
  <w:style w:type="paragraph" w:styleId="Heading1">
    <w:name w:val="heading 1"/>
    <w:basedOn w:val="Normal"/>
    <w:next w:val="Normal"/>
    <w:link w:val="Heading1Char"/>
    <w:uiPriority w:val="9"/>
    <w:qFormat/>
    <w:rsid w:val="0041545C"/>
    <w:pPr>
      <w:keepNext/>
      <w:keepLines/>
      <w:spacing w:before="240" w:after="0"/>
      <w:jc w:val="center"/>
      <w:outlineLvl w:val="0"/>
    </w:pPr>
    <w:rPr>
      <w:rFonts w:eastAsiaTheme="majorEastAsia" w:cstheme="majorBidi"/>
      <w:b/>
      <w:color w:val="2F5496" w:themeColor="accent1" w:themeShade="BF"/>
      <w:sz w:val="40"/>
      <w:szCs w:val="32"/>
      <w:u w:val="single"/>
    </w:rPr>
  </w:style>
  <w:style w:type="paragraph" w:styleId="Heading2">
    <w:name w:val="heading 2"/>
    <w:basedOn w:val="Normal"/>
    <w:next w:val="Normal"/>
    <w:link w:val="Heading2Char"/>
    <w:uiPriority w:val="9"/>
    <w:unhideWhenUsed/>
    <w:qFormat/>
    <w:rsid w:val="00EE770E"/>
    <w:pPr>
      <w:keepNext/>
      <w:keepLines/>
      <w:spacing w:after="0"/>
      <w:jc w:val="center"/>
      <w:outlineLvl w:val="1"/>
    </w:pPr>
    <w:rPr>
      <w:rFonts w:eastAsiaTheme="majorEastAsia" w:cstheme="majorBidi"/>
      <w:color w:val="2F5496" w:themeColor="accent1" w:themeShade="BF"/>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0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022"/>
  </w:style>
  <w:style w:type="paragraph" w:styleId="Footer">
    <w:name w:val="footer"/>
    <w:basedOn w:val="Normal"/>
    <w:link w:val="FooterChar"/>
    <w:uiPriority w:val="99"/>
    <w:unhideWhenUsed/>
    <w:rsid w:val="00320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022"/>
  </w:style>
  <w:style w:type="character" w:customStyle="1" w:styleId="normaltextrun">
    <w:name w:val="normaltextrun"/>
    <w:basedOn w:val="DefaultParagraphFont"/>
    <w:rsid w:val="00EE2967"/>
  </w:style>
  <w:style w:type="character" w:styleId="CommentReference">
    <w:name w:val="annotation reference"/>
    <w:basedOn w:val="DefaultParagraphFont"/>
    <w:uiPriority w:val="99"/>
    <w:semiHidden/>
    <w:unhideWhenUsed/>
    <w:rsid w:val="00DA6393"/>
    <w:rPr>
      <w:sz w:val="16"/>
      <w:szCs w:val="16"/>
    </w:rPr>
  </w:style>
  <w:style w:type="paragraph" w:styleId="ListParagraph">
    <w:name w:val="List Paragraph"/>
    <w:basedOn w:val="Normal"/>
    <w:uiPriority w:val="34"/>
    <w:qFormat/>
    <w:rsid w:val="00790D68"/>
    <w:pPr>
      <w:ind w:left="720"/>
      <w:contextualSpacing/>
    </w:pPr>
  </w:style>
  <w:style w:type="character" w:customStyle="1" w:styleId="Heading1Char">
    <w:name w:val="Heading 1 Char"/>
    <w:basedOn w:val="DefaultParagraphFont"/>
    <w:link w:val="Heading1"/>
    <w:uiPriority w:val="9"/>
    <w:rsid w:val="0041545C"/>
    <w:rPr>
      <w:rFonts w:ascii="Avenir Next LT Pro" w:eastAsiaTheme="majorEastAsia" w:hAnsi="Avenir Next LT Pro" w:cstheme="majorBidi"/>
      <w:b/>
      <w:color w:val="2F5496" w:themeColor="accent1" w:themeShade="BF"/>
      <w:sz w:val="40"/>
      <w:szCs w:val="32"/>
      <w:u w:val="single"/>
    </w:rPr>
  </w:style>
  <w:style w:type="character" w:customStyle="1" w:styleId="Heading2Char">
    <w:name w:val="Heading 2 Char"/>
    <w:basedOn w:val="DefaultParagraphFont"/>
    <w:link w:val="Heading2"/>
    <w:uiPriority w:val="9"/>
    <w:rsid w:val="001F2A1E"/>
    <w:rPr>
      <w:rFonts w:eastAsiaTheme="majorEastAsia" w:cstheme="majorBidi"/>
      <w:color w:val="2F5496" w:themeColor="accent1" w:themeShade="BF"/>
      <w:sz w:val="36"/>
      <w:szCs w:val="26"/>
    </w:rPr>
  </w:style>
  <w:style w:type="paragraph" w:styleId="TOCHeading">
    <w:name w:val="TOC Heading"/>
    <w:basedOn w:val="Heading1"/>
    <w:next w:val="Normal"/>
    <w:uiPriority w:val="39"/>
    <w:unhideWhenUsed/>
    <w:qFormat/>
    <w:rsid w:val="001F2A1E"/>
    <w:pPr>
      <w:outlineLvl w:val="9"/>
    </w:pPr>
    <w:rPr>
      <w:rFonts w:asciiTheme="majorHAnsi" w:hAnsiTheme="majorHAnsi"/>
      <w:b w:val="0"/>
      <w:sz w:val="32"/>
      <w:u w:val="none"/>
    </w:rPr>
  </w:style>
  <w:style w:type="paragraph" w:styleId="TOC1">
    <w:name w:val="toc 1"/>
    <w:basedOn w:val="Normal"/>
    <w:next w:val="Normal"/>
    <w:autoRedefine/>
    <w:uiPriority w:val="39"/>
    <w:unhideWhenUsed/>
    <w:rsid w:val="0099356E"/>
    <w:pPr>
      <w:tabs>
        <w:tab w:val="right" w:leader="dot" w:pos="9350"/>
      </w:tabs>
      <w:spacing w:after="100"/>
    </w:pPr>
  </w:style>
  <w:style w:type="paragraph" w:styleId="TOC2">
    <w:name w:val="toc 2"/>
    <w:basedOn w:val="Normal"/>
    <w:next w:val="Normal"/>
    <w:autoRedefine/>
    <w:uiPriority w:val="39"/>
    <w:unhideWhenUsed/>
    <w:rsid w:val="00BE7D34"/>
    <w:pPr>
      <w:tabs>
        <w:tab w:val="right" w:leader="dot" w:pos="9350"/>
      </w:tabs>
      <w:spacing w:after="100"/>
      <w:ind w:left="220"/>
    </w:pPr>
  </w:style>
  <w:style w:type="character" w:styleId="Hyperlink">
    <w:name w:val="Hyperlink"/>
    <w:basedOn w:val="DefaultParagraphFont"/>
    <w:uiPriority w:val="99"/>
    <w:unhideWhenUsed/>
    <w:rsid w:val="001F2A1E"/>
    <w:rPr>
      <w:color w:val="0563C1" w:themeColor="hyperlink"/>
      <w:u w:val="single"/>
    </w:rPr>
  </w:style>
  <w:style w:type="paragraph" w:styleId="CommentText">
    <w:name w:val="annotation text"/>
    <w:basedOn w:val="Normal"/>
    <w:link w:val="CommentTextChar"/>
    <w:uiPriority w:val="99"/>
    <w:unhideWhenUsed/>
    <w:rsid w:val="004A682B"/>
    <w:pPr>
      <w:spacing w:line="240" w:lineRule="auto"/>
    </w:pPr>
    <w:rPr>
      <w:sz w:val="20"/>
      <w:szCs w:val="20"/>
    </w:rPr>
  </w:style>
  <w:style w:type="character" w:customStyle="1" w:styleId="CommentTextChar">
    <w:name w:val="Comment Text Char"/>
    <w:basedOn w:val="DefaultParagraphFont"/>
    <w:link w:val="CommentText"/>
    <w:uiPriority w:val="99"/>
    <w:rsid w:val="004A682B"/>
    <w:rPr>
      <w:rFonts w:ascii="Avenir Next LT Pro" w:hAnsi="Avenir Next LT Pro"/>
      <w:sz w:val="20"/>
      <w:szCs w:val="20"/>
    </w:rPr>
  </w:style>
  <w:style w:type="paragraph" w:styleId="CommentSubject">
    <w:name w:val="annotation subject"/>
    <w:basedOn w:val="CommentText"/>
    <w:next w:val="CommentText"/>
    <w:link w:val="CommentSubjectChar"/>
    <w:uiPriority w:val="99"/>
    <w:semiHidden/>
    <w:unhideWhenUsed/>
    <w:rsid w:val="004A682B"/>
    <w:rPr>
      <w:b/>
      <w:bCs/>
    </w:rPr>
  </w:style>
  <w:style w:type="character" w:customStyle="1" w:styleId="CommentSubjectChar">
    <w:name w:val="Comment Subject Char"/>
    <w:basedOn w:val="CommentTextChar"/>
    <w:link w:val="CommentSubject"/>
    <w:uiPriority w:val="99"/>
    <w:semiHidden/>
    <w:rsid w:val="004A682B"/>
    <w:rPr>
      <w:rFonts w:ascii="Avenir Next LT Pro" w:hAnsi="Avenir Next LT Pro"/>
      <w:b/>
      <w:bCs/>
      <w:sz w:val="20"/>
      <w:szCs w:val="20"/>
    </w:rPr>
  </w:style>
  <w:style w:type="character" w:styleId="UnresolvedMention">
    <w:name w:val="Unresolved Mention"/>
    <w:basedOn w:val="DefaultParagraphFont"/>
    <w:uiPriority w:val="99"/>
    <w:semiHidden/>
    <w:unhideWhenUsed/>
    <w:rsid w:val="00664CE5"/>
    <w:rPr>
      <w:color w:val="605E5C"/>
      <w:shd w:val="clear" w:color="auto" w:fill="E1DFDD"/>
    </w:rPr>
  </w:style>
  <w:style w:type="paragraph" w:styleId="Revision">
    <w:name w:val="Revision"/>
    <w:hidden/>
    <w:uiPriority w:val="99"/>
    <w:semiHidden/>
    <w:rsid w:val="008A3F0C"/>
    <w:pPr>
      <w:spacing w:after="0" w:line="240" w:lineRule="auto"/>
    </w:pPr>
    <w:rPr>
      <w:rFonts w:ascii="Avenir Next LT Pro" w:hAnsi="Avenir Next LT Pro"/>
    </w:rPr>
  </w:style>
  <w:style w:type="character" w:styleId="Mention">
    <w:name w:val="Mention"/>
    <w:basedOn w:val="DefaultParagraphFont"/>
    <w:uiPriority w:val="99"/>
    <w:unhideWhenUsed/>
    <w:rsid w:val="002F55E4"/>
    <w:rPr>
      <w:color w:val="2B579A"/>
      <w:shd w:val="clear" w:color="auto" w:fill="E1DFDD"/>
    </w:rPr>
  </w:style>
  <w:style w:type="table" w:styleId="TableGrid">
    <w:name w:val="Table Grid"/>
    <w:basedOn w:val="TableNormal"/>
    <w:uiPriority w:val="39"/>
    <w:rsid w:val="004A7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03A1A"/>
    <w:pPr>
      <w:spacing w:after="0" w:line="240" w:lineRule="auto"/>
      <w:jc w:val="left"/>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03A1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803A1A"/>
    <w:rPr>
      <w:vertAlign w:val="superscript"/>
    </w:rPr>
  </w:style>
  <w:style w:type="paragraph" w:styleId="BodyText">
    <w:name w:val="Body Text"/>
    <w:basedOn w:val="Normal"/>
    <w:link w:val="BodyTextChar"/>
    <w:uiPriority w:val="1"/>
    <w:rsid w:val="00A14671"/>
    <w:pPr>
      <w:widowControl w:val="0"/>
      <w:autoSpaceDE w:val="0"/>
      <w:autoSpaceDN w:val="0"/>
      <w:spacing w:after="0" w:line="240" w:lineRule="auto"/>
      <w:jc w:val="left"/>
    </w:pPr>
    <w:rPr>
      <w:rFonts w:ascii="Gill Sans MT" w:eastAsia="Gill Sans MT" w:hAnsi="Gill Sans MT" w:cs="Gill Sans MT"/>
      <w:sz w:val="20"/>
      <w:szCs w:val="20"/>
    </w:rPr>
  </w:style>
  <w:style w:type="character" w:customStyle="1" w:styleId="BodyTextChar">
    <w:name w:val="Body Text Char"/>
    <w:basedOn w:val="DefaultParagraphFont"/>
    <w:link w:val="BodyText"/>
    <w:uiPriority w:val="1"/>
    <w:rsid w:val="00A14671"/>
    <w:rPr>
      <w:rFonts w:ascii="Gill Sans MT" w:eastAsia="Gill Sans MT" w:hAnsi="Gill Sans MT" w:cs="Gill Sans MT"/>
      <w:sz w:val="20"/>
      <w:szCs w:val="20"/>
    </w:rPr>
  </w:style>
  <w:style w:type="paragraph" w:styleId="Title">
    <w:name w:val="Title"/>
    <w:basedOn w:val="Normal"/>
    <w:next w:val="Normal"/>
    <w:link w:val="TitleChar"/>
    <w:uiPriority w:val="10"/>
    <w:qFormat/>
    <w:rsid w:val="00A14671"/>
    <w:pPr>
      <w:spacing w:after="0" w:line="204" w:lineRule="auto"/>
      <w:contextualSpacing/>
      <w:jc w:val="left"/>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14671"/>
    <w:rPr>
      <w:rFonts w:asciiTheme="majorHAnsi" w:eastAsiaTheme="majorEastAsia" w:hAnsiTheme="majorHAnsi" w:cstheme="majorBidi"/>
      <w:caps/>
      <w:color w:val="44546A" w:themeColor="text2"/>
      <w:spacing w:val="-15"/>
      <w:sz w:val="72"/>
      <w:szCs w:val="72"/>
    </w:rPr>
  </w:style>
  <w:style w:type="paragraph" w:customStyle="1" w:styleId="Default">
    <w:name w:val="Default"/>
    <w:rsid w:val="006E6A90"/>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1F5D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69133">
      <w:bodyDiv w:val="1"/>
      <w:marLeft w:val="0"/>
      <w:marRight w:val="0"/>
      <w:marTop w:val="0"/>
      <w:marBottom w:val="0"/>
      <w:divBdr>
        <w:top w:val="none" w:sz="0" w:space="0" w:color="auto"/>
        <w:left w:val="none" w:sz="0" w:space="0" w:color="auto"/>
        <w:bottom w:val="none" w:sz="0" w:space="0" w:color="auto"/>
        <w:right w:val="none" w:sz="0" w:space="0" w:color="auto"/>
      </w:divBdr>
    </w:div>
    <w:div w:id="689841458">
      <w:bodyDiv w:val="1"/>
      <w:marLeft w:val="0"/>
      <w:marRight w:val="0"/>
      <w:marTop w:val="0"/>
      <w:marBottom w:val="0"/>
      <w:divBdr>
        <w:top w:val="none" w:sz="0" w:space="0" w:color="auto"/>
        <w:left w:val="none" w:sz="0" w:space="0" w:color="auto"/>
        <w:bottom w:val="none" w:sz="0" w:space="0" w:color="auto"/>
        <w:right w:val="none" w:sz="0" w:space="0" w:color="auto"/>
      </w:divBdr>
    </w:div>
    <w:div w:id="925118294">
      <w:bodyDiv w:val="1"/>
      <w:marLeft w:val="0"/>
      <w:marRight w:val="0"/>
      <w:marTop w:val="0"/>
      <w:marBottom w:val="0"/>
      <w:divBdr>
        <w:top w:val="none" w:sz="0" w:space="0" w:color="auto"/>
        <w:left w:val="none" w:sz="0" w:space="0" w:color="auto"/>
        <w:bottom w:val="none" w:sz="0" w:space="0" w:color="auto"/>
        <w:right w:val="none" w:sz="0" w:space="0" w:color="auto"/>
      </w:divBdr>
    </w:div>
    <w:div w:id="207365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chart" Target="charts/chart7.xml"/><Relationship Id="rId34" Type="http://schemas.openxmlformats.org/officeDocument/2006/relationships/chart" Target="charts/chart15.xml"/><Relationship Id="rId42" Type="http://schemas.openxmlformats.org/officeDocument/2006/relationships/chart" Target="charts/chart21.xml"/><Relationship Id="rId47" Type="http://schemas.openxmlformats.org/officeDocument/2006/relationships/chart" Target="charts/chart26.xml"/><Relationship Id="rId50" Type="http://schemas.openxmlformats.org/officeDocument/2006/relationships/chart" Target="charts/chart28.xml"/><Relationship Id="rId55" Type="http://schemas.openxmlformats.org/officeDocument/2006/relationships/image" Target="media/image13.tmp"/><Relationship Id="rId63"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image" Target="media/image5.png"/><Relationship Id="rId11" Type="http://schemas.openxmlformats.org/officeDocument/2006/relationships/image" Target="media/image1.png"/><Relationship Id="rId24" Type="http://schemas.openxmlformats.org/officeDocument/2006/relationships/chart" Target="charts/chart10.xml"/><Relationship Id="rId32" Type="http://schemas.openxmlformats.org/officeDocument/2006/relationships/chart" Target="charts/chart13.xml"/><Relationship Id="rId37" Type="http://schemas.openxmlformats.org/officeDocument/2006/relationships/image" Target="media/image6.emf"/><Relationship Id="rId40" Type="http://schemas.openxmlformats.org/officeDocument/2006/relationships/chart" Target="charts/chart19.xml"/><Relationship Id="rId45" Type="http://schemas.openxmlformats.org/officeDocument/2006/relationships/chart" Target="charts/chart24.xml"/><Relationship Id="rId53" Type="http://schemas.openxmlformats.org/officeDocument/2006/relationships/image" Target="media/image11.tmp"/><Relationship Id="rId58" Type="http://schemas.openxmlformats.org/officeDocument/2006/relationships/header" Target="header1.xml"/><Relationship Id="rId66"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hyperlink" Target="https://marathonstrategies.com/report/corporate-verdicts-go-thermonuclear-2025-edition/" TargetMode="External"/><Relationship Id="rId30" Type="http://schemas.openxmlformats.org/officeDocument/2006/relationships/image" Target="cid:0f57754f-3ddc-41c7-bcd2-672c5389163c" TargetMode="External"/><Relationship Id="rId35" Type="http://schemas.openxmlformats.org/officeDocument/2006/relationships/chart" Target="charts/chart16.xml"/><Relationship Id="rId43" Type="http://schemas.openxmlformats.org/officeDocument/2006/relationships/chart" Target="charts/chart22.xml"/><Relationship Id="rId48" Type="http://schemas.openxmlformats.org/officeDocument/2006/relationships/chart" Target="charts/chart27.xml"/><Relationship Id="rId56" Type="http://schemas.openxmlformats.org/officeDocument/2006/relationships/image" Target="media/image14.tmp"/><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9.tmp"/><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chart" Target="charts/chart14.xml"/><Relationship Id="rId38" Type="http://schemas.openxmlformats.org/officeDocument/2006/relationships/image" Target="media/image7.png"/><Relationship Id="rId46" Type="http://schemas.openxmlformats.org/officeDocument/2006/relationships/chart" Target="charts/chart25.xml"/><Relationship Id="rId59" Type="http://schemas.openxmlformats.org/officeDocument/2006/relationships/header" Target="header2.xml"/><Relationship Id="rId20" Type="http://schemas.openxmlformats.org/officeDocument/2006/relationships/image" Target="media/image3.png"/><Relationship Id="rId41" Type="http://schemas.openxmlformats.org/officeDocument/2006/relationships/chart" Target="charts/chart20.xml"/><Relationship Id="rId54" Type="http://schemas.openxmlformats.org/officeDocument/2006/relationships/image" Target="media/image12.tmp"/><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hyperlink" Target="https://content.naic.org/sites/default/files/natural-catastrophe-risk-dashboard-report-final.pdf" TargetMode="External"/><Relationship Id="rId36" Type="http://schemas.openxmlformats.org/officeDocument/2006/relationships/chart" Target="charts/chart17.xml"/><Relationship Id="rId49" Type="http://schemas.openxmlformats.org/officeDocument/2006/relationships/image" Target="media/image8.jpeg"/><Relationship Id="rId57" Type="http://schemas.openxmlformats.org/officeDocument/2006/relationships/image" Target="media/image15.tmp"/><Relationship Id="rId10" Type="http://schemas.openxmlformats.org/officeDocument/2006/relationships/endnotes" Target="endnotes.xml"/><Relationship Id="rId31" Type="http://schemas.openxmlformats.org/officeDocument/2006/relationships/chart" Target="charts/chart12.xml"/><Relationship Id="rId44" Type="http://schemas.openxmlformats.org/officeDocument/2006/relationships/chart" Target="charts/chart23.xml"/><Relationship Id="rId52" Type="http://schemas.openxmlformats.org/officeDocument/2006/relationships/image" Target="media/image10.tmp"/><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0.jpeg"/><Relationship Id="rId18" Type="http://schemas.openxmlformats.org/officeDocument/2006/relationships/chart" Target="charts/chart5.xml"/><Relationship Id="rId39" Type="http://schemas.openxmlformats.org/officeDocument/2006/relationships/chart" Target="charts/chart18.xml"/></Relationships>
</file>

<file path=word/_rels/footnotes.xml.rels><?xml version="1.0" encoding="UTF-8" standalone="yes"?>
<Relationships xmlns="http://schemas.openxmlformats.org/package/2006/relationships"><Relationship Id="rId1" Type="http://schemas.openxmlformats.org/officeDocument/2006/relationships/hyperlink" Target="https://www.iais.org/activities-topics/financial-stability/holistic-framewor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naiconline.sharepoint.com/teams/fstf_CapitalMarketsBureau_O365GRP/Shared%20Documents/Macro%20Risk%20Assessment/2025%20Dashboard/MRA%20-%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Annual Percentage Change in </a:t>
            </a:r>
          </a:p>
          <a:p>
            <a:pPr>
              <a:defRPr/>
            </a:pPr>
            <a:r>
              <a:rPr lang="en-US"/>
              <a:t>Inflation-Adjusted Gross Domestic Product (GDP)</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4.952819915014052E-2"/>
          <c:y val="0.13712514454594374"/>
          <c:w val="0.93429369302447918"/>
          <c:h val="0.68464476531441731"/>
        </c:manualLayout>
      </c:layout>
      <c:barChart>
        <c:barDir val="col"/>
        <c:grouping val="clustered"/>
        <c:varyColors val="0"/>
        <c:ser>
          <c:idx val="0"/>
          <c:order val="0"/>
          <c:tx>
            <c:strRef>
              <c:f>'1.1A - GDP'!$C$7</c:f>
              <c:strCache>
                <c:ptCount val="1"/>
                <c:pt idx="0">
                  <c:v>%Chg Real GDP</c:v>
                </c:pt>
              </c:strCache>
            </c:strRef>
          </c:tx>
          <c:spPr>
            <a:solidFill>
              <a:schemeClr val="accent1">
                <a:alpha val="85000"/>
              </a:schemeClr>
            </a:solidFill>
            <a:ln w="9525" cap="flat" cmpd="sng" algn="ctr">
              <a:solidFill>
                <a:schemeClr val="lt1">
                  <a:alpha val="50000"/>
                </a:schemeClr>
              </a:solidFill>
              <a:round/>
            </a:ln>
            <a:effectLst/>
          </c:spPr>
          <c:invertIfNegative val="0"/>
          <c:dPt>
            <c:idx val="15"/>
            <c:invertIfNegative val="0"/>
            <c:bubble3D val="0"/>
            <c:extLst>
              <c:ext xmlns:c16="http://schemas.microsoft.com/office/drawing/2014/chart" uri="{C3380CC4-5D6E-409C-BE32-E72D297353CC}">
                <c16:uniqueId val="{00000000-0A5F-43DD-A25D-37BACA6298B5}"/>
              </c:ext>
            </c:extLst>
          </c:dPt>
          <c:dPt>
            <c:idx val="16"/>
            <c:invertIfNegative val="0"/>
            <c:bubble3D val="0"/>
            <c:extLst>
              <c:ext xmlns:c16="http://schemas.microsoft.com/office/drawing/2014/chart" uri="{C3380CC4-5D6E-409C-BE32-E72D297353CC}">
                <c16:uniqueId val="{00000001-0A5F-43DD-A25D-37BACA6298B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'1.1A - GDP'!$A$17:$A$34</c:f>
              <c:numCache>
                <c:formatCode>m/d/yyyy</c:formatCode>
                <c:ptCount val="18"/>
                <c:pt idx="0">
                  <c:v>39448</c:v>
                </c:pt>
                <c:pt idx="1">
                  <c:v>39814</c:v>
                </c:pt>
                <c:pt idx="2">
                  <c:v>40179</c:v>
                </c:pt>
                <c:pt idx="3">
                  <c:v>40544</c:v>
                </c:pt>
                <c:pt idx="4">
                  <c:v>40909</c:v>
                </c:pt>
                <c:pt idx="5">
                  <c:v>41275</c:v>
                </c:pt>
                <c:pt idx="6">
                  <c:v>41640</c:v>
                </c:pt>
                <c:pt idx="7">
                  <c:v>42005</c:v>
                </c:pt>
                <c:pt idx="8">
                  <c:v>42370</c:v>
                </c:pt>
                <c:pt idx="9">
                  <c:v>42736</c:v>
                </c:pt>
                <c:pt idx="10">
                  <c:v>43101</c:v>
                </c:pt>
                <c:pt idx="11">
                  <c:v>43466</c:v>
                </c:pt>
                <c:pt idx="12">
                  <c:v>43831</c:v>
                </c:pt>
                <c:pt idx="13">
                  <c:v>44197</c:v>
                </c:pt>
                <c:pt idx="14">
                  <c:v>44562</c:v>
                </c:pt>
                <c:pt idx="15">
                  <c:v>44927</c:v>
                </c:pt>
                <c:pt idx="16">
                  <c:v>45292</c:v>
                </c:pt>
                <c:pt idx="17">
                  <c:v>45658</c:v>
                </c:pt>
              </c:numCache>
            </c:numRef>
          </c:cat>
          <c:val>
            <c:numRef>
              <c:f>'1.1A - GDP'!$C$17:$C$34</c:f>
              <c:numCache>
                <c:formatCode>0.0%</c:formatCode>
                <c:ptCount val="18"/>
                <c:pt idx="0">
                  <c:v>1.1358724816099564E-3</c:v>
                </c:pt>
                <c:pt idx="1">
                  <c:v>-2.5765002322500119E-2</c:v>
                </c:pt>
                <c:pt idx="2">
                  <c:v>2.6951925823485157E-2</c:v>
                </c:pt>
                <c:pt idx="3">
                  <c:v>1.5644068553730683E-2</c:v>
                </c:pt>
                <c:pt idx="4">
                  <c:v>2.2891133863189861E-2</c:v>
                </c:pt>
                <c:pt idx="5">
                  <c:v>2.1178300978647036E-2</c:v>
                </c:pt>
                <c:pt idx="6">
                  <c:v>2.5238198137262025E-2</c:v>
                </c:pt>
                <c:pt idx="7">
                  <c:v>2.9455504559977141E-2</c:v>
                </c:pt>
                <c:pt idx="8">
                  <c:v>1.8194514762052139E-2</c:v>
                </c:pt>
                <c:pt idx="9">
                  <c:v>2.4576223017508614E-2</c:v>
                </c:pt>
                <c:pt idx="10">
                  <c:v>2.9665050691659811E-2</c:v>
                </c:pt>
                <c:pt idx="11">
                  <c:v>2.5838253301888825E-2</c:v>
                </c:pt>
                <c:pt idx="12">
                  <c:v>-2.08137597860093E-2</c:v>
                </c:pt>
                <c:pt idx="13">
                  <c:v>6.1520224802188883E-2</c:v>
                </c:pt>
                <c:pt idx="14">
                  <c:v>2.5242138512429291E-2</c:v>
                </c:pt>
                <c:pt idx="15">
                  <c:v>2.934363221193248E-2</c:v>
                </c:pt>
                <c:pt idx="16">
                  <c:v>2.7931871539161435E-2</c:v>
                </c:pt>
                <c:pt idx="17">
                  <c:v>3.4975884269925706E-2</c:v>
                </c:pt>
              </c:numCache>
            </c:numRef>
          </c:val>
          <c:extLst>
            <c:ext xmlns:c16="http://schemas.microsoft.com/office/drawing/2014/chart" uri="{C3380CC4-5D6E-409C-BE32-E72D297353CC}">
              <c16:uniqueId val="{00000002-0A5F-43DD-A25D-37BACA6298B5}"/>
            </c:ext>
          </c:extLst>
        </c:ser>
        <c:dLbls>
          <c:dLblPos val="inEnd"/>
          <c:showLegendKey val="0"/>
          <c:showVal val="1"/>
          <c:showCatName val="0"/>
          <c:showSerName val="0"/>
          <c:showPercent val="0"/>
          <c:showBubbleSize val="0"/>
        </c:dLbls>
        <c:gapWidth val="65"/>
        <c:axId val="847987696"/>
        <c:axId val="847986864"/>
      </c:barChart>
      <c:dateAx>
        <c:axId val="847987696"/>
        <c:scaling>
          <c:orientation val="minMax"/>
        </c:scaling>
        <c:delete val="0"/>
        <c:axPos val="b"/>
        <c:numFmt formatCode="m/d/yyyy" sourceLinked="1"/>
        <c:majorTickMark val="none"/>
        <c:minorTickMark val="none"/>
        <c:tickLblPos val="low"/>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47986864"/>
        <c:crosses val="autoZero"/>
        <c:auto val="1"/>
        <c:lblOffset val="100"/>
        <c:baseTimeUnit val="years"/>
      </c:dateAx>
      <c:valAx>
        <c:axId val="8479868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0"/>
        <c:majorTickMark val="none"/>
        <c:minorTickMark val="none"/>
        <c:tickLblPos val="nextTo"/>
        <c:crossAx val="84798769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rgbClr val="7030A0"/>
                </a:solidFill>
              </a:rPr>
              <a:t>Life Profitability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'4.2 - Profit'!$B$45</c:f>
              <c:strCache>
                <c:ptCount val="1"/>
                <c:pt idx="0">
                  <c:v>Net Income</c:v>
                </c:pt>
              </c:strCache>
            </c:strRef>
          </c:tx>
          <c:spPr>
            <a:solidFill>
              <a:schemeClr val="accent2"/>
            </a:solidFill>
            <a:ln>
              <a:noFill/>
            </a:ln>
            <a:effectLst/>
          </c:spPr>
          <c:invertIfNegative val="0"/>
          <c:cat>
            <c:numRef>
              <c:f>'4.2 - Profit'!$A$46:$A$61</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'4.2 - Profit'!$B$46:$B$61</c:f>
              <c:numCache>
                <c:formatCode>"$"#,##0</c:formatCode>
                <c:ptCount val="16"/>
                <c:pt idx="0">
                  <c:v>25825</c:v>
                </c:pt>
                <c:pt idx="1">
                  <c:v>12221</c:v>
                </c:pt>
                <c:pt idx="2">
                  <c:v>38895</c:v>
                </c:pt>
                <c:pt idx="3">
                  <c:v>41814</c:v>
                </c:pt>
                <c:pt idx="4">
                  <c:v>33707</c:v>
                </c:pt>
                <c:pt idx="5">
                  <c:v>36808</c:v>
                </c:pt>
                <c:pt idx="6">
                  <c:v>34906</c:v>
                </c:pt>
                <c:pt idx="7">
                  <c:v>38523</c:v>
                </c:pt>
                <c:pt idx="8">
                  <c:v>29624</c:v>
                </c:pt>
                <c:pt idx="9">
                  <c:v>39734</c:v>
                </c:pt>
                <c:pt idx="10">
                  <c:v>17414</c:v>
                </c:pt>
                <c:pt idx="11">
                  <c:v>33825</c:v>
                </c:pt>
                <c:pt idx="12">
                  <c:v>34700</c:v>
                </c:pt>
                <c:pt idx="13">
                  <c:v>31400</c:v>
                </c:pt>
                <c:pt idx="14">
                  <c:v>23500</c:v>
                </c:pt>
                <c:pt idx="15">
                  <c:v>30500</c:v>
                </c:pt>
              </c:numCache>
            </c:numRef>
          </c:val>
          <c:extLst>
            <c:ext xmlns:c16="http://schemas.microsoft.com/office/drawing/2014/chart" uri="{C3380CC4-5D6E-409C-BE32-E72D297353CC}">
              <c16:uniqueId val="{00000000-4D00-4689-910A-58139D9ED39F}"/>
            </c:ext>
          </c:extLst>
        </c:ser>
        <c:dLbls>
          <c:showLegendKey val="0"/>
          <c:showVal val="0"/>
          <c:showCatName val="0"/>
          <c:showSerName val="0"/>
          <c:showPercent val="0"/>
          <c:showBubbleSize val="0"/>
        </c:dLbls>
        <c:gapWidth val="219"/>
        <c:overlap val="-27"/>
        <c:axId val="482370463"/>
        <c:axId val="482380863"/>
      </c:barChart>
      <c:lineChart>
        <c:grouping val="standard"/>
        <c:varyColors val="0"/>
        <c:ser>
          <c:idx val="1"/>
          <c:order val="1"/>
          <c:tx>
            <c:strRef>
              <c:f>'4.2 - Profit'!$C$45</c:f>
              <c:strCache>
                <c:ptCount val="1"/>
                <c:pt idx="0">
                  <c:v>RoE</c:v>
                </c:pt>
              </c:strCache>
            </c:strRef>
          </c:tx>
          <c:spPr>
            <a:ln w="28575" cap="rnd">
              <a:solidFill>
                <a:srgbClr val="ED7D31"/>
              </a:solidFill>
              <a:round/>
            </a:ln>
            <a:effectLst/>
          </c:spPr>
          <c:marker>
            <c:symbol val="none"/>
          </c:marker>
          <c:cat>
            <c:numRef>
              <c:f>'4.2 - Profit'!$A$46:$A$60</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'4.2 - Profit'!$C$46:$C$61</c:f>
              <c:numCache>
                <c:formatCode>0.0%</c:formatCode>
                <c:ptCount val="16"/>
                <c:pt idx="0">
                  <c:v>8.2000000000000003E-2</c:v>
                </c:pt>
                <c:pt idx="1">
                  <c:v>3.9E-2</c:v>
                </c:pt>
                <c:pt idx="2">
                  <c:v>0.11700000000000001</c:v>
                </c:pt>
                <c:pt idx="3">
                  <c:v>0.123</c:v>
                </c:pt>
                <c:pt idx="4">
                  <c:v>9.1999999999999998E-2</c:v>
                </c:pt>
                <c:pt idx="5">
                  <c:v>9.7000000000000003E-2</c:v>
                </c:pt>
                <c:pt idx="6">
                  <c:v>8.7999999999999995E-2</c:v>
                </c:pt>
                <c:pt idx="7">
                  <c:v>9.4E-2</c:v>
                </c:pt>
                <c:pt idx="8">
                  <c:v>7.0999999999999994E-2</c:v>
                </c:pt>
                <c:pt idx="9">
                  <c:v>9.0999999999999998E-2</c:v>
                </c:pt>
                <c:pt idx="10">
                  <c:v>3.9E-2</c:v>
                </c:pt>
                <c:pt idx="11">
                  <c:v>6.9000000000000006E-2</c:v>
                </c:pt>
                <c:pt idx="12" formatCode="0.00%">
                  <c:v>7.1999999999999995E-2</c:v>
                </c:pt>
                <c:pt idx="13">
                  <c:v>6.2E-2</c:v>
                </c:pt>
                <c:pt idx="14" formatCode="0.00%">
                  <c:v>4.5999999999999999E-2</c:v>
                </c:pt>
                <c:pt idx="15" formatCode="0.00%">
                  <c:v>5.7000000000000002E-2</c:v>
                </c:pt>
              </c:numCache>
            </c:numRef>
          </c:val>
          <c:smooth val="0"/>
          <c:extLst>
            <c:ext xmlns:c16="http://schemas.microsoft.com/office/drawing/2014/chart" uri="{C3380CC4-5D6E-409C-BE32-E72D297353CC}">
              <c16:uniqueId val="{00000001-4D00-4689-910A-58139D9ED39F}"/>
            </c:ext>
          </c:extLst>
        </c:ser>
        <c:dLbls>
          <c:showLegendKey val="0"/>
          <c:showVal val="0"/>
          <c:showCatName val="0"/>
          <c:showSerName val="0"/>
          <c:showPercent val="0"/>
          <c:showBubbleSize val="0"/>
        </c:dLbls>
        <c:marker val="1"/>
        <c:smooth val="0"/>
        <c:axId val="625804623"/>
        <c:axId val="625801711"/>
      </c:lineChart>
      <c:catAx>
        <c:axId val="482370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380863"/>
        <c:crosses val="autoZero"/>
        <c:auto val="1"/>
        <c:lblAlgn val="ctr"/>
        <c:lblOffset val="100"/>
        <c:noMultiLvlLbl val="0"/>
      </c:catAx>
      <c:valAx>
        <c:axId val="482380863"/>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370463"/>
        <c:crosses val="autoZero"/>
        <c:crossBetween val="between"/>
      </c:valAx>
      <c:valAx>
        <c:axId val="625801711"/>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804623"/>
        <c:crosses val="max"/>
        <c:crossBetween val="between"/>
      </c:valAx>
      <c:catAx>
        <c:axId val="625804623"/>
        <c:scaling>
          <c:orientation val="minMax"/>
        </c:scaling>
        <c:delete val="1"/>
        <c:axPos val="b"/>
        <c:numFmt formatCode="General" sourceLinked="1"/>
        <c:majorTickMark val="out"/>
        <c:minorTickMark val="none"/>
        <c:tickLblPos val="nextTo"/>
        <c:crossAx val="6258017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P&amp;C Trends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'4.1 - UW performance'!$B$4</c:f>
              <c:strCache>
                <c:ptCount val="1"/>
                <c:pt idx="0">
                  <c:v>Loss Ratio</c:v>
                </c:pt>
              </c:strCache>
            </c:strRef>
          </c:tx>
          <c:spPr>
            <a:ln w="34925" cap="rnd">
              <a:solidFill>
                <a:schemeClr val="accent6"/>
              </a:solidFill>
              <a:round/>
            </a:ln>
            <a:effectLst>
              <a:outerShdw blurRad="40000" dist="23000" dir="5400000" rotWithShape="0">
                <a:srgbClr val="000000">
                  <a:alpha val="35000"/>
                </a:srgbClr>
              </a:outerShdw>
            </a:effectLst>
          </c:spPr>
          <c:marker>
            <c:symbol val="none"/>
          </c:marker>
          <c:cat>
            <c:numRef>
              <c:f>'4.1 - UW performance'!$A$5:$A$20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'4.1 - UW performance'!$B$5:$B$20</c:f>
              <c:numCache>
                <c:formatCode>0.0%</c:formatCode>
                <c:ptCount val="16"/>
                <c:pt idx="0">
                  <c:v>0.73699999999999999</c:v>
                </c:pt>
                <c:pt idx="1">
                  <c:v>0.79500000000000004</c:v>
                </c:pt>
                <c:pt idx="2">
                  <c:v>0.74399999999999999</c:v>
                </c:pt>
                <c:pt idx="3">
                  <c:v>0.67200000000000004</c:v>
                </c:pt>
                <c:pt idx="4">
                  <c:v>0.69</c:v>
                </c:pt>
                <c:pt idx="5">
                  <c:v>0.69299999999999995</c:v>
                </c:pt>
                <c:pt idx="6">
                  <c:v>0.72199999999999998</c:v>
                </c:pt>
                <c:pt idx="7">
                  <c:v>0.76200000000000001</c:v>
                </c:pt>
                <c:pt idx="8">
                  <c:v>0.71399999999999997</c:v>
                </c:pt>
                <c:pt idx="9">
                  <c:v>0.71</c:v>
                </c:pt>
                <c:pt idx="10">
                  <c:v>0.70199999999999996</c:v>
                </c:pt>
                <c:pt idx="11">
                  <c:v>0.72499999999999998</c:v>
                </c:pt>
                <c:pt idx="12">
                  <c:v>0.76400000000000001</c:v>
                </c:pt>
                <c:pt idx="13">
                  <c:v>0.76300000000000001</c:v>
                </c:pt>
                <c:pt idx="14">
                  <c:v>0.71199999999999997</c:v>
                </c:pt>
                <c:pt idx="15">
                  <c:v>0.66500000000000004</c:v>
                </c:pt>
              </c:numCache>
            </c:numRef>
          </c:val>
          <c:smooth val="0"/>
          <c:extLst>
            <c:ext xmlns:c16="http://schemas.microsoft.com/office/drawing/2014/chart" uri="{C3380CC4-5D6E-409C-BE32-E72D297353CC}">
              <c16:uniqueId val="{00000000-AB1A-49E3-A83C-476761F4B10E}"/>
            </c:ext>
          </c:extLst>
        </c:ser>
        <c:ser>
          <c:idx val="1"/>
          <c:order val="1"/>
          <c:tx>
            <c:strRef>
              <c:f>'4.1 - UW performance'!$C$4</c:f>
              <c:strCache>
                <c:ptCount val="1"/>
                <c:pt idx="0">
                  <c:v>Combined ratio</c:v>
                </c:pt>
              </c:strCache>
            </c:strRef>
          </c:tx>
          <c:spPr>
            <a:ln w="34925" cap="rnd">
              <a:solidFill>
                <a:schemeClr val="accent5"/>
              </a:solidFill>
              <a:round/>
            </a:ln>
            <a:effectLst>
              <a:outerShdw blurRad="40000" dist="23000" dir="5400000" rotWithShape="0">
                <a:srgbClr val="000000">
                  <a:alpha val="35000"/>
                </a:srgbClr>
              </a:outerShdw>
            </a:effectLst>
          </c:spPr>
          <c:marker>
            <c:symbol val="none"/>
          </c:marker>
          <c:cat>
            <c:numRef>
              <c:f>'4.1 - UW performance'!$A$5:$A$20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'4.1 - UW performance'!$C$5:$C$20</c:f>
              <c:numCache>
                <c:formatCode>0.00%</c:formatCode>
                <c:ptCount val="16"/>
                <c:pt idx="0">
                  <c:v>1.028</c:v>
                </c:pt>
                <c:pt idx="1">
                  <c:v>1.08</c:v>
                </c:pt>
                <c:pt idx="2">
                  <c:v>1.0309999999999999</c:v>
                </c:pt>
                <c:pt idx="3">
                  <c:v>0.96</c:v>
                </c:pt>
                <c:pt idx="4">
                  <c:v>0.97299999999999998</c:v>
                </c:pt>
                <c:pt idx="5">
                  <c:v>0.97799999999999998</c:v>
                </c:pt>
                <c:pt idx="6">
                  <c:v>1.0049999999999999</c:v>
                </c:pt>
                <c:pt idx="7">
                  <c:v>1.0389999999999999</c:v>
                </c:pt>
                <c:pt idx="8">
                  <c:v>0.99099999999999999</c:v>
                </c:pt>
                <c:pt idx="9">
                  <c:v>0.98699999999999999</c:v>
                </c:pt>
                <c:pt idx="10" formatCode="0.0%">
                  <c:v>0.98699999999999999</c:v>
                </c:pt>
                <c:pt idx="11">
                  <c:v>0.996</c:v>
                </c:pt>
                <c:pt idx="12">
                  <c:v>1.0249999999999999</c:v>
                </c:pt>
                <c:pt idx="13">
                  <c:v>1.0169999999999999</c:v>
                </c:pt>
                <c:pt idx="14">
                  <c:v>0.96899999999999997</c:v>
                </c:pt>
                <c:pt idx="15">
                  <c:v>0.92900000000000005</c:v>
                </c:pt>
              </c:numCache>
            </c:numRef>
          </c:val>
          <c:smooth val="0"/>
          <c:extLst>
            <c:ext xmlns:c16="http://schemas.microsoft.com/office/drawing/2014/chart" uri="{C3380CC4-5D6E-409C-BE32-E72D297353CC}">
              <c16:uniqueId val="{00000001-AB1A-49E3-A83C-476761F4B10E}"/>
            </c:ext>
          </c:extLst>
        </c:ser>
        <c:dLbls>
          <c:showLegendKey val="0"/>
          <c:showVal val="0"/>
          <c:showCatName val="0"/>
          <c:showSerName val="0"/>
          <c:showPercent val="0"/>
          <c:showBubbleSize val="0"/>
        </c:dLbls>
        <c:smooth val="0"/>
        <c:axId val="625484335"/>
        <c:axId val="625484751"/>
      </c:lineChart>
      <c:catAx>
        <c:axId val="62548433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484751"/>
        <c:crosses val="autoZero"/>
        <c:auto val="1"/>
        <c:lblAlgn val="ctr"/>
        <c:lblOffset val="100"/>
        <c:noMultiLvlLbl val="0"/>
      </c:catAx>
      <c:valAx>
        <c:axId val="625484751"/>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484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Health Trends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'4.1 - UW performance'!$B$24</c:f>
              <c:strCache>
                <c:ptCount val="1"/>
                <c:pt idx="0">
                  <c:v>Loss Ratio</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cat>
            <c:numRef>
              <c:f>'4.1 - UW performance'!$A$25:$A$40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'4.1 - UW performance'!$B$25:$B$40</c:f>
              <c:numCache>
                <c:formatCode>0.0%</c:formatCode>
                <c:ptCount val="16"/>
                <c:pt idx="0">
                  <c:v>0.84899999999999998</c:v>
                </c:pt>
                <c:pt idx="1">
                  <c:v>0.84499999999999997</c:v>
                </c:pt>
                <c:pt idx="2">
                  <c:v>0.85699999999999998</c:v>
                </c:pt>
                <c:pt idx="3">
                  <c:v>0.85799999999999998</c:v>
                </c:pt>
                <c:pt idx="4">
                  <c:v>0.85299999999999998</c:v>
                </c:pt>
                <c:pt idx="5">
                  <c:v>0.85599999999999998</c:v>
                </c:pt>
                <c:pt idx="6">
                  <c:v>0.85399999999999998</c:v>
                </c:pt>
                <c:pt idx="7">
                  <c:v>0.85399999999999998</c:v>
                </c:pt>
                <c:pt idx="8">
                  <c:v>0.84</c:v>
                </c:pt>
                <c:pt idx="9">
                  <c:v>0.85799999999999998</c:v>
                </c:pt>
                <c:pt idx="10">
                  <c:v>0.82599999999999996</c:v>
                </c:pt>
                <c:pt idx="11">
                  <c:v>0.86799999999999999</c:v>
                </c:pt>
                <c:pt idx="12">
                  <c:v>0.85799999999999998</c:v>
                </c:pt>
                <c:pt idx="13">
                  <c:v>0.86699999999999999</c:v>
                </c:pt>
                <c:pt idx="14">
                  <c:v>0.89</c:v>
                </c:pt>
                <c:pt idx="15">
                  <c:v>0.90300000000000002</c:v>
                </c:pt>
              </c:numCache>
            </c:numRef>
          </c:val>
          <c:smooth val="0"/>
          <c:extLst>
            <c:ext xmlns:c16="http://schemas.microsoft.com/office/drawing/2014/chart" uri="{C3380CC4-5D6E-409C-BE32-E72D297353CC}">
              <c16:uniqueId val="{00000000-6115-42F3-B2DC-E3109F536FBA}"/>
            </c:ext>
          </c:extLst>
        </c:ser>
        <c:ser>
          <c:idx val="1"/>
          <c:order val="1"/>
          <c:tx>
            <c:strRef>
              <c:f>'4.1 - UW performance'!$C$24</c:f>
              <c:strCache>
                <c:ptCount val="1"/>
                <c:pt idx="0">
                  <c:v>Combined Ratio</c:v>
                </c:pt>
              </c:strCache>
            </c:strRef>
          </c:tx>
          <c:spPr>
            <a:ln w="34925" cap="rnd">
              <a:solidFill>
                <a:srgbClr val="ED7D31">
                  <a:lumMod val="60000"/>
                  <a:lumOff val="40000"/>
                </a:srgbClr>
              </a:solidFill>
              <a:round/>
            </a:ln>
            <a:effectLst>
              <a:outerShdw blurRad="40000" dist="23000" dir="5400000" rotWithShape="0">
                <a:srgbClr val="000000">
                  <a:alpha val="35000"/>
                </a:srgbClr>
              </a:outerShdw>
            </a:effectLst>
          </c:spPr>
          <c:marker>
            <c:symbol val="none"/>
          </c:marker>
          <c:cat>
            <c:numRef>
              <c:f>'4.1 - UW performance'!$A$25:$A$40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'4.1 - UW performance'!$C$25:$C$40</c:f>
              <c:numCache>
                <c:formatCode>0.00%</c:formatCode>
                <c:ptCount val="16"/>
                <c:pt idx="0">
                  <c:v>0.96709999999999996</c:v>
                </c:pt>
                <c:pt idx="1">
                  <c:v>0.96399999999999997</c:v>
                </c:pt>
                <c:pt idx="2">
                  <c:v>0.97299999999999998</c:v>
                </c:pt>
                <c:pt idx="3">
                  <c:v>0.97899999999999998</c:v>
                </c:pt>
                <c:pt idx="4">
                  <c:v>0.98799999999999999</c:v>
                </c:pt>
                <c:pt idx="5">
                  <c:v>0.98899999999999999</c:v>
                </c:pt>
                <c:pt idx="6">
                  <c:v>0.98399999999999999</c:v>
                </c:pt>
                <c:pt idx="7">
                  <c:v>0.97199999999999998</c:v>
                </c:pt>
                <c:pt idx="8">
                  <c:v>0.97</c:v>
                </c:pt>
                <c:pt idx="9">
                  <c:v>0.97599999999999998</c:v>
                </c:pt>
                <c:pt idx="10">
                  <c:v>0.96</c:v>
                </c:pt>
                <c:pt idx="11">
                  <c:v>0.98299999999999998</c:v>
                </c:pt>
                <c:pt idx="12" formatCode="0.0%">
                  <c:v>0.97499999999999998</c:v>
                </c:pt>
                <c:pt idx="13" formatCode="0.0%">
                  <c:v>0.98199999999999998</c:v>
                </c:pt>
                <c:pt idx="14" formatCode="0.0%">
                  <c:v>1.0009999999999999</c:v>
                </c:pt>
                <c:pt idx="15" formatCode="0.0%">
                  <c:v>1.006</c:v>
                </c:pt>
              </c:numCache>
            </c:numRef>
          </c:val>
          <c:smooth val="0"/>
          <c:extLst>
            <c:ext xmlns:c16="http://schemas.microsoft.com/office/drawing/2014/chart" uri="{C3380CC4-5D6E-409C-BE32-E72D297353CC}">
              <c16:uniqueId val="{00000001-6115-42F3-B2DC-E3109F536FBA}"/>
            </c:ext>
          </c:extLst>
        </c:ser>
        <c:dLbls>
          <c:showLegendKey val="0"/>
          <c:showVal val="0"/>
          <c:showCatName val="0"/>
          <c:showSerName val="0"/>
          <c:showPercent val="0"/>
          <c:showBubbleSize val="0"/>
        </c:dLbls>
        <c:smooth val="0"/>
        <c:axId val="572902015"/>
        <c:axId val="572902431"/>
      </c:lineChart>
      <c:catAx>
        <c:axId val="5729020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902431"/>
        <c:crosses val="autoZero"/>
        <c:auto val="1"/>
        <c:lblAlgn val="ctr"/>
        <c:lblOffset val="100"/>
        <c:noMultiLvlLbl val="0"/>
      </c:catAx>
      <c:valAx>
        <c:axId val="572902431"/>
        <c:scaling>
          <c:orientation val="minMax"/>
          <c:max val="1.05"/>
          <c:min val="0.7500000000000001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902015"/>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Common Stock Exposure (in billions)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2"/>
          <c:order val="2"/>
          <c:tx>
            <c:strRef>
              <c:f>'Stock and Bond Graphs'!$B$4</c:f>
              <c:strCache>
                <c:ptCount val="1"/>
                <c:pt idx="0">
                  <c:v>Common Stock</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'Stock and Bond Graphs'!$C$1:$R$1</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'Stock and Bond Graphs'!$C$4:$R$4</c:f>
              <c:numCache>
                <c:formatCode>#,##0</c:formatCode>
                <c:ptCount val="16"/>
                <c:pt idx="0">
                  <c:v>517519</c:v>
                </c:pt>
                <c:pt idx="1">
                  <c:v>549248</c:v>
                </c:pt>
                <c:pt idx="2">
                  <c:v>589833</c:v>
                </c:pt>
                <c:pt idx="3">
                  <c:v>669400</c:v>
                </c:pt>
                <c:pt idx="4">
                  <c:v>684201</c:v>
                </c:pt>
                <c:pt idx="5">
                  <c:v>672564</c:v>
                </c:pt>
                <c:pt idx="6">
                  <c:v>727248</c:v>
                </c:pt>
                <c:pt idx="7">
                  <c:v>808962</c:v>
                </c:pt>
                <c:pt idx="8">
                  <c:v>784240</c:v>
                </c:pt>
                <c:pt idx="9">
                  <c:v>918445.41244099999</c:v>
                </c:pt>
                <c:pt idx="10">
                  <c:v>993087.48733899998</c:v>
                </c:pt>
                <c:pt idx="11">
                  <c:v>1171923.513762</c:v>
                </c:pt>
                <c:pt idx="12">
                  <c:v>1074788.7672629999</c:v>
                </c:pt>
                <c:pt idx="13">
                  <c:v>1178616.538624</c:v>
                </c:pt>
                <c:pt idx="14">
                  <c:v>1173646.4939349999</c:v>
                </c:pt>
                <c:pt idx="15">
                  <c:v>1305606.8929959999</c:v>
                </c:pt>
              </c:numCache>
            </c:numRef>
          </c:val>
          <c:extLst>
            <c:ext xmlns:c16="http://schemas.microsoft.com/office/drawing/2014/chart" uri="{C3380CC4-5D6E-409C-BE32-E72D297353CC}">
              <c16:uniqueId val="{00000000-89B2-440B-AAE9-E49F03727C8A}"/>
            </c:ext>
          </c:extLst>
        </c:ser>
        <c:dLbls>
          <c:showLegendKey val="0"/>
          <c:showVal val="0"/>
          <c:showCatName val="0"/>
          <c:showSerName val="0"/>
          <c:showPercent val="0"/>
          <c:showBubbleSize val="0"/>
        </c:dLbls>
        <c:gapWidth val="219"/>
        <c:axId val="265368592"/>
        <c:axId val="265370672"/>
        <c:extLst>
          <c:ext xmlns:c15="http://schemas.microsoft.com/office/drawing/2012/chart" uri="{02D57815-91ED-43cb-92C2-25804820EDAC}">
            <c15:filteredBarSeries>
              <c15:ser>
                <c:idx val="0"/>
                <c:order val="0"/>
                <c:tx>
                  <c:strRef>
                    <c:extLst>
                      <c:ext uri="{02D57815-91ED-43cb-92C2-25804820EDAC}">
                        <c15:formulaRef>
                          <c15:sqref>'Stock and Bond Graphs'!$B$2</c15:sqref>
                        </c15:formulaRef>
                      </c:ext>
                    </c:extLst>
                    <c:strCache>
                      <c:ptCount val="1"/>
                      <c:pt idx="0">
                        <c:v>Bonds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extLst>
                      <c:ext uri="{02D57815-91ED-43cb-92C2-25804820EDAC}">
                        <c15:formulaRef>
                          <c15:sqref>'Stock and Bond Graphs'!$C$1:$R$1</c15:sqref>
                        </c15:formulaRef>
                      </c:ext>
                    </c:extLst>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extLst>
                      <c:ext uri="{02D57815-91ED-43cb-92C2-25804820EDAC}">
                        <c15:formulaRef>
                          <c15:sqref>'Stock and Bond Graphs'!$C$2:$Q$2</c15:sqref>
                        </c15:formulaRef>
                      </c:ext>
                    </c:extLst>
                    <c:numCache>
                      <c:formatCode>#,##0</c:formatCode>
                      <c:ptCount val="15"/>
                      <c:pt idx="0">
                        <c:v>3501101</c:v>
                      </c:pt>
                      <c:pt idx="1">
                        <c:v>3632826</c:v>
                      </c:pt>
                      <c:pt idx="2">
                        <c:v>3660645</c:v>
                      </c:pt>
                      <c:pt idx="3">
                        <c:v>3726046</c:v>
                      </c:pt>
                      <c:pt idx="4">
                        <c:v>3858871</c:v>
                      </c:pt>
                      <c:pt idx="5">
                        <c:v>3904521</c:v>
                      </c:pt>
                      <c:pt idx="6">
                        <c:v>4088409</c:v>
                      </c:pt>
                      <c:pt idx="7">
                        <c:v>4214449</c:v>
                      </c:pt>
                      <c:pt idx="8">
                        <c:v>4295861</c:v>
                      </c:pt>
                      <c:pt idx="9">
                        <c:v>4433552.5713440003</c:v>
                      </c:pt>
                      <c:pt idx="10">
                        <c:v>4708309.2441480001</c:v>
                      </c:pt>
                      <c:pt idx="11">
                        <c:v>4944467.1484960001</c:v>
                      </c:pt>
                      <c:pt idx="12">
                        <c:v>5073990.6581410002</c:v>
                      </c:pt>
                      <c:pt idx="13">
                        <c:v>5145962.4538799999</c:v>
                      </c:pt>
                      <c:pt idx="14">
                        <c:v>5423513.5737349996</c:v>
                      </c:pt>
                    </c:numCache>
                  </c:numRef>
                </c:val>
                <c:extLst>
                  <c:ext xmlns:c16="http://schemas.microsoft.com/office/drawing/2014/chart" uri="{C3380CC4-5D6E-409C-BE32-E72D297353CC}">
                    <c16:uniqueId val="{00000002-89B2-440B-AAE9-E49F03727C8A}"/>
                  </c:ext>
                </c:extLst>
              </c15:ser>
            </c15:filteredBarSeries>
          </c:ext>
        </c:extLst>
      </c:barChart>
      <c:lineChart>
        <c:grouping val="standard"/>
        <c:varyColors val="0"/>
        <c:ser>
          <c:idx val="3"/>
          <c:order val="3"/>
          <c:tx>
            <c:strRef>
              <c:f>'Stock and Bond Graphs'!$B$5</c:f>
              <c:strCache>
                <c:ptCount val="1"/>
                <c:pt idx="0">
                  <c:v>Common Stock %</c:v>
                </c:pt>
              </c:strCache>
            </c:strRef>
          </c:tx>
          <c:spPr>
            <a:ln w="34925" cap="rnd">
              <a:solidFill>
                <a:srgbClr val="4472C4"/>
              </a:solidFill>
              <a:round/>
            </a:ln>
            <a:effectLst>
              <a:outerShdw blurRad="40000" dist="23000" dir="5400000" rotWithShape="0">
                <a:srgbClr val="000000">
                  <a:alpha val="35000"/>
                </a:srgbClr>
              </a:outerShdw>
            </a:effectLst>
          </c:spPr>
          <c:marker>
            <c:symbol val="none"/>
          </c:marker>
          <c:cat>
            <c:numRef>
              <c:f>'Stock and Bond Graphs'!$C$1:$Q$1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'Stock and Bond Graphs'!$C$5:$R$5</c:f>
              <c:numCache>
                <c:formatCode>0.0%</c:formatCode>
                <c:ptCount val="16"/>
                <c:pt idx="0">
                  <c:v>0.10299999999999999</c:v>
                </c:pt>
                <c:pt idx="1">
                  <c:v>0.105</c:v>
                </c:pt>
                <c:pt idx="2">
                  <c:v>0.11</c:v>
                </c:pt>
                <c:pt idx="3">
                  <c:v>0.12</c:v>
                </c:pt>
                <c:pt idx="4">
                  <c:v>0.11899999999999999</c:v>
                </c:pt>
                <c:pt idx="5">
                  <c:v>0.11600000000000001</c:v>
                </c:pt>
                <c:pt idx="6">
                  <c:v>0.1184164313121749</c:v>
                </c:pt>
                <c:pt idx="7">
                  <c:v>0.12538180086791839</c:v>
                </c:pt>
                <c:pt idx="8">
                  <c:v>0.11994490952207251</c:v>
                </c:pt>
                <c:pt idx="9">
                  <c:v>0.13213617043404594</c:v>
                </c:pt>
                <c:pt idx="10">
                  <c:v>0.13196634995081663</c:v>
                </c:pt>
                <c:pt idx="11">
                  <c:v>0.14559538753913959</c:v>
                </c:pt>
                <c:pt idx="12" formatCode="0.00%">
                  <c:v>0.1318662467788253</c:v>
                </c:pt>
                <c:pt idx="13" formatCode="0.00%">
                  <c:v>0.1396905068883095</c:v>
                </c:pt>
                <c:pt idx="14" formatCode="0.00%">
                  <c:v>0.13103600957963588</c:v>
                </c:pt>
                <c:pt idx="15" formatCode="0.00%">
                  <c:v>0.13627631651493211</c:v>
                </c:pt>
              </c:numCache>
            </c:numRef>
          </c:val>
          <c:smooth val="0"/>
          <c:extLst>
            <c:ext xmlns:c16="http://schemas.microsoft.com/office/drawing/2014/chart" uri="{C3380CC4-5D6E-409C-BE32-E72D297353CC}">
              <c16:uniqueId val="{00000001-89B2-440B-AAE9-E49F03727C8A}"/>
            </c:ext>
          </c:extLst>
        </c:ser>
        <c:dLbls>
          <c:showLegendKey val="0"/>
          <c:showVal val="0"/>
          <c:showCatName val="0"/>
          <c:showSerName val="0"/>
          <c:showPercent val="0"/>
          <c:showBubbleSize val="0"/>
        </c:dLbls>
        <c:marker val="1"/>
        <c:smooth val="0"/>
        <c:axId val="321307504"/>
        <c:axId val="321293776"/>
        <c:extLst>
          <c:ext xmlns:c15="http://schemas.microsoft.com/office/drawing/2012/chart" uri="{02D57815-91ED-43cb-92C2-25804820EDAC}">
            <c15:filteredLineSeries>
              <c15:ser>
                <c:idx val="1"/>
                <c:order val="1"/>
                <c:tx>
                  <c:strRef>
                    <c:extLst>
                      <c:ext uri="{02D57815-91ED-43cb-92C2-25804820EDAC}">
                        <c15:formulaRef>
                          <c15:sqref>'Stock and Bond Graphs'!$B$3</c15:sqref>
                        </c15:formulaRef>
                      </c:ext>
                    </c:extLst>
                    <c:strCache>
                      <c:ptCount val="1"/>
                      <c:pt idx="0">
                        <c:v>Bond %</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cat>
                  <c:numRef>
                    <c:extLst>
                      <c:ext uri="{02D57815-91ED-43cb-92C2-25804820EDAC}">
                        <c15:formulaRef>
                          <c15:sqref>'Stock and Bond Graphs'!$C$1:$Q$1</c15:sqref>
                        </c15:formulaRef>
                      </c:ext>
                    </c:extLst>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extLst>
                      <c:ext uri="{02D57815-91ED-43cb-92C2-25804820EDAC}">
                        <c15:formulaRef>
                          <c15:sqref>'Stock and Bond Graphs'!$C$3:$Q$3</c15:sqref>
                        </c15:formulaRef>
                      </c:ext>
                    </c:extLst>
                    <c:numCache>
                      <c:formatCode>0.00%</c:formatCode>
                      <c:ptCount val="15"/>
                      <c:pt idx="0">
                        <c:v>0.69699999999999995</c:v>
                      </c:pt>
                      <c:pt idx="1">
                        <c:v>0.69499999999999995</c:v>
                      </c:pt>
                      <c:pt idx="2">
                        <c:v>0.68400000000000005</c:v>
                      </c:pt>
                      <c:pt idx="3">
                        <c:v>0.67600000000000005</c:v>
                      </c:pt>
                      <c:pt idx="4">
                        <c:v>0.67</c:v>
                      </c:pt>
                      <c:pt idx="5">
                        <c:v>0.67100000000000004</c:v>
                      </c:pt>
                      <c:pt idx="6">
                        <c:v>0.66570798891791749</c:v>
                      </c:pt>
                      <c:pt idx="7">
                        <c:v>0.65320151661758874</c:v>
                      </c:pt>
                      <c:pt idx="8">
                        <c:v>0.65702675069417515</c:v>
                      </c:pt>
                      <c:pt idx="9">
                        <c:v>0.6378524518277201</c:v>
                      </c:pt>
                      <c:pt idx="10">
                        <c:v>0.62566329080914096</c:v>
                      </c:pt>
                      <c:pt idx="11">
                        <c:v>0.61428207746160024</c:v>
                      </c:pt>
                      <c:pt idx="12">
                        <c:v>0.62252986322488246</c:v>
                      </c:pt>
                      <c:pt idx="13">
                        <c:v>0.60990328919865078</c:v>
                      </c:pt>
                      <c:pt idx="14">
                        <c:v>0.60552779757427033</c:v>
                      </c:pt>
                    </c:numCache>
                  </c:numRef>
                </c:val>
                <c:smooth val="0"/>
                <c:extLst>
                  <c:ext xmlns:c16="http://schemas.microsoft.com/office/drawing/2014/chart" uri="{C3380CC4-5D6E-409C-BE32-E72D297353CC}">
                    <c16:uniqueId val="{00000003-89B2-440B-AAE9-E49F03727C8A}"/>
                  </c:ext>
                </c:extLst>
              </c15:ser>
            </c15:filteredLineSeries>
          </c:ext>
        </c:extLst>
      </c:lineChart>
      <c:catAx>
        <c:axId val="265368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370672"/>
        <c:crosses val="autoZero"/>
        <c:auto val="1"/>
        <c:lblAlgn val="ctr"/>
        <c:lblOffset val="100"/>
        <c:noMultiLvlLbl val="0"/>
      </c:catAx>
      <c:valAx>
        <c:axId val="265370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368592"/>
        <c:crosses val="autoZero"/>
        <c:crossBetween val="between"/>
      </c:valAx>
      <c:valAx>
        <c:axId val="321293776"/>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307504"/>
        <c:crosses val="max"/>
        <c:crossBetween val="between"/>
      </c:valAx>
      <c:catAx>
        <c:axId val="321307504"/>
        <c:scaling>
          <c:orientation val="minMax"/>
        </c:scaling>
        <c:delete val="1"/>
        <c:axPos val="b"/>
        <c:numFmt formatCode="General" sourceLinked="1"/>
        <c:majorTickMark val="none"/>
        <c:minorTickMark val="none"/>
        <c:tickLblPos val="nextTo"/>
        <c:crossAx val="3212937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Bond Exposure (in billions)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794225721784773"/>
          <c:y val="0.16708333333333336"/>
          <c:w val="0.74151837270341203"/>
          <c:h val="0.61498432487605714"/>
        </c:manualLayout>
      </c:layout>
      <c:barChart>
        <c:barDir val="col"/>
        <c:grouping val="clustered"/>
        <c:varyColors val="0"/>
        <c:ser>
          <c:idx val="0"/>
          <c:order val="0"/>
          <c:tx>
            <c:strRef>
              <c:f>'Stock and Bond Graphs'!$B$2</c:f>
              <c:strCache>
                <c:ptCount val="1"/>
                <c:pt idx="0">
                  <c:v>Bonds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'Stock and Bond Graphs'!$C$1:$R$1</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'Stock and Bond Graphs'!$C$2:$R$2</c:f>
              <c:numCache>
                <c:formatCode>#,##0</c:formatCode>
                <c:ptCount val="16"/>
                <c:pt idx="0">
                  <c:v>3501101</c:v>
                </c:pt>
                <c:pt idx="1">
                  <c:v>3632826</c:v>
                </c:pt>
                <c:pt idx="2">
                  <c:v>3660645</c:v>
                </c:pt>
                <c:pt idx="3">
                  <c:v>3726046</c:v>
                </c:pt>
                <c:pt idx="4">
                  <c:v>3858871</c:v>
                </c:pt>
                <c:pt idx="5">
                  <c:v>3904521</c:v>
                </c:pt>
                <c:pt idx="6">
                  <c:v>4088409</c:v>
                </c:pt>
                <c:pt idx="7">
                  <c:v>4214449</c:v>
                </c:pt>
                <c:pt idx="8">
                  <c:v>4295861</c:v>
                </c:pt>
                <c:pt idx="9">
                  <c:v>4433552.5713440003</c:v>
                </c:pt>
                <c:pt idx="10">
                  <c:v>4708309.2441480001</c:v>
                </c:pt>
                <c:pt idx="11">
                  <c:v>4944467.1484960001</c:v>
                </c:pt>
                <c:pt idx="12">
                  <c:v>5073990.6581410002</c:v>
                </c:pt>
                <c:pt idx="13">
                  <c:v>5145962.4538799999</c:v>
                </c:pt>
                <c:pt idx="14">
                  <c:v>5423513.5737349996</c:v>
                </c:pt>
                <c:pt idx="15">
                  <c:v>5727554.933069</c:v>
                </c:pt>
              </c:numCache>
            </c:numRef>
          </c:val>
          <c:extLst xmlns:c15="http://schemas.microsoft.com/office/drawing/2012/chart">
            <c:ext xmlns:c16="http://schemas.microsoft.com/office/drawing/2014/chart" uri="{C3380CC4-5D6E-409C-BE32-E72D297353CC}">
              <c16:uniqueId val="{00000000-EFE3-447F-88EE-4310E2F53AB9}"/>
            </c:ext>
          </c:extLst>
        </c:ser>
        <c:dLbls>
          <c:showLegendKey val="0"/>
          <c:showVal val="0"/>
          <c:showCatName val="0"/>
          <c:showSerName val="0"/>
          <c:showPercent val="0"/>
          <c:showBubbleSize val="0"/>
        </c:dLbls>
        <c:gapWidth val="219"/>
        <c:axId val="265368592"/>
        <c:axId val="265370672"/>
        <c:extLst>
          <c:ext xmlns:c15="http://schemas.microsoft.com/office/drawing/2012/chart" uri="{02D57815-91ED-43cb-92C2-25804820EDAC}">
            <c15:filteredBarSeries>
              <c15:ser>
                <c:idx val="2"/>
                <c:order val="2"/>
                <c:tx>
                  <c:strRef>
                    <c:extLst>
                      <c:ext uri="{02D57815-91ED-43cb-92C2-25804820EDAC}">
                        <c15:formulaRef>
                          <c15:sqref>'Stock and Bond Graphs'!$B$4</c15:sqref>
                        </c15:formulaRef>
                      </c:ext>
                    </c:extLst>
                    <c:strCache>
                      <c:ptCount val="1"/>
                      <c:pt idx="0">
                        <c:v>Common Stock</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extLst>
                      <c:ext uri="{02D57815-91ED-43cb-92C2-25804820EDAC}">
                        <c15:formulaRef>
                          <c15:sqref>'Stock and Bond Graphs'!$C$1:$R$1</c15:sqref>
                        </c15:formulaRef>
                      </c:ext>
                    </c:extLst>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extLst>
                      <c:ext uri="{02D57815-91ED-43cb-92C2-25804820EDAC}">
                        <c15:formulaRef>
                          <c15:sqref>'Stock and Bond Graphs'!$C$4:$Q$4</c15:sqref>
                        </c15:formulaRef>
                      </c:ext>
                    </c:extLst>
                    <c:numCache>
                      <c:formatCode>#,##0</c:formatCode>
                      <c:ptCount val="15"/>
                      <c:pt idx="0">
                        <c:v>517519</c:v>
                      </c:pt>
                      <c:pt idx="1">
                        <c:v>549248</c:v>
                      </c:pt>
                      <c:pt idx="2">
                        <c:v>589833</c:v>
                      </c:pt>
                      <c:pt idx="3">
                        <c:v>669400</c:v>
                      </c:pt>
                      <c:pt idx="4">
                        <c:v>684201</c:v>
                      </c:pt>
                      <c:pt idx="5">
                        <c:v>672564</c:v>
                      </c:pt>
                      <c:pt idx="6">
                        <c:v>727248</c:v>
                      </c:pt>
                      <c:pt idx="7">
                        <c:v>808962</c:v>
                      </c:pt>
                      <c:pt idx="8">
                        <c:v>784240</c:v>
                      </c:pt>
                      <c:pt idx="9">
                        <c:v>918445.41244099999</c:v>
                      </c:pt>
                      <c:pt idx="10">
                        <c:v>993087.48733899998</c:v>
                      </c:pt>
                      <c:pt idx="11">
                        <c:v>1171923.513762</c:v>
                      </c:pt>
                      <c:pt idx="12">
                        <c:v>1074788.7672629999</c:v>
                      </c:pt>
                      <c:pt idx="13">
                        <c:v>1178616.538624</c:v>
                      </c:pt>
                      <c:pt idx="14">
                        <c:v>1173646.4939349999</c:v>
                      </c:pt>
                    </c:numCache>
                  </c:numRef>
                </c:val>
                <c:extLst>
                  <c:ext xmlns:c16="http://schemas.microsoft.com/office/drawing/2014/chart" uri="{C3380CC4-5D6E-409C-BE32-E72D297353CC}">
                    <c16:uniqueId val="{00000002-EFE3-447F-88EE-4310E2F53AB9}"/>
                  </c:ext>
                </c:extLst>
              </c15:ser>
            </c15:filteredBarSeries>
          </c:ext>
        </c:extLst>
      </c:barChart>
      <c:lineChart>
        <c:grouping val="standard"/>
        <c:varyColors val="0"/>
        <c:ser>
          <c:idx val="1"/>
          <c:order val="1"/>
          <c:tx>
            <c:strRef>
              <c:f>'Stock and Bond Graphs'!$B$3</c:f>
              <c:strCache>
                <c:ptCount val="1"/>
                <c:pt idx="0">
                  <c:v>Bond %</c:v>
                </c:pt>
              </c:strCache>
            </c:strRef>
          </c:tx>
          <c:spPr>
            <a:ln w="34925" cap="rnd">
              <a:solidFill>
                <a:srgbClr val="E7E6E6">
                  <a:lumMod val="75000"/>
                </a:srgbClr>
              </a:solidFill>
              <a:round/>
            </a:ln>
            <a:effectLst>
              <a:outerShdw blurRad="40000" dist="23000" dir="5400000" rotWithShape="0">
                <a:srgbClr val="000000">
                  <a:alpha val="35000"/>
                </a:srgbClr>
              </a:outerShdw>
            </a:effectLst>
          </c:spPr>
          <c:marker>
            <c:symbol val="none"/>
          </c:marker>
          <c:cat>
            <c:numRef>
              <c:f>'Stock and Bond Graphs'!$C$1:$Q$1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'Stock and Bond Graphs'!$C$3:$R$3</c:f>
              <c:numCache>
                <c:formatCode>0.00%</c:formatCode>
                <c:ptCount val="16"/>
                <c:pt idx="0">
                  <c:v>0.69699999999999995</c:v>
                </c:pt>
                <c:pt idx="1">
                  <c:v>0.69499999999999995</c:v>
                </c:pt>
                <c:pt idx="2">
                  <c:v>0.68400000000000005</c:v>
                </c:pt>
                <c:pt idx="3">
                  <c:v>0.67600000000000005</c:v>
                </c:pt>
                <c:pt idx="4">
                  <c:v>0.67</c:v>
                </c:pt>
                <c:pt idx="5">
                  <c:v>0.67100000000000004</c:v>
                </c:pt>
                <c:pt idx="6">
                  <c:v>0.66570798891791749</c:v>
                </c:pt>
                <c:pt idx="7">
                  <c:v>0.65320151661758874</c:v>
                </c:pt>
                <c:pt idx="8">
                  <c:v>0.65702675069417515</c:v>
                </c:pt>
                <c:pt idx="9">
                  <c:v>0.6378524518277201</c:v>
                </c:pt>
                <c:pt idx="10">
                  <c:v>0.62566329080914096</c:v>
                </c:pt>
                <c:pt idx="11">
                  <c:v>0.61428207746160024</c:v>
                </c:pt>
                <c:pt idx="12">
                  <c:v>0.62252986322488246</c:v>
                </c:pt>
                <c:pt idx="13">
                  <c:v>0.60990328919865078</c:v>
                </c:pt>
                <c:pt idx="14">
                  <c:v>0.60552779757427033</c:v>
                </c:pt>
                <c:pt idx="15">
                  <c:v>0.59782932604198746</c:v>
                </c:pt>
              </c:numCache>
            </c:numRef>
          </c:val>
          <c:smooth val="0"/>
          <c:extLst xmlns:c15="http://schemas.microsoft.com/office/drawing/2012/chart">
            <c:ext xmlns:c16="http://schemas.microsoft.com/office/drawing/2014/chart" uri="{C3380CC4-5D6E-409C-BE32-E72D297353CC}">
              <c16:uniqueId val="{00000001-EFE3-447F-88EE-4310E2F53AB9}"/>
            </c:ext>
          </c:extLst>
        </c:ser>
        <c:dLbls>
          <c:showLegendKey val="0"/>
          <c:showVal val="0"/>
          <c:showCatName val="0"/>
          <c:showSerName val="0"/>
          <c:showPercent val="0"/>
          <c:showBubbleSize val="0"/>
        </c:dLbls>
        <c:marker val="1"/>
        <c:smooth val="0"/>
        <c:axId val="321307504"/>
        <c:axId val="321293776"/>
        <c:extLst>
          <c:ext xmlns:c15="http://schemas.microsoft.com/office/drawing/2012/chart" uri="{02D57815-91ED-43cb-92C2-25804820EDAC}">
            <c15:filteredLineSeries>
              <c15:ser>
                <c:idx val="3"/>
                <c:order val="3"/>
                <c:tx>
                  <c:strRef>
                    <c:extLst>
                      <c:ext uri="{02D57815-91ED-43cb-92C2-25804820EDAC}">
                        <c15:formulaRef>
                          <c15:sqref>'Stock and Bond Graphs'!$B$5</c15:sqref>
                        </c15:formulaRef>
                      </c:ext>
                    </c:extLst>
                    <c:strCache>
                      <c:ptCount val="1"/>
                      <c:pt idx="0">
                        <c:v>Common Stock %</c:v>
                      </c:pt>
                    </c:strCache>
                  </c:strRef>
                </c:tx>
                <c:spPr>
                  <a:ln w="34925" cap="rnd">
                    <a:solidFill>
                      <a:schemeClr val="accent4"/>
                    </a:solidFill>
                    <a:round/>
                  </a:ln>
                  <a:effectLst>
                    <a:outerShdw blurRad="40000" dist="23000" dir="5400000" rotWithShape="0">
                      <a:srgbClr val="000000">
                        <a:alpha val="35000"/>
                      </a:srgbClr>
                    </a:outerShdw>
                  </a:effectLst>
                </c:spPr>
                <c:marker>
                  <c:symbol val="none"/>
                </c:marker>
                <c:cat>
                  <c:numRef>
                    <c:extLst>
                      <c:ext uri="{02D57815-91ED-43cb-92C2-25804820EDAC}">
                        <c15:formulaRef>
                          <c15:sqref>'Stock and Bond Graphs'!$C$1:$Q$1</c15:sqref>
                        </c15:formulaRef>
                      </c:ext>
                    </c:extLst>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extLst>
                      <c:ext uri="{02D57815-91ED-43cb-92C2-25804820EDAC}">
                        <c15:formulaRef>
                          <c15:sqref>'Stock and Bond Graphs'!$C$5:$Q$5</c15:sqref>
                        </c15:formulaRef>
                      </c:ext>
                    </c:extLst>
                    <c:numCache>
                      <c:formatCode>0.0%</c:formatCode>
                      <c:ptCount val="15"/>
                      <c:pt idx="0">
                        <c:v>0.10299999999999999</c:v>
                      </c:pt>
                      <c:pt idx="1">
                        <c:v>0.105</c:v>
                      </c:pt>
                      <c:pt idx="2">
                        <c:v>0.11</c:v>
                      </c:pt>
                      <c:pt idx="3">
                        <c:v>0.12</c:v>
                      </c:pt>
                      <c:pt idx="4">
                        <c:v>0.11899999999999999</c:v>
                      </c:pt>
                      <c:pt idx="5">
                        <c:v>0.11600000000000001</c:v>
                      </c:pt>
                      <c:pt idx="6">
                        <c:v>0.1184164313121749</c:v>
                      </c:pt>
                      <c:pt idx="7">
                        <c:v>0.12538180086791839</c:v>
                      </c:pt>
                      <c:pt idx="8">
                        <c:v>0.11994490952207251</c:v>
                      </c:pt>
                      <c:pt idx="9">
                        <c:v>0.13213617043404594</c:v>
                      </c:pt>
                      <c:pt idx="10">
                        <c:v>0.13196634995081663</c:v>
                      </c:pt>
                      <c:pt idx="11">
                        <c:v>0.14559538753913959</c:v>
                      </c:pt>
                      <c:pt idx="12" formatCode="0.00%">
                        <c:v>0.1318662467788253</c:v>
                      </c:pt>
                      <c:pt idx="13" formatCode="0.00%">
                        <c:v>0.1396905068883095</c:v>
                      </c:pt>
                      <c:pt idx="14" formatCode="0.00%">
                        <c:v>0.13103600957963588</c:v>
                      </c:pt>
                    </c:numCache>
                  </c:numRef>
                </c:val>
                <c:smooth val="0"/>
                <c:extLst>
                  <c:ext xmlns:c16="http://schemas.microsoft.com/office/drawing/2014/chart" uri="{C3380CC4-5D6E-409C-BE32-E72D297353CC}">
                    <c16:uniqueId val="{00000003-EFE3-447F-88EE-4310E2F53AB9}"/>
                  </c:ext>
                </c:extLst>
              </c15:ser>
            </c15:filteredLineSeries>
          </c:ext>
        </c:extLst>
      </c:lineChart>
      <c:catAx>
        <c:axId val="265368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370672"/>
        <c:crosses val="autoZero"/>
        <c:auto val="1"/>
        <c:lblAlgn val="ctr"/>
        <c:lblOffset val="100"/>
        <c:noMultiLvlLbl val="0"/>
      </c:catAx>
      <c:valAx>
        <c:axId val="265370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368592"/>
        <c:crosses val="autoZero"/>
        <c:crossBetween val="between"/>
      </c:valAx>
      <c:valAx>
        <c:axId val="321293776"/>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307504"/>
        <c:crosses val="max"/>
        <c:crossBetween val="between"/>
      </c:valAx>
      <c:catAx>
        <c:axId val="321307504"/>
        <c:scaling>
          <c:orientation val="minMax"/>
        </c:scaling>
        <c:delete val="1"/>
        <c:axPos val="b"/>
        <c:numFmt formatCode="General" sourceLinked="1"/>
        <c:majorTickMark val="none"/>
        <c:minorTickMark val="none"/>
        <c:tickLblPos val="nextTo"/>
        <c:crossAx val="3212937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Schedule BA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stacked"/>
        <c:varyColors val="0"/>
        <c:ser>
          <c:idx val="0"/>
          <c:order val="0"/>
          <c:tx>
            <c:strRef>
              <c:f>'6.4 - BA'!$B$20</c:f>
              <c:strCache>
                <c:ptCount val="1"/>
                <c:pt idx="0">
                  <c:v> Life </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'6.4 - BA'!$A$21:$A$36</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'6.4 - BA'!$B$21:$B$36</c:f>
              <c:numCache>
                <c:formatCode>_(* #,##0_);_(* \(#,##0\);_(* "-"??_);_(@_)</c:formatCode>
                <c:ptCount val="16"/>
                <c:pt idx="0">
                  <c:v>112624</c:v>
                </c:pt>
                <c:pt idx="1">
                  <c:v>127076</c:v>
                </c:pt>
                <c:pt idx="2">
                  <c:v>139087</c:v>
                </c:pt>
                <c:pt idx="3">
                  <c:v>148117</c:v>
                </c:pt>
                <c:pt idx="4">
                  <c:v>164632</c:v>
                </c:pt>
                <c:pt idx="5">
                  <c:v>158191</c:v>
                </c:pt>
                <c:pt idx="6">
                  <c:v>161200</c:v>
                </c:pt>
                <c:pt idx="7">
                  <c:v>177694</c:v>
                </c:pt>
                <c:pt idx="8">
                  <c:v>189806</c:v>
                </c:pt>
                <c:pt idx="9">
                  <c:v>223482.650318</c:v>
                </c:pt>
                <c:pt idx="10">
                  <c:v>238081.65580099999</c:v>
                </c:pt>
                <c:pt idx="11">
                  <c:v>296288</c:v>
                </c:pt>
                <c:pt idx="12">
                  <c:v>324563</c:v>
                </c:pt>
                <c:pt idx="13">
                  <c:v>344884</c:v>
                </c:pt>
                <c:pt idx="14">
                  <c:v>374431</c:v>
                </c:pt>
                <c:pt idx="15">
                  <c:v>414306</c:v>
                </c:pt>
              </c:numCache>
            </c:numRef>
          </c:val>
          <c:extLst>
            <c:ext xmlns:c16="http://schemas.microsoft.com/office/drawing/2014/chart" uri="{C3380CC4-5D6E-409C-BE32-E72D297353CC}">
              <c16:uniqueId val="{00000000-048C-41BD-8524-0D336B258261}"/>
            </c:ext>
          </c:extLst>
        </c:ser>
        <c:ser>
          <c:idx val="1"/>
          <c:order val="1"/>
          <c:tx>
            <c:strRef>
              <c:f>'6.4 - BA'!$C$20</c:f>
              <c:strCache>
                <c:ptCount val="1"/>
                <c:pt idx="0">
                  <c:v> P/C </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'6.4 - BA'!$A$21:$A$36</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'6.4 - BA'!$C$21:$C$36</c:f>
              <c:numCache>
                <c:formatCode>_(* #,##0_);_(* \(#,##0\);_(* "-"??_);_(@_)</c:formatCode>
                <c:ptCount val="16"/>
                <c:pt idx="0">
                  <c:v>107888</c:v>
                </c:pt>
                <c:pt idx="1">
                  <c:v>110856</c:v>
                </c:pt>
                <c:pt idx="2">
                  <c:v>115841</c:v>
                </c:pt>
                <c:pt idx="3">
                  <c:v>127042</c:v>
                </c:pt>
                <c:pt idx="4">
                  <c:v>136160</c:v>
                </c:pt>
                <c:pt idx="5">
                  <c:v>135492</c:v>
                </c:pt>
                <c:pt idx="6">
                  <c:v>148208</c:v>
                </c:pt>
                <c:pt idx="7">
                  <c:v>159418</c:v>
                </c:pt>
                <c:pt idx="8">
                  <c:v>156298</c:v>
                </c:pt>
                <c:pt idx="9">
                  <c:v>164334.05648</c:v>
                </c:pt>
                <c:pt idx="10">
                  <c:v>200256.92796299999</c:v>
                </c:pt>
                <c:pt idx="11">
                  <c:v>205593</c:v>
                </c:pt>
                <c:pt idx="12">
                  <c:v>188224</c:v>
                </c:pt>
                <c:pt idx="13">
                  <c:v>165251</c:v>
                </c:pt>
                <c:pt idx="14">
                  <c:v>178887</c:v>
                </c:pt>
                <c:pt idx="15">
                  <c:v>191291</c:v>
                </c:pt>
              </c:numCache>
            </c:numRef>
          </c:val>
          <c:extLst>
            <c:ext xmlns:c16="http://schemas.microsoft.com/office/drawing/2014/chart" uri="{C3380CC4-5D6E-409C-BE32-E72D297353CC}">
              <c16:uniqueId val="{00000001-048C-41BD-8524-0D336B258261}"/>
            </c:ext>
          </c:extLst>
        </c:ser>
        <c:ser>
          <c:idx val="2"/>
          <c:order val="2"/>
          <c:tx>
            <c:strRef>
              <c:f>'6.4 - BA'!$D$20</c:f>
              <c:strCache>
                <c:ptCount val="1"/>
                <c:pt idx="0">
                  <c:v> Health </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'6.4 - BA'!$A$21:$A$36</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'6.4 - BA'!$D$21:$D$36</c:f>
              <c:numCache>
                <c:formatCode>_(* #,##0_);_(* \(#,##0\);_(* "-"??_);_(@_)</c:formatCode>
                <c:ptCount val="16"/>
                <c:pt idx="0">
                  <c:v>4870</c:v>
                </c:pt>
                <c:pt idx="1">
                  <c:v>6354</c:v>
                </c:pt>
                <c:pt idx="2">
                  <c:v>7282</c:v>
                </c:pt>
                <c:pt idx="3">
                  <c:v>8695</c:v>
                </c:pt>
                <c:pt idx="4">
                  <c:v>8735</c:v>
                </c:pt>
                <c:pt idx="5">
                  <c:v>8195</c:v>
                </c:pt>
                <c:pt idx="6">
                  <c:v>10055</c:v>
                </c:pt>
                <c:pt idx="7">
                  <c:v>11312</c:v>
                </c:pt>
                <c:pt idx="8">
                  <c:v>13229</c:v>
                </c:pt>
                <c:pt idx="9">
                  <c:v>13841.972312</c:v>
                </c:pt>
                <c:pt idx="10">
                  <c:v>16893.170575</c:v>
                </c:pt>
                <c:pt idx="11">
                  <c:v>20715</c:v>
                </c:pt>
                <c:pt idx="12">
                  <c:v>21309</c:v>
                </c:pt>
                <c:pt idx="13">
                  <c:v>22928</c:v>
                </c:pt>
                <c:pt idx="14">
                  <c:v>24316</c:v>
                </c:pt>
                <c:pt idx="15">
                  <c:v>31910</c:v>
                </c:pt>
              </c:numCache>
            </c:numRef>
          </c:val>
          <c:extLst>
            <c:ext xmlns:c16="http://schemas.microsoft.com/office/drawing/2014/chart" uri="{C3380CC4-5D6E-409C-BE32-E72D297353CC}">
              <c16:uniqueId val="{00000002-048C-41BD-8524-0D336B258261}"/>
            </c:ext>
          </c:extLst>
        </c:ser>
        <c:ser>
          <c:idx val="3"/>
          <c:order val="3"/>
          <c:tx>
            <c:strRef>
              <c:f>'6.4 - BA'!$E$20</c:f>
              <c:strCache>
                <c:ptCount val="1"/>
                <c:pt idx="0">
                  <c:v> Fraternal </c:v>
                </c:pt>
              </c:strCache>
            </c:strRef>
          </c:tx>
          <c:spPr>
            <a:gradFill rotWithShape="1">
              <a:gsLst>
                <a:gs pos="0">
                  <a:schemeClr val="accent6">
                    <a:lumMod val="60000"/>
                    <a:shade val="51000"/>
                    <a:satMod val="130000"/>
                  </a:schemeClr>
                </a:gs>
                <a:gs pos="80000">
                  <a:schemeClr val="accent6">
                    <a:lumMod val="60000"/>
                    <a:shade val="93000"/>
                    <a:satMod val="130000"/>
                  </a:schemeClr>
                </a:gs>
                <a:gs pos="100000">
                  <a:schemeClr val="accent6">
                    <a:lumMod val="60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'6.4 - BA'!$A$21:$A$36</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'6.4 - BA'!$E$21:$E$36</c:f>
              <c:numCache>
                <c:formatCode>_(* #,##0_);_(* \(#,##0\);_(* "-"??_);_(@_)</c:formatCode>
                <c:ptCount val="16"/>
                <c:pt idx="0">
                  <c:v>2189</c:v>
                </c:pt>
                <c:pt idx="1">
                  <c:v>2556</c:v>
                </c:pt>
                <c:pt idx="2">
                  <c:v>3053</c:v>
                </c:pt>
                <c:pt idx="3">
                  <c:v>3228</c:v>
                </c:pt>
                <c:pt idx="4">
                  <c:v>3533</c:v>
                </c:pt>
                <c:pt idx="5">
                  <c:v>3691</c:v>
                </c:pt>
                <c:pt idx="6">
                  <c:v>4201</c:v>
                </c:pt>
                <c:pt idx="7">
                  <c:v>4783</c:v>
                </c:pt>
                <c:pt idx="8">
                  <c:v>5667</c:v>
                </c:pt>
              </c:numCache>
            </c:numRef>
          </c:val>
          <c:extLst>
            <c:ext xmlns:c16="http://schemas.microsoft.com/office/drawing/2014/chart" uri="{C3380CC4-5D6E-409C-BE32-E72D297353CC}">
              <c16:uniqueId val="{00000003-048C-41BD-8524-0D336B258261}"/>
            </c:ext>
          </c:extLst>
        </c:ser>
        <c:ser>
          <c:idx val="4"/>
          <c:order val="4"/>
          <c:tx>
            <c:strRef>
              <c:f>'6.4 - BA'!$F$20</c:f>
              <c:strCache>
                <c:ptCount val="1"/>
                <c:pt idx="0">
                  <c:v> Title </c:v>
                </c:pt>
              </c:strCache>
            </c:strRef>
          </c:tx>
          <c:spPr>
            <a:gradFill rotWithShape="1">
              <a:gsLst>
                <a:gs pos="0">
                  <a:schemeClr val="accent5">
                    <a:lumMod val="60000"/>
                    <a:shade val="51000"/>
                    <a:satMod val="130000"/>
                  </a:schemeClr>
                </a:gs>
                <a:gs pos="80000">
                  <a:schemeClr val="accent5">
                    <a:lumMod val="60000"/>
                    <a:shade val="93000"/>
                    <a:satMod val="130000"/>
                  </a:schemeClr>
                </a:gs>
                <a:gs pos="100000">
                  <a:schemeClr val="accent5">
                    <a:lumMod val="60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'6.4 - BA'!$A$21:$A$36</c:f>
              <c:strCach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strCache>
            </c:strRef>
          </c:cat>
          <c:val>
            <c:numRef>
              <c:f>'6.4 - BA'!$F$21:$F$36</c:f>
              <c:numCache>
                <c:formatCode>_(* #,##0_);_(* \(#,##0\);_(* "-"??_);_(@_)</c:formatCode>
                <c:ptCount val="16"/>
                <c:pt idx="0">
                  <c:v>436</c:v>
                </c:pt>
                <c:pt idx="1">
                  <c:v>523</c:v>
                </c:pt>
                <c:pt idx="2">
                  <c:v>487</c:v>
                </c:pt>
                <c:pt idx="3">
                  <c:v>404</c:v>
                </c:pt>
                <c:pt idx="4">
                  <c:v>391</c:v>
                </c:pt>
                <c:pt idx="5">
                  <c:v>343</c:v>
                </c:pt>
                <c:pt idx="6">
                  <c:v>212</c:v>
                </c:pt>
                <c:pt idx="7">
                  <c:v>210</c:v>
                </c:pt>
                <c:pt idx="8">
                  <c:v>171</c:v>
                </c:pt>
                <c:pt idx="9">
                  <c:v>164.666416</c:v>
                </c:pt>
                <c:pt idx="10">
                  <c:v>308.06729200000001</c:v>
                </c:pt>
                <c:pt idx="11">
                  <c:v>236</c:v>
                </c:pt>
                <c:pt idx="12">
                  <c:v>384</c:v>
                </c:pt>
                <c:pt idx="13">
                  <c:v>576</c:v>
                </c:pt>
                <c:pt idx="14">
                  <c:v>466</c:v>
                </c:pt>
                <c:pt idx="15">
                  <c:v>462</c:v>
                </c:pt>
              </c:numCache>
            </c:numRef>
          </c:val>
          <c:extLst>
            <c:ext xmlns:c16="http://schemas.microsoft.com/office/drawing/2014/chart" uri="{C3380CC4-5D6E-409C-BE32-E72D297353CC}">
              <c16:uniqueId val="{00000004-048C-41BD-8524-0D336B258261}"/>
            </c:ext>
          </c:extLst>
        </c:ser>
        <c:dLbls>
          <c:showLegendKey val="0"/>
          <c:showVal val="0"/>
          <c:showCatName val="0"/>
          <c:showSerName val="0"/>
          <c:showPercent val="0"/>
          <c:showBubbleSize val="0"/>
        </c:dLbls>
        <c:gapWidth val="150"/>
        <c:overlap val="100"/>
        <c:axId val="907291295"/>
        <c:axId val="907287967"/>
      </c:barChart>
      <c:catAx>
        <c:axId val="90729129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07287967"/>
        <c:crosses val="autoZero"/>
        <c:auto val="1"/>
        <c:lblAlgn val="ctr"/>
        <c:lblOffset val="100"/>
        <c:noMultiLvlLbl val="0"/>
      </c:catAx>
      <c:valAx>
        <c:axId val="907287967"/>
        <c:scaling>
          <c:orientation val="minMax"/>
        </c:scaling>
        <c:delete val="0"/>
        <c:axPos val="l"/>
        <c:majorGridlines>
          <c:spPr>
            <a:ln w="9525" cap="flat" cmpd="sng" algn="ctr">
              <a:solidFill>
                <a:schemeClr val="tx2">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07291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Private Equity, Hedge Fund, and Real Estate Holdings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strRef>
              <c:f>'6.4 - BA'!$A$5</c:f>
              <c:strCache>
                <c:ptCount val="1"/>
                <c:pt idx="0">
                  <c:v>Private Equity</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cat>
            <c:numRef>
              <c:f>'6.4 - BA'!$E$4:$O$4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'6.4 - BA'!$E$5:$O$5</c:f>
              <c:numCache>
                <c:formatCode>_(* #,##0_);_(* \(#,##0\);_(* "-"??_);_(@_)</c:formatCode>
                <c:ptCount val="11"/>
                <c:pt idx="0">
                  <c:v>65468.868000000002</c:v>
                </c:pt>
                <c:pt idx="1">
                  <c:v>64831</c:v>
                </c:pt>
                <c:pt idx="2">
                  <c:v>69218</c:v>
                </c:pt>
                <c:pt idx="3">
                  <c:v>105379</c:v>
                </c:pt>
                <c:pt idx="4">
                  <c:v>117053</c:v>
                </c:pt>
                <c:pt idx="5">
                  <c:v>128415.931792</c:v>
                </c:pt>
                <c:pt idx="6">
                  <c:v>172568</c:v>
                </c:pt>
                <c:pt idx="7">
                  <c:v>187325</c:v>
                </c:pt>
                <c:pt idx="8">
                  <c:v>196011</c:v>
                </c:pt>
                <c:pt idx="9">
                  <c:v>211774</c:v>
                </c:pt>
                <c:pt idx="10">
                  <c:v>224288.676672</c:v>
                </c:pt>
              </c:numCache>
              <c:extLst/>
            </c:numRef>
          </c:val>
          <c:smooth val="0"/>
          <c:extLst>
            <c:ext xmlns:c16="http://schemas.microsoft.com/office/drawing/2014/chart" uri="{C3380CC4-5D6E-409C-BE32-E72D297353CC}">
              <c16:uniqueId val="{00000000-CF2D-4C62-89E8-63426C7D7B7E}"/>
            </c:ext>
          </c:extLst>
        </c:ser>
        <c:ser>
          <c:idx val="2"/>
          <c:order val="2"/>
          <c:tx>
            <c:strRef>
              <c:f>'6.4 - BA'!$A$7</c:f>
              <c:strCache>
                <c:ptCount val="1"/>
                <c:pt idx="0">
                  <c:v>Hedge Funds</c:v>
                </c:pt>
              </c:strCache>
            </c:strRef>
          </c:tx>
          <c:spPr>
            <a:ln w="31750" cap="rnd">
              <a:solidFill>
                <a:schemeClr val="accent3"/>
              </a:solidFill>
              <a:round/>
            </a:ln>
            <a:effectLst>
              <a:outerShdw blurRad="40000" dist="23000" dir="5400000" rotWithShape="0">
                <a:srgbClr val="000000">
                  <a:alpha val="35000"/>
                </a:srgbClr>
              </a:outerShdw>
            </a:effectLst>
          </c:spPr>
          <c:marker>
            <c:symbol val="none"/>
          </c:marker>
          <c:cat>
            <c:numRef>
              <c:f>'6.4 - BA'!$E$4:$O$4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'6.4 - BA'!$E$7:$O$7</c:f>
              <c:numCache>
                <c:formatCode>_(* #,##0_);_(* \(#,##0\);_(* "-"??_);_(@_)</c:formatCode>
                <c:ptCount val="11"/>
                <c:pt idx="0">
                  <c:v>17969</c:v>
                </c:pt>
                <c:pt idx="1">
                  <c:v>18072</c:v>
                </c:pt>
                <c:pt idx="2">
                  <c:v>21863</c:v>
                </c:pt>
                <c:pt idx="3">
                  <c:v>112442</c:v>
                </c:pt>
                <c:pt idx="4">
                  <c:v>121742</c:v>
                </c:pt>
                <c:pt idx="5">
                  <c:v>129897.586843</c:v>
                </c:pt>
                <c:pt idx="6">
                  <c:v>148018</c:v>
                </c:pt>
                <c:pt idx="7">
                  <c:v>137312</c:v>
                </c:pt>
                <c:pt idx="8">
                  <c:v>104986</c:v>
                </c:pt>
                <c:pt idx="9">
                  <c:v>119576</c:v>
                </c:pt>
                <c:pt idx="10">
                  <c:v>132171.85</c:v>
                </c:pt>
              </c:numCache>
              <c:extLst/>
            </c:numRef>
          </c:val>
          <c:smooth val="0"/>
          <c:extLst>
            <c:ext xmlns:c16="http://schemas.microsoft.com/office/drawing/2014/chart" uri="{C3380CC4-5D6E-409C-BE32-E72D297353CC}">
              <c16:uniqueId val="{00000001-CF2D-4C62-89E8-63426C7D7B7E}"/>
            </c:ext>
          </c:extLst>
        </c:ser>
        <c:ser>
          <c:idx val="4"/>
          <c:order val="4"/>
          <c:tx>
            <c:strRef>
              <c:f>'6.4 - BA'!$A$9</c:f>
              <c:strCache>
                <c:ptCount val="1"/>
                <c:pt idx="0">
                  <c:v>Real Estate</c:v>
                </c:pt>
              </c:strCache>
            </c:strRef>
          </c:tx>
          <c:spPr>
            <a:ln w="31750" cap="rnd">
              <a:solidFill>
                <a:schemeClr val="accent5"/>
              </a:solidFill>
              <a:round/>
            </a:ln>
            <a:effectLst>
              <a:outerShdw blurRad="40000" dist="23000" dir="5400000" rotWithShape="0">
                <a:srgbClr val="000000">
                  <a:alpha val="35000"/>
                </a:srgbClr>
              </a:outerShdw>
            </a:effectLst>
          </c:spPr>
          <c:marker>
            <c:symbol val="none"/>
          </c:marker>
          <c:cat>
            <c:numRef>
              <c:f>'6.4 - BA'!$E$4:$O$4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'6.4 - BA'!$E$9:$O$9</c:f>
              <c:numCache>
                <c:formatCode>_(* #,##0_);_(* \(#,##0\);_(* "-"??_);_(@_)</c:formatCode>
                <c:ptCount val="11"/>
                <c:pt idx="0">
                  <c:v>12789</c:v>
                </c:pt>
                <c:pt idx="1">
                  <c:v>13140</c:v>
                </c:pt>
                <c:pt idx="2">
                  <c:v>14318</c:v>
                </c:pt>
                <c:pt idx="3" formatCode="General">
                  <c:v>54744</c:v>
                </c:pt>
                <c:pt idx="4">
                  <c:v>58856</c:v>
                </c:pt>
                <c:pt idx="5">
                  <c:v>62500.751503</c:v>
                </c:pt>
                <c:pt idx="6">
                  <c:v>71008</c:v>
                </c:pt>
                <c:pt idx="7">
                  <c:v>80973</c:v>
                </c:pt>
                <c:pt idx="8">
                  <c:v>85449</c:v>
                </c:pt>
                <c:pt idx="9">
                  <c:v>90665</c:v>
                </c:pt>
                <c:pt idx="10">
                  <c:v>89615.74</c:v>
                </c:pt>
              </c:numCache>
              <c:extLst/>
            </c:numRef>
          </c:val>
          <c:smooth val="0"/>
          <c:extLst>
            <c:ext xmlns:c16="http://schemas.microsoft.com/office/drawing/2014/chart" uri="{C3380CC4-5D6E-409C-BE32-E72D297353CC}">
              <c16:uniqueId val="{00000002-CF2D-4C62-89E8-63426C7D7B7E}"/>
            </c:ext>
          </c:extLst>
        </c:ser>
        <c:dLbls>
          <c:showLegendKey val="0"/>
          <c:showVal val="0"/>
          <c:showCatName val="0"/>
          <c:showSerName val="0"/>
          <c:showPercent val="0"/>
          <c:showBubbleSize val="0"/>
        </c:dLbls>
        <c:smooth val="0"/>
        <c:axId val="2049099408"/>
        <c:axId val="2049104816"/>
        <c:extLst>
          <c:ext xmlns:c15="http://schemas.microsoft.com/office/drawing/2012/chart" uri="{02D57815-91ED-43cb-92C2-25804820EDAC}">
            <c15:filteredLineSeries>
              <c15:ser>
                <c:idx val="1"/>
                <c:order val="1"/>
                <c:tx>
                  <c:strRef>
                    <c:extLst>
                      <c:ext uri="{02D57815-91ED-43cb-92C2-25804820EDAC}">
                        <c15:formulaRef>
                          <c15:sqref>'6.4 - BA'!$A$6</c15:sqref>
                        </c15:formulaRef>
                      </c:ext>
                    </c:extLst>
                    <c:strCache>
                      <c:ptCount val="1"/>
                      <c:pt idx="0">
                        <c:v>% of BA asset</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cat>
                  <c:numRef>
                    <c:extLst>
                      <c:ext uri="{02D57815-91ED-43cb-92C2-25804820EDAC}">
                        <c15:formulaRef>
                          <c15:sqref>'6.4 - BA'!$E$4:$O$4</c15:sqref>
                        </c15:formulaRef>
                      </c:ext>
                    </c:extLst>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extLst>
                      <c:ext uri="{02D57815-91ED-43cb-92C2-25804820EDAC}">
                        <c15:formulaRef>
                          <c15:sqref>'6.4 - BA'!$E$6:$N$6</c15:sqref>
                        </c15:formulaRef>
                      </c:ext>
                    </c:extLst>
                    <c:numCache>
                      <c:formatCode>0.0%</c:formatCode>
                      <c:ptCount val="10"/>
                      <c:pt idx="0">
                        <c:v>0.21401209498156334</c:v>
                      </c:pt>
                      <c:pt idx="1">
                        <c:v>0.20017228815966603</c:v>
                      </c:pt>
                      <c:pt idx="2">
                        <c:v>0.19585362334013362</c:v>
                      </c:pt>
                      <c:pt idx="3">
                        <c:v>0.28857439391408407</c:v>
                      </c:pt>
                      <c:pt idx="4">
                        <c:v>0.29371410218128258</c:v>
                      </c:pt>
                      <c:pt idx="5">
                        <c:v>0.2818982565570532</c:v>
                      </c:pt>
                      <c:pt idx="6">
                        <c:v>0.33006395935979432</c:v>
                      </c:pt>
                      <c:pt idx="7">
                        <c:v>0.35048038938596715</c:v>
                      </c:pt>
                      <c:pt idx="8">
                        <c:v>0.3672681281618887</c:v>
                      </c:pt>
                      <c:pt idx="9">
                        <c:v>0.36632635763239013</c:v>
                      </c:pt>
                    </c:numCache>
                  </c:numRef>
                </c:val>
                <c:smooth val="0"/>
                <c:extLst>
                  <c:ext xmlns:c16="http://schemas.microsoft.com/office/drawing/2014/chart" uri="{C3380CC4-5D6E-409C-BE32-E72D297353CC}">
                    <c16:uniqueId val="{00000003-CF2D-4C62-89E8-63426C7D7B7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'6.4 - BA'!$A$8</c15:sqref>
                        </c15:formulaRef>
                      </c:ext>
                    </c:extLst>
                    <c:strCache>
                      <c:ptCount val="1"/>
                      <c:pt idx="0">
                        <c:v>% of BA asset</c:v>
                      </c:pt>
                    </c:strCache>
                  </c:strRef>
                </c:tx>
                <c:spPr>
                  <a:ln w="31750" cap="rnd">
                    <a:solidFill>
                      <a:schemeClr val="accent4"/>
                    </a:solidFill>
                    <a:round/>
                  </a:ln>
                  <a:effectLst>
                    <a:outerShdw blurRad="40000" dist="23000" dir="5400000" rotWithShape="0">
                      <a:srgbClr val="000000">
                        <a:alpha val="35000"/>
                      </a:srgbClr>
                    </a:outerShdw>
                  </a:effectLst>
                </c:spPr>
                <c:marker>
                  <c:symbol val="none"/>
                </c:marker>
                <c:cat>
                  <c:numRef>
                    <c:extLst xmlns:c15="http://schemas.microsoft.com/office/drawing/2012/chart">
                      <c:ext xmlns:c15="http://schemas.microsoft.com/office/drawing/2012/chart" uri="{02D57815-91ED-43cb-92C2-25804820EDAC}">
                        <c15:formulaRef>
                          <c15:sqref>'6.4 - BA'!$E$4:$O$4</c15:sqref>
                        </c15:formulaRef>
                      </c:ext>
                    </c:extLst>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extLst xmlns:c15="http://schemas.microsoft.com/office/drawing/2012/chart">
                      <c:ext xmlns:c15="http://schemas.microsoft.com/office/drawing/2012/chart" uri="{02D57815-91ED-43cb-92C2-25804820EDAC}">
                        <c15:formulaRef>
                          <c15:sqref>'6.4 - BA'!$E$8:$N$8</c15:sqref>
                        </c15:formulaRef>
                      </c:ext>
                    </c:extLst>
                    <c:numCache>
                      <c:formatCode>0.0%</c:formatCode>
                      <c:ptCount val="10"/>
                      <c:pt idx="0">
                        <c:v>5.8739114516593006E-2</c:v>
                      </c:pt>
                      <c:pt idx="1">
                        <c:v>5.5799133001519098E-2</c:v>
                      </c:pt>
                      <c:pt idx="2">
                        <c:v>6.1861766694867537E-2</c:v>
                      </c:pt>
                      <c:pt idx="3">
                        <c:v>0.30791601742745178</c:v>
                      </c:pt>
                      <c:pt idx="4">
                        <c:v>0.30547992984164185</c:v>
                      </c:pt>
                      <c:pt idx="5">
                        <c:v>0.28515078114545372</c:v>
                      </c:pt>
                      <c:pt idx="6">
                        <c:v>0.28310814946292501</c:v>
                      </c:pt>
                      <c:pt idx="7">
                        <c:v>0.25690731737550204</c:v>
                      </c:pt>
                      <c:pt idx="8">
                        <c:v>0.1967135094622447</c:v>
                      </c:pt>
                      <c:pt idx="9">
                        <c:v>0.2068423911351284</c:v>
                      </c:pt>
                    </c:numCache>
                  </c:numRef>
                </c:val>
                <c:smooth val="0"/>
                <c:extLst xmlns:c15="http://schemas.microsoft.com/office/drawing/2012/chart">
                  <c:ext xmlns:c16="http://schemas.microsoft.com/office/drawing/2014/chart" uri="{C3380CC4-5D6E-409C-BE32-E72D297353CC}">
                    <c16:uniqueId val="{00000004-CF2D-4C62-89E8-63426C7D7B7E}"/>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'6.4 - BA'!$A$10</c15:sqref>
                        </c15:formulaRef>
                      </c:ext>
                    </c:extLst>
                    <c:strCache>
                      <c:ptCount val="1"/>
                      <c:pt idx="0">
                        <c:v>% of BA asset</c:v>
                      </c:pt>
                    </c:strCache>
                  </c:strRef>
                </c:tx>
                <c:spPr>
                  <a:ln w="31750" cap="rnd">
                    <a:solidFill>
                      <a:schemeClr val="accent6"/>
                    </a:solidFill>
                    <a:round/>
                  </a:ln>
                  <a:effectLst>
                    <a:outerShdw blurRad="40000" dist="23000" dir="5400000" rotWithShape="0">
                      <a:srgbClr val="000000">
                        <a:alpha val="35000"/>
                      </a:srgbClr>
                    </a:outerShdw>
                  </a:effectLst>
                </c:spPr>
                <c:marker>
                  <c:symbol val="none"/>
                </c:marker>
                <c:cat>
                  <c:numRef>
                    <c:extLst xmlns:c15="http://schemas.microsoft.com/office/drawing/2012/chart">
                      <c:ext xmlns:c15="http://schemas.microsoft.com/office/drawing/2012/chart" uri="{02D57815-91ED-43cb-92C2-25804820EDAC}">
                        <c15:formulaRef>
                          <c15:sqref>'6.4 - BA'!$E$4:$O$4</c15:sqref>
                        </c15:formulaRef>
                      </c:ext>
                    </c:extLst>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extLst xmlns:c15="http://schemas.microsoft.com/office/drawing/2012/chart">
                      <c:ext xmlns:c15="http://schemas.microsoft.com/office/drawing/2012/chart" uri="{02D57815-91ED-43cb-92C2-25804820EDAC}">
                        <c15:formulaRef>
                          <c15:sqref>'6.4 - BA'!$E$10:$N$10</c15:sqref>
                        </c15:formulaRef>
                      </c:ext>
                    </c:extLst>
                    <c:numCache>
                      <c:formatCode>0.0%</c:formatCode>
                      <c:ptCount val="10"/>
                      <c:pt idx="0">
                        <c:v>4.1806140327937447E-2</c:v>
                      </c:pt>
                      <c:pt idx="1">
                        <c:v>4.0571082760068669E-2</c:v>
                      </c:pt>
                      <c:pt idx="2">
                        <c:v>4.0513048325349375E-2</c:v>
                      </c:pt>
                      <c:pt idx="3">
                        <c:v>0.14991332827634177</c:v>
                      </c:pt>
                      <c:pt idx="4">
                        <c:v>0.14768384576201862</c:v>
                      </c:pt>
                      <c:pt idx="5">
                        <c:v>0.13720145651973481</c:v>
                      </c:pt>
                      <c:pt idx="6">
                        <c:v>0.13581418122838693</c:v>
                      </c:pt>
                      <c:pt idx="7">
                        <c:v>0.15149845759909203</c:v>
                      </c:pt>
                      <c:pt idx="8">
                        <c:v>0.16010680157391793</c:v>
                      </c:pt>
                      <c:pt idx="9">
                        <c:v>0.15683218532369719</c:v>
                      </c:pt>
                    </c:numCache>
                  </c:numRef>
                </c:val>
                <c:smooth val="0"/>
                <c:extLst xmlns:c15="http://schemas.microsoft.com/office/drawing/2012/chart">
                  <c:ext xmlns:c16="http://schemas.microsoft.com/office/drawing/2014/chart" uri="{C3380CC4-5D6E-409C-BE32-E72D297353CC}">
                    <c16:uniqueId val="{00000005-CF2D-4C62-89E8-63426C7D7B7E}"/>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'6.4 - BA'!$A$11</c15:sqref>
                        </c15:formulaRef>
                      </c:ext>
                    </c:extLst>
                    <c:strCache>
                      <c:ptCount val="1"/>
                      <c:pt idx="0">
                        <c:v>Total</c:v>
                      </c:pt>
                    </c:strCache>
                  </c:strRef>
                </c:tx>
                <c:spPr>
                  <a:ln w="31750" cap="rnd">
                    <a:solidFill>
                      <a:schemeClr val="accent1">
                        <a:lumMod val="60000"/>
                      </a:schemeClr>
                    </a:solidFill>
                    <a:round/>
                  </a:ln>
                  <a:effectLst>
                    <a:outerShdw blurRad="40000" dist="23000" dir="5400000" rotWithShape="0">
                      <a:srgbClr val="000000">
                        <a:alpha val="35000"/>
                      </a:srgbClr>
                    </a:outerShdw>
                  </a:effectLst>
                </c:spPr>
                <c:marker>
                  <c:symbol val="none"/>
                </c:marker>
                <c:cat>
                  <c:numRef>
                    <c:extLst xmlns:c15="http://schemas.microsoft.com/office/drawing/2012/chart">
                      <c:ext xmlns:c15="http://schemas.microsoft.com/office/drawing/2012/chart" uri="{02D57815-91ED-43cb-92C2-25804820EDAC}">
                        <c15:formulaRef>
                          <c15:sqref>'6.4 - BA'!$E$4:$O$4</c15:sqref>
                        </c15:formulaRef>
                      </c:ext>
                    </c:extLst>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extLst xmlns:c15="http://schemas.microsoft.com/office/drawing/2012/chart">
                      <c:ext xmlns:c15="http://schemas.microsoft.com/office/drawing/2012/chart" uri="{02D57815-91ED-43cb-92C2-25804820EDAC}">
                        <c15:formulaRef>
                          <c15:sqref>'6.4 - BA'!$E$11:$N$11</c15:sqref>
                        </c15:formulaRef>
                      </c:ext>
                    </c:extLst>
                    <c:numCache>
                      <c:formatCode>_(* #,##0_);_(* \(#,##0\);_(* "-"??_);_(@_)</c:formatCode>
                      <c:ptCount val="10"/>
                      <c:pt idx="0">
                        <c:v>96227.18255734985</c:v>
                      </c:pt>
                      <c:pt idx="1">
                        <c:v>96043.296542503929</c:v>
                      </c:pt>
                      <c:pt idx="2">
                        <c:v>105399.29822843836</c:v>
                      </c:pt>
                      <c:pt idx="3">
                        <c:v>272565.74640373961</c:v>
                      </c:pt>
                      <c:pt idx="4">
                        <c:v>297651.59919403202</c:v>
                      </c:pt>
                      <c:pt idx="5">
                        <c:v>320814.83718703769</c:v>
                      </c:pt>
                      <c:pt idx="6">
                        <c:v>391594.61317210883</c:v>
                      </c:pt>
                      <c:pt idx="7">
                        <c:v>405610.60738770675</c:v>
                      </c:pt>
                      <c:pt idx="8">
                        <c:v>386446.56398163765</c:v>
                      </c:pt>
                      <c:pt idx="9">
                        <c:v>422015.57316874876</c:v>
                      </c:pt>
                    </c:numCache>
                  </c:numRef>
                </c:val>
                <c:smooth val="0"/>
                <c:extLst xmlns:c15="http://schemas.microsoft.com/office/drawing/2012/chart">
                  <c:ext xmlns:c16="http://schemas.microsoft.com/office/drawing/2014/chart" uri="{C3380CC4-5D6E-409C-BE32-E72D297353CC}">
                    <c16:uniqueId val="{00000006-CF2D-4C62-89E8-63426C7D7B7E}"/>
                  </c:ext>
                </c:extLst>
              </c15:ser>
            </c15:filteredLineSeries>
          </c:ext>
        </c:extLst>
      </c:lineChart>
      <c:catAx>
        <c:axId val="204909940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49104816"/>
        <c:crosses val="autoZero"/>
        <c:auto val="1"/>
        <c:lblAlgn val="ctr"/>
        <c:lblOffset val="100"/>
        <c:noMultiLvlLbl val="0"/>
      </c:catAx>
      <c:valAx>
        <c:axId val="2049104816"/>
        <c:scaling>
          <c:orientation val="minMax"/>
        </c:scaling>
        <c:delete val="0"/>
        <c:axPos val="l"/>
        <c:majorGridlines>
          <c:spPr>
            <a:ln w="9525" cap="flat" cmpd="sng" algn="ctr">
              <a:solidFill>
                <a:schemeClr val="tx2">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4909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Below</a:t>
            </a:r>
            <a:r>
              <a:rPr lang="en-US" baseline="0"/>
              <a:t> Investment Grade Bond Exposure</a:t>
            </a:r>
            <a:endParaRPr lang="en-US"/>
          </a:p>
        </c:rich>
      </c:tx>
      <c:layout>
        <c:manualLayout>
          <c:xMode val="edge"/>
          <c:yMode val="edge"/>
          <c:x val="0.202664544420462"/>
          <c:y val="1.9039125485658379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'5.1 BIG Exp'!$A$21</c:f>
              <c:strCache>
                <c:ptCount val="1"/>
                <c:pt idx="0">
                  <c:v>Life</c:v>
                </c:pt>
              </c:strCache>
            </c:strRef>
          </c:tx>
          <c:spPr>
            <a:ln w="34925" cap="rnd">
              <a:solidFill>
                <a:srgbClr val="ED7D31"/>
              </a:solidFill>
              <a:round/>
            </a:ln>
            <a:effectLst>
              <a:outerShdw blurRad="40000" dist="23000" dir="5400000" rotWithShape="0">
                <a:srgbClr val="000000">
                  <a:alpha val="35000"/>
                </a:srgbClr>
              </a:outerShdw>
            </a:effectLst>
          </c:spPr>
          <c:marker>
            <c:symbol val="none"/>
          </c:marker>
          <c:cat>
            <c:numRef>
              <c:f>'5.1 BIG Exp'!$H$20:$W$20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'5.1 BIG Exp'!$H$21:$W$21</c:f>
              <c:numCache>
                <c:formatCode>0.0%</c:formatCode>
                <c:ptCount val="16"/>
                <c:pt idx="0">
                  <c:v>7.2326763558607746E-2</c:v>
                </c:pt>
                <c:pt idx="1">
                  <c:v>6.8267171501637192E-2</c:v>
                </c:pt>
                <c:pt idx="2">
                  <c:v>6.3633024161126525E-2</c:v>
                </c:pt>
                <c:pt idx="3">
                  <c:v>0.06</c:v>
                </c:pt>
                <c:pt idx="4">
                  <c:v>6.0591483697786407E-2</c:v>
                </c:pt>
                <c:pt idx="5">
                  <c:v>6.0793394007798297E-2</c:v>
                </c:pt>
                <c:pt idx="6">
                  <c:v>6.1939821856218685E-2</c:v>
                </c:pt>
                <c:pt idx="7">
                  <c:v>5.7794566595229774E-2</c:v>
                </c:pt>
                <c:pt idx="8">
                  <c:v>5.4053819777259537E-2</c:v>
                </c:pt>
                <c:pt idx="9">
                  <c:v>5.293218679136602E-2</c:v>
                </c:pt>
                <c:pt idx="10">
                  <c:v>6.2938869269177855E-2</c:v>
                </c:pt>
                <c:pt idx="11">
                  <c:v>5.975082332811911E-2</c:v>
                </c:pt>
                <c:pt idx="12">
                  <c:v>5.4529517769280056E-2</c:v>
                </c:pt>
                <c:pt idx="13">
                  <c:v>5.1300685743263255E-2</c:v>
                </c:pt>
                <c:pt idx="14">
                  <c:v>4.9125584061465485E-2</c:v>
                </c:pt>
                <c:pt idx="15">
                  <c:v>4.6802781635604737E-2</c:v>
                </c:pt>
              </c:numCache>
            </c:numRef>
          </c:val>
          <c:smooth val="0"/>
          <c:extLst>
            <c:ext xmlns:c16="http://schemas.microsoft.com/office/drawing/2014/chart" uri="{C3380CC4-5D6E-409C-BE32-E72D297353CC}">
              <c16:uniqueId val="{00000000-9C55-4E59-978B-78979B3B5062}"/>
            </c:ext>
          </c:extLst>
        </c:ser>
        <c:ser>
          <c:idx val="1"/>
          <c:order val="1"/>
          <c:tx>
            <c:strRef>
              <c:f>'5.1 BIG Exp'!$A$22</c:f>
              <c:strCache>
                <c:ptCount val="1"/>
                <c:pt idx="0">
                  <c:v>P/C</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cat>
            <c:numRef>
              <c:f>'5.1 BIG Exp'!$H$20:$W$20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'5.1 BIG Exp'!$H$22:$W$22</c:f>
              <c:numCache>
                <c:formatCode>0.0%</c:formatCode>
                <c:ptCount val="16"/>
                <c:pt idx="0">
                  <c:v>3.1892452380537471E-2</c:v>
                </c:pt>
                <c:pt idx="1">
                  <c:v>3.2460628526887747E-2</c:v>
                </c:pt>
                <c:pt idx="2">
                  <c:v>4.050705014129357E-2</c:v>
                </c:pt>
                <c:pt idx="3">
                  <c:v>4.1000000000000002E-2</c:v>
                </c:pt>
                <c:pt idx="4">
                  <c:v>4.3826547021575624E-2</c:v>
                </c:pt>
                <c:pt idx="5">
                  <c:v>4.6801552816857737E-2</c:v>
                </c:pt>
                <c:pt idx="6">
                  <c:v>5.0451622833714641E-2</c:v>
                </c:pt>
                <c:pt idx="7">
                  <c:v>4.5800792194149599E-2</c:v>
                </c:pt>
                <c:pt idx="8">
                  <c:v>4.0681786060170873E-2</c:v>
                </c:pt>
                <c:pt idx="9">
                  <c:v>4.5443259141871771E-2</c:v>
                </c:pt>
                <c:pt idx="10">
                  <c:v>5.3780785166870085E-2</c:v>
                </c:pt>
                <c:pt idx="11">
                  <c:v>5.7324009508847223E-2</c:v>
                </c:pt>
                <c:pt idx="12">
                  <c:v>4.7019909460939306E-2</c:v>
                </c:pt>
                <c:pt idx="13">
                  <c:v>4.5034583461420225E-2</c:v>
                </c:pt>
                <c:pt idx="14">
                  <c:v>4.7720065702566268E-2</c:v>
                </c:pt>
                <c:pt idx="15">
                  <c:v>4.5847114065022267E-2</c:v>
                </c:pt>
              </c:numCache>
            </c:numRef>
          </c:val>
          <c:smooth val="0"/>
          <c:extLst>
            <c:ext xmlns:c16="http://schemas.microsoft.com/office/drawing/2014/chart" uri="{C3380CC4-5D6E-409C-BE32-E72D297353CC}">
              <c16:uniqueId val="{00000001-9C55-4E59-978B-78979B3B5062}"/>
            </c:ext>
          </c:extLst>
        </c:ser>
        <c:ser>
          <c:idx val="2"/>
          <c:order val="2"/>
          <c:tx>
            <c:strRef>
              <c:f>'5.1 BIG Exp'!$A$23</c:f>
              <c:strCache>
                <c:ptCount val="1"/>
                <c:pt idx="0">
                  <c:v>Health</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cat>
            <c:numRef>
              <c:f>'5.1 BIG Exp'!$H$20:$W$20</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'5.1 BIG Exp'!$H$23:$W$23</c:f>
              <c:numCache>
                <c:formatCode>0.0%</c:formatCode>
                <c:ptCount val="16"/>
                <c:pt idx="0">
                  <c:v>1.5548968263179613E-2</c:v>
                </c:pt>
                <c:pt idx="1">
                  <c:v>1.58856765516085E-2</c:v>
                </c:pt>
                <c:pt idx="2">
                  <c:v>3.8907977446896648E-2</c:v>
                </c:pt>
                <c:pt idx="3">
                  <c:v>5.7000000000000002E-2</c:v>
                </c:pt>
                <c:pt idx="4">
                  <c:v>5.3459505960427679E-2</c:v>
                </c:pt>
                <c:pt idx="5">
                  <c:v>5.7477184928055543E-2</c:v>
                </c:pt>
                <c:pt idx="6">
                  <c:v>5.5194588989621284E-2</c:v>
                </c:pt>
                <c:pt idx="7">
                  <c:v>5.4224297559599136E-2</c:v>
                </c:pt>
                <c:pt idx="8">
                  <c:v>5.4517460983973684E-2</c:v>
                </c:pt>
                <c:pt idx="9">
                  <c:v>5.1950349590964416E-2</c:v>
                </c:pt>
                <c:pt idx="10">
                  <c:v>6.3618180139705202E-2</c:v>
                </c:pt>
                <c:pt idx="11">
                  <c:v>7.8122416485501694E-2</c:v>
                </c:pt>
                <c:pt idx="12">
                  <c:v>6.1951951317429796E-2</c:v>
                </c:pt>
                <c:pt idx="13">
                  <c:v>5.5896301298753663E-2</c:v>
                </c:pt>
                <c:pt idx="14">
                  <c:v>5.3808195455059799E-2</c:v>
                </c:pt>
                <c:pt idx="15">
                  <c:v>5.6893785271197705E-2</c:v>
                </c:pt>
              </c:numCache>
            </c:numRef>
          </c:val>
          <c:smooth val="0"/>
          <c:extLst>
            <c:ext xmlns:c16="http://schemas.microsoft.com/office/drawing/2014/chart" uri="{C3380CC4-5D6E-409C-BE32-E72D297353CC}">
              <c16:uniqueId val="{00000002-9C55-4E59-978B-78979B3B5062}"/>
            </c:ext>
          </c:extLst>
        </c:ser>
        <c:dLbls>
          <c:showLegendKey val="0"/>
          <c:showVal val="0"/>
          <c:showCatName val="0"/>
          <c:showSerName val="0"/>
          <c:showPercent val="0"/>
          <c:showBubbleSize val="0"/>
        </c:dLbls>
        <c:smooth val="0"/>
        <c:axId val="815454815"/>
        <c:axId val="815468543"/>
        <c:extLst>
          <c:ext xmlns:c15="http://schemas.microsoft.com/office/drawing/2012/chart" uri="{02D57815-91ED-43cb-92C2-25804820EDAC}">
            <c15:filteredLineSeries>
              <c15:ser>
                <c:idx val="3"/>
                <c:order val="3"/>
                <c:tx>
                  <c:strRef>
                    <c:extLst>
                      <c:ext uri="{02D57815-91ED-43cb-92C2-25804820EDAC}">
                        <c15:formulaRef>
                          <c15:sqref>'5.1 BIG Exp'!$A$24</c15:sqref>
                        </c15:formulaRef>
                      </c:ext>
                    </c:extLst>
                    <c:strCache>
                      <c:ptCount val="1"/>
                      <c:pt idx="0">
                        <c:v>Fraternal</c:v>
                      </c:pt>
                    </c:strCache>
                  </c:strRef>
                </c:tx>
                <c:spPr>
                  <a:ln w="34925" cap="rnd">
                    <a:solidFill>
                      <a:schemeClr val="accent4"/>
                    </a:solidFill>
                    <a:round/>
                  </a:ln>
                  <a:effectLst>
                    <a:outerShdw blurRad="40000" dist="23000" dir="5400000" rotWithShape="0">
                      <a:srgbClr val="000000">
                        <a:alpha val="35000"/>
                      </a:srgbClr>
                    </a:outerShdw>
                  </a:effectLst>
                </c:spPr>
                <c:marker>
                  <c:symbol val="none"/>
                </c:marker>
                <c:cat>
                  <c:numRef>
                    <c:extLst>
                      <c:ext uri="{02D57815-91ED-43cb-92C2-25804820EDAC}">
                        <c15:formulaRef>
                          <c15:sqref>'5.1 BIG Exp'!$H$20:$W$20</c15:sqref>
                        </c15:formulaRef>
                      </c:ext>
                    </c:extLst>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extLst>
                      <c:ext uri="{02D57815-91ED-43cb-92C2-25804820EDAC}">
                        <c15:formulaRef>
                          <c15:sqref>'5.1 BIG Exp'!$H$24:$V$24</c15:sqref>
                        </c15:formulaRef>
                      </c:ext>
                    </c:extLst>
                    <c:numCache>
                      <c:formatCode>0.0%</c:formatCode>
                      <c:ptCount val="15"/>
                      <c:pt idx="0">
                        <c:v>5.5450498456005949E-2</c:v>
                      </c:pt>
                      <c:pt idx="1">
                        <c:v>4.6491521557054868E-2</c:v>
                      </c:pt>
                      <c:pt idx="2">
                        <c:v>3.9134696336102739E-2</c:v>
                      </c:pt>
                      <c:pt idx="3">
                        <c:v>3.5000000000000003E-2</c:v>
                      </c:pt>
                      <c:pt idx="4">
                        <c:v>3.9158147166477343E-2</c:v>
                      </c:pt>
                      <c:pt idx="5">
                        <c:v>4.2470689742678779E-2</c:v>
                      </c:pt>
                      <c:pt idx="6">
                        <c:v>4.9290442818038863E-2</c:v>
                      </c:pt>
                      <c:pt idx="7">
                        <c:v>4.9723939504981114E-2</c:v>
                      </c:pt>
                      <c:pt idx="8">
                        <c:v>5.0778511603881492E-2</c:v>
                      </c:pt>
                      <c:pt idx="9">
                        <c:v>0</c:v>
                      </c:pt>
                      <c:pt idx="10">
                        <c:v>0</c:v>
                      </c:pt>
                      <c:pt idx="11">
                        <c:v>0</c:v>
                      </c:pt>
                      <c:pt idx="12">
                        <c:v>0</c:v>
                      </c:pt>
                      <c:pt idx="13">
                        <c:v>0</c:v>
                      </c:pt>
                      <c:pt idx="14">
                        <c:v>0</c:v>
                      </c:pt>
                    </c:numCache>
                  </c:numRef>
                </c:val>
                <c:smooth val="0"/>
                <c:extLst>
                  <c:ext xmlns:c16="http://schemas.microsoft.com/office/drawing/2014/chart" uri="{C3380CC4-5D6E-409C-BE32-E72D297353CC}">
                    <c16:uniqueId val="{00000003-9C55-4E59-978B-78979B3B5062}"/>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'5.1 BIG Exp'!$A$25</c15:sqref>
                        </c15:formulaRef>
                      </c:ext>
                    </c:extLst>
                    <c:strCache>
                      <c:ptCount val="1"/>
                      <c:pt idx="0">
                        <c:v>Title</c:v>
                      </c:pt>
                    </c:strCache>
                  </c:strRef>
                </c:tx>
                <c:spPr>
                  <a:ln w="34925" cap="rnd">
                    <a:solidFill>
                      <a:schemeClr val="accent5"/>
                    </a:solidFill>
                    <a:round/>
                  </a:ln>
                  <a:effectLst>
                    <a:outerShdw blurRad="40000" dist="23000" dir="5400000" rotWithShape="0">
                      <a:srgbClr val="000000">
                        <a:alpha val="35000"/>
                      </a:srgbClr>
                    </a:outerShdw>
                  </a:effectLst>
                </c:spPr>
                <c:marker>
                  <c:symbol val="none"/>
                </c:marker>
                <c:cat>
                  <c:numRef>
                    <c:extLst xmlns:c15="http://schemas.microsoft.com/office/drawing/2012/chart">
                      <c:ext xmlns:c15="http://schemas.microsoft.com/office/drawing/2012/chart" uri="{02D57815-91ED-43cb-92C2-25804820EDAC}">
                        <c15:formulaRef>
                          <c15:sqref>'5.1 BIG Exp'!$H$20:$W$20</c15:sqref>
                        </c15:formulaRef>
                      </c:ext>
                    </c:extLst>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extLst xmlns:c15="http://schemas.microsoft.com/office/drawing/2012/chart">
                      <c:ext xmlns:c15="http://schemas.microsoft.com/office/drawing/2012/chart" uri="{02D57815-91ED-43cb-92C2-25804820EDAC}">
                        <c15:formulaRef>
                          <c15:sqref>'5.1 BIG Exp'!$H$25:$V$25</c15:sqref>
                        </c15:formulaRef>
                      </c:ext>
                    </c:extLst>
                    <c:numCache>
                      <c:formatCode>0.0%</c:formatCode>
                      <c:ptCount val="15"/>
                      <c:pt idx="0">
                        <c:v>4.4000711129812749E-2</c:v>
                      </c:pt>
                      <c:pt idx="1">
                        <c:v>4.3680253014596993E-2</c:v>
                      </c:pt>
                      <c:pt idx="2">
                        <c:v>4.0672024686361795E-2</c:v>
                      </c:pt>
                      <c:pt idx="3">
                        <c:v>0.03</c:v>
                      </c:pt>
                      <c:pt idx="4">
                        <c:v>4.6172296622026786E-2</c:v>
                      </c:pt>
                      <c:pt idx="5">
                        <c:v>6.6412520064205463E-2</c:v>
                      </c:pt>
                      <c:pt idx="6">
                        <c:v>8.1303930968360499E-2</c:v>
                      </c:pt>
                      <c:pt idx="7">
                        <c:v>9.109514021000617E-2</c:v>
                      </c:pt>
                      <c:pt idx="8">
                        <c:v>6.0205865216546903E-2</c:v>
                      </c:pt>
                      <c:pt idx="9">
                        <c:v>4.6989998112851483E-2</c:v>
                      </c:pt>
                      <c:pt idx="10">
                        <c:v>5.2300868600997967E-2</c:v>
                      </c:pt>
                      <c:pt idx="11">
                        <c:v>7.2539736219141018E-2</c:v>
                      </c:pt>
                      <c:pt idx="12">
                        <c:v>5.0114267058439438E-2</c:v>
                      </c:pt>
                      <c:pt idx="13">
                        <c:v>5.0777910753975038E-2</c:v>
                      </c:pt>
                      <c:pt idx="14">
                        <c:v>5.2580331061343723E-2</c:v>
                      </c:pt>
                    </c:numCache>
                  </c:numRef>
                </c:val>
                <c:smooth val="0"/>
                <c:extLst xmlns:c15="http://schemas.microsoft.com/office/drawing/2012/chart">
                  <c:ext xmlns:c16="http://schemas.microsoft.com/office/drawing/2014/chart" uri="{C3380CC4-5D6E-409C-BE32-E72D297353CC}">
                    <c16:uniqueId val="{00000004-9C55-4E59-978B-78979B3B5062}"/>
                  </c:ext>
                </c:extLst>
              </c15:ser>
            </c15:filteredLineSeries>
          </c:ext>
        </c:extLst>
      </c:lineChart>
      <c:catAx>
        <c:axId val="815454815"/>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5468543"/>
        <c:crosses val="autoZero"/>
        <c:auto val="1"/>
        <c:lblAlgn val="ctr"/>
        <c:lblOffset val="100"/>
        <c:noMultiLvlLbl val="0"/>
      </c:catAx>
      <c:valAx>
        <c:axId val="815468543"/>
        <c:scaling>
          <c:orientation val="minMax"/>
        </c:scaling>
        <c:delete val="0"/>
        <c:axPos val="l"/>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5454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P&amp;C Liquidity Ratio</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manualLayout>
          <c:layoutTarget val="inner"/>
          <c:xMode val="edge"/>
          <c:yMode val="edge"/>
          <c:x val="5.533549996001192E-2"/>
          <c:y val="0.18642335766423357"/>
          <c:w val="0.91511694694672863"/>
          <c:h val="0.7006896948100465"/>
        </c:manualLayout>
      </c:layout>
      <c:lineChart>
        <c:grouping val="standard"/>
        <c:varyColors val="0"/>
        <c:ser>
          <c:idx val="0"/>
          <c:order val="0"/>
          <c:tx>
            <c:strRef>
              <c:f>'7.1 -7.3 - Liquidity Ratios'!$A$3</c:f>
              <c:strCache>
                <c:ptCount val="1"/>
                <c:pt idx="0">
                  <c:v>P&amp;C</c:v>
                </c:pt>
              </c:strCache>
            </c:strRef>
          </c:tx>
          <c:spPr>
            <a:ln w="34925" cap="rnd">
              <a:solidFill>
                <a:schemeClr val="lt1"/>
              </a:solidFill>
              <a:round/>
            </a:ln>
            <a:effectLst>
              <a:outerShdw dist="25400" dir="2700000" algn="tl" rotWithShape="0">
                <a:schemeClr val="accent1"/>
              </a:outerShdw>
            </a:effectLst>
          </c:spPr>
          <c:marker>
            <c:symbol val="none"/>
          </c:marker>
          <c:cat>
            <c:numRef>
              <c:f>'7.1 -7.3 - Liquidity Ratios'!$G$2:$R$2</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'7.1 -7.3 - Liquidity Ratios'!$G$3:$R$3</c:f>
              <c:numCache>
                <c:formatCode>[Black]#,##0.0%;[Red]\(#,##0.0%\)</c:formatCode>
                <c:ptCount val="12"/>
                <c:pt idx="0">
                  <c:v>1.2852504782890686</c:v>
                </c:pt>
                <c:pt idx="1">
                  <c:v>1.2721813476323995</c:v>
                </c:pt>
                <c:pt idx="2">
                  <c:v>1.2640386518026341</c:v>
                </c:pt>
                <c:pt idx="3">
                  <c:v>1.2863689719785854</c:v>
                </c:pt>
                <c:pt idx="4">
                  <c:v>1.2526861835840311</c:v>
                </c:pt>
                <c:pt idx="5">
                  <c:v>1.303645854476791</c:v>
                </c:pt>
                <c:pt idx="6">
                  <c:v>1.2954855223943049</c:v>
                </c:pt>
                <c:pt idx="7">
                  <c:v>1.3290702235569056</c:v>
                </c:pt>
                <c:pt idx="8">
                  <c:v>1.2433334564955794</c:v>
                </c:pt>
                <c:pt idx="9">
                  <c:v>1.2437840926930734</c:v>
                </c:pt>
                <c:pt idx="10">
                  <c:v>1.2669388655858635</c:v>
                </c:pt>
                <c:pt idx="11">
                  <c:v>1.3208494084907256</c:v>
                </c:pt>
              </c:numCache>
            </c:numRef>
          </c:val>
          <c:smooth val="0"/>
          <c:extLst>
            <c:ext xmlns:c16="http://schemas.microsoft.com/office/drawing/2014/chart" uri="{C3380CC4-5D6E-409C-BE32-E72D297353CC}">
              <c16:uniqueId val="{00000000-2A19-4B5A-83B1-6EE72E51B8EC}"/>
            </c:ext>
          </c:extLst>
        </c:ser>
        <c:dLbls>
          <c:showLegendKey val="0"/>
          <c:showVal val="0"/>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747955055"/>
        <c:axId val="1483381103"/>
      </c:lineChart>
      <c:catAx>
        <c:axId val="1747955055"/>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1483381103"/>
        <c:crosses val="autoZero"/>
        <c:auto val="1"/>
        <c:lblAlgn val="ctr"/>
        <c:lblOffset val="100"/>
        <c:noMultiLvlLbl val="0"/>
      </c:catAx>
      <c:valAx>
        <c:axId val="1483381103"/>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747955055"/>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Health Liquidity Ratio</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tx>
            <c:strRef>
              <c:f>'7.1 -7.3 - Liquidity Ratios'!$A$11</c:f>
              <c:strCache>
                <c:ptCount val="1"/>
                <c:pt idx="0">
                  <c:v>Health</c:v>
                </c:pt>
              </c:strCache>
            </c:strRef>
          </c:tx>
          <c:spPr>
            <a:ln w="34925" cap="rnd">
              <a:solidFill>
                <a:schemeClr val="lt1"/>
              </a:solidFill>
              <a:round/>
            </a:ln>
            <a:effectLst>
              <a:outerShdw dist="25400" dir="2700000" algn="tl" rotWithShape="0">
                <a:schemeClr val="accent1"/>
              </a:outerShdw>
            </a:effectLst>
          </c:spPr>
          <c:marker>
            <c:symbol val="none"/>
          </c:marker>
          <c:cat>
            <c:numRef>
              <c:f>'7.1 -7.3 - Liquidity Ratios'!$G$2:$R$2</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'7.1 -7.3 - Liquidity Ratios'!$G$11:$R$11</c:f>
              <c:numCache>
                <c:formatCode>[Black]#,##0.0%;[Red]\(#,##0.0%\)</c:formatCode>
                <c:ptCount val="12"/>
                <c:pt idx="0">
                  <c:v>1.7279818972073935</c:v>
                </c:pt>
                <c:pt idx="1">
                  <c:v>1.6760545117614061</c:v>
                </c:pt>
                <c:pt idx="2">
                  <c:v>1.6655715625943031</c:v>
                </c:pt>
                <c:pt idx="3">
                  <c:v>1.748794905600358</c:v>
                </c:pt>
                <c:pt idx="4">
                  <c:v>1.7850817815168842</c:v>
                </c:pt>
                <c:pt idx="5">
                  <c:v>1.8122272990808261</c:v>
                </c:pt>
                <c:pt idx="6">
                  <c:v>1.784983073759745</c:v>
                </c:pt>
                <c:pt idx="7">
                  <c:v>1.7416174511300446</c:v>
                </c:pt>
                <c:pt idx="8">
                  <c:v>1.6890858821970836</c:v>
                </c:pt>
                <c:pt idx="9">
                  <c:v>1.6885093485853224</c:v>
                </c:pt>
                <c:pt idx="10">
                  <c:v>1.7124475970907971</c:v>
                </c:pt>
                <c:pt idx="11">
                  <c:v>1.5229908224221502</c:v>
                </c:pt>
              </c:numCache>
            </c:numRef>
          </c:val>
          <c:smooth val="0"/>
          <c:extLst>
            <c:ext xmlns:c16="http://schemas.microsoft.com/office/drawing/2014/chart" uri="{C3380CC4-5D6E-409C-BE32-E72D297353CC}">
              <c16:uniqueId val="{00000000-5874-4B5E-9775-6D00211F0573}"/>
            </c:ext>
          </c:extLst>
        </c:ser>
        <c:dLbls>
          <c:showLegendKey val="0"/>
          <c:showVal val="0"/>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747972255"/>
        <c:axId val="1554862383"/>
      </c:lineChart>
      <c:catAx>
        <c:axId val="1747972255"/>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1554862383"/>
        <c:crosses val="autoZero"/>
        <c:auto val="1"/>
        <c:lblAlgn val="ctr"/>
        <c:lblOffset val="100"/>
        <c:noMultiLvlLbl val="0"/>
      </c:catAx>
      <c:valAx>
        <c:axId val="1554862383"/>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747972255"/>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Inflation Rate (annualized)</a:t>
            </a:r>
          </a:p>
          <a:p>
            <a:pPr>
              <a:defRPr/>
            </a:pPr>
            <a:r>
              <a:rPr lang="en-US"/>
              <a:t>[Consumer Price Index (CPI)]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6955567319980067E-2"/>
          <c:y val="0.14032416265773259"/>
          <c:w val="0.92191654110405896"/>
          <c:h val="0.70499869806952187"/>
        </c:manualLayout>
      </c:layout>
      <c:lineChart>
        <c:grouping val="standard"/>
        <c:varyColors val="0"/>
        <c:ser>
          <c:idx val="0"/>
          <c:order val="0"/>
          <c:tx>
            <c:strRef>
              <c:f>'1.2B - CPI'!$F$6</c:f>
              <c:strCache>
                <c:ptCount val="1"/>
                <c:pt idx="0">
                  <c:v>CPI</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cat>
            <c:numRef>
              <c:f>'1.2B - CPI'!$A$92:$A$331</c:f>
              <c:numCache>
                <c:formatCode>General</c:formatCode>
                <c:ptCount val="240"/>
                <c:pt idx="0">
                  <c:v>2006</c:v>
                </c:pt>
                <c:pt idx="1">
                  <c:v>2006</c:v>
                </c:pt>
                <c:pt idx="2">
                  <c:v>2006</c:v>
                </c:pt>
                <c:pt idx="3">
                  <c:v>2006</c:v>
                </c:pt>
                <c:pt idx="4">
                  <c:v>2006</c:v>
                </c:pt>
                <c:pt idx="5">
                  <c:v>2006</c:v>
                </c:pt>
                <c:pt idx="6">
                  <c:v>2006</c:v>
                </c:pt>
                <c:pt idx="7">
                  <c:v>2006</c:v>
                </c:pt>
                <c:pt idx="8">
                  <c:v>2006</c:v>
                </c:pt>
                <c:pt idx="9">
                  <c:v>2006</c:v>
                </c:pt>
                <c:pt idx="10">
                  <c:v>2006</c:v>
                </c:pt>
                <c:pt idx="11">
                  <c:v>2006</c:v>
                </c:pt>
                <c:pt idx="12">
                  <c:v>2007</c:v>
                </c:pt>
                <c:pt idx="13">
                  <c:v>2007</c:v>
                </c:pt>
                <c:pt idx="14">
                  <c:v>2007</c:v>
                </c:pt>
                <c:pt idx="15">
                  <c:v>2007</c:v>
                </c:pt>
                <c:pt idx="16">
                  <c:v>2007</c:v>
                </c:pt>
                <c:pt idx="17">
                  <c:v>2007</c:v>
                </c:pt>
                <c:pt idx="18">
                  <c:v>2007</c:v>
                </c:pt>
                <c:pt idx="19">
                  <c:v>2007</c:v>
                </c:pt>
                <c:pt idx="20">
                  <c:v>2007</c:v>
                </c:pt>
                <c:pt idx="21">
                  <c:v>2007</c:v>
                </c:pt>
                <c:pt idx="22">
                  <c:v>2007</c:v>
                </c:pt>
                <c:pt idx="23">
                  <c:v>2007</c:v>
                </c:pt>
                <c:pt idx="24">
                  <c:v>2008</c:v>
                </c:pt>
                <c:pt idx="25">
                  <c:v>2008</c:v>
                </c:pt>
                <c:pt idx="26">
                  <c:v>2008</c:v>
                </c:pt>
                <c:pt idx="27">
                  <c:v>2008</c:v>
                </c:pt>
                <c:pt idx="28">
                  <c:v>2008</c:v>
                </c:pt>
                <c:pt idx="29">
                  <c:v>2008</c:v>
                </c:pt>
                <c:pt idx="30">
                  <c:v>2008</c:v>
                </c:pt>
                <c:pt idx="31">
                  <c:v>2008</c:v>
                </c:pt>
                <c:pt idx="32">
                  <c:v>2008</c:v>
                </c:pt>
                <c:pt idx="33">
                  <c:v>2008</c:v>
                </c:pt>
                <c:pt idx="34">
                  <c:v>2008</c:v>
                </c:pt>
                <c:pt idx="35">
                  <c:v>2008</c:v>
                </c:pt>
                <c:pt idx="36">
                  <c:v>2009</c:v>
                </c:pt>
                <c:pt idx="37">
                  <c:v>2009</c:v>
                </c:pt>
                <c:pt idx="38">
                  <c:v>2009</c:v>
                </c:pt>
                <c:pt idx="39">
                  <c:v>2009</c:v>
                </c:pt>
                <c:pt idx="40">
                  <c:v>2009</c:v>
                </c:pt>
                <c:pt idx="41">
                  <c:v>2009</c:v>
                </c:pt>
                <c:pt idx="42">
                  <c:v>2009</c:v>
                </c:pt>
                <c:pt idx="43">
                  <c:v>2009</c:v>
                </c:pt>
                <c:pt idx="44">
                  <c:v>2009</c:v>
                </c:pt>
                <c:pt idx="45">
                  <c:v>2009</c:v>
                </c:pt>
                <c:pt idx="46">
                  <c:v>2009</c:v>
                </c:pt>
                <c:pt idx="47">
                  <c:v>2009</c:v>
                </c:pt>
                <c:pt idx="48">
                  <c:v>2010</c:v>
                </c:pt>
                <c:pt idx="49">
                  <c:v>2010</c:v>
                </c:pt>
                <c:pt idx="50">
                  <c:v>2010</c:v>
                </c:pt>
                <c:pt idx="51">
                  <c:v>2010</c:v>
                </c:pt>
                <c:pt idx="52">
                  <c:v>2010</c:v>
                </c:pt>
                <c:pt idx="53">
                  <c:v>2010</c:v>
                </c:pt>
                <c:pt idx="54">
                  <c:v>2010</c:v>
                </c:pt>
                <c:pt idx="55">
                  <c:v>2010</c:v>
                </c:pt>
                <c:pt idx="56">
                  <c:v>2010</c:v>
                </c:pt>
                <c:pt idx="57">
                  <c:v>2010</c:v>
                </c:pt>
                <c:pt idx="58">
                  <c:v>2010</c:v>
                </c:pt>
                <c:pt idx="59">
                  <c:v>2010</c:v>
                </c:pt>
                <c:pt idx="60">
                  <c:v>2011</c:v>
                </c:pt>
                <c:pt idx="61">
                  <c:v>2011</c:v>
                </c:pt>
                <c:pt idx="62">
                  <c:v>2011</c:v>
                </c:pt>
                <c:pt idx="63">
                  <c:v>2011</c:v>
                </c:pt>
                <c:pt idx="64">
                  <c:v>2011</c:v>
                </c:pt>
                <c:pt idx="65">
                  <c:v>2011</c:v>
                </c:pt>
                <c:pt idx="66">
                  <c:v>2011</c:v>
                </c:pt>
                <c:pt idx="67">
                  <c:v>2011</c:v>
                </c:pt>
                <c:pt idx="68">
                  <c:v>2011</c:v>
                </c:pt>
                <c:pt idx="69">
                  <c:v>2011</c:v>
                </c:pt>
                <c:pt idx="70">
                  <c:v>2011</c:v>
                </c:pt>
                <c:pt idx="71">
                  <c:v>2011</c:v>
                </c:pt>
                <c:pt idx="72">
                  <c:v>2012</c:v>
                </c:pt>
                <c:pt idx="73">
                  <c:v>2012</c:v>
                </c:pt>
                <c:pt idx="74">
                  <c:v>2012</c:v>
                </c:pt>
                <c:pt idx="75">
                  <c:v>2012</c:v>
                </c:pt>
                <c:pt idx="76">
                  <c:v>2012</c:v>
                </c:pt>
                <c:pt idx="77">
                  <c:v>2012</c:v>
                </c:pt>
                <c:pt idx="78">
                  <c:v>2012</c:v>
                </c:pt>
                <c:pt idx="79">
                  <c:v>2012</c:v>
                </c:pt>
                <c:pt idx="80">
                  <c:v>2012</c:v>
                </c:pt>
                <c:pt idx="81">
                  <c:v>2012</c:v>
                </c:pt>
                <c:pt idx="82">
                  <c:v>2012</c:v>
                </c:pt>
                <c:pt idx="83">
                  <c:v>2012</c:v>
                </c:pt>
                <c:pt idx="84">
                  <c:v>2013</c:v>
                </c:pt>
                <c:pt idx="85">
                  <c:v>2013</c:v>
                </c:pt>
                <c:pt idx="86">
                  <c:v>2013</c:v>
                </c:pt>
                <c:pt idx="87">
                  <c:v>2013</c:v>
                </c:pt>
                <c:pt idx="88">
                  <c:v>2013</c:v>
                </c:pt>
                <c:pt idx="89">
                  <c:v>2013</c:v>
                </c:pt>
                <c:pt idx="90">
                  <c:v>2013</c:v>
                </c:pt>
                <c:pt idx="91">
                  <c:v>2013</c:v>
                </c:pt>
                <c:pt idx="92">
                  <c:v>2013</c:v>
                </c:pt>
                <c:pt idx="93">
                  <c:v>2013</c:v>
                </c:pt>
                <c:pt idx="94">
                  <c:v>2013</c:v>
                </c:pt>
                <c:pt idx="95">
                  <c:v>2013</c:v>
                </c:pt>
                <c:pt idx="96">
                  <c:v>2014</c:v>
                </c:pt>
                <c:pt idx="97">
                  <c:v>2014</c:v>
                </c:pt>
                <c:pt idx="98">
                  <c:v>2014</c:v>
                </c:pt>
                <c:pt idx="99">
                  <c:v>2014</c:v>
                </c:pt>
                <c:pt idx="100">
                  <c:v>2014</c:v>
                </c:pt>
                <c:pt idx="101">
                  <c:v>2014</c:v>
                </c:pt>
                <c:pt idx="102">
                  <c:v>2014</c:v>
                </c:pt>
                <c:pt idx="103">
                  <c:v>2014</c:v>
                </c:pt>
                <c:pt idx="104">
                  <c:v>2014</c:v>
                </c:pt>
                <c:pt idx="105">
                  <c:v>2014</c:v>
                </c:pt>
                <c:pt idx="106">
                  <c:v>2014</c:v>
                </c:pt>
                <c:pt idx="107">
                  <c:v>2014</c:v>
                </c:pt>
                <c:pt idx="108">
                  <c:v>2015</c:v>
                </c:pt>
                <c:pt idx="109">
                  <c:v>2015</c:v>
                </c:pt>
                <c:pt idx="110">
                  <c:v>2015</c:v>
                </c:pt>
                <c:pt idx="111">
                  <c:v>2015</c:v>
                </c:pt>
                <c:pt idx="112">
                  <c:v>2015</c:v>
                </c:pt>
                <c:pt idx="113">
                  <c:v>2015</c:v>
                </c:pt>
                <c:pt idx="114">
                  <c:v>2015</c:v>
                </c:pt>
                <c:pt idx="115">
                  <c:v>2015</c:v>
                </c:pt>
                <c:pt idx="116">
                  <c:v>2015</c:v>
                </c:pt>
                <c:pt idx="117">
                  <c:v>2015</c:v>
                </c:pt>
                <c:pt idx="118">
                  <c:v>2015</c:v>
                </c:pt>
                <c:pt idx="119">
                  <c:v>2015</c:v>
                </c:pt>
                <c:pt idx="120">
                  <c:v>2016</c:v>
                </c:pt>
                <c:pt idx="121">
                  <c:v>2016</c:v>
                </c:pt>
                <c:pt idx="122">
                  <c:v>2016</c:v>
                </c:pt>
                <c:pt idx="123">
                  <c:v>2016</c:v>
                </c:pt>
                <c:pt idx="124">
                  <c:v>2016</c:v>
                </c:pt>
                <c:pt idx="125">
                  <c:v>2016</c:v>
                </c:pt>
                <c:pt idx="126">
                  <c:v>2016</c:v>
                </c:pt>
                <c:pt idx="127">
                  <c:v>2016</c:v>
                </c:pt>
                <c:pt idx="128">
                  <c:v>2016</c:v>
                </c:pt>
                <c:pt idx="129">
                  <c:v>2016</c:v>
                </c:pt>
                <c:pt idx="130">
                  <c:v>2016</c:v>
                </c:pt>
                <c:pt idx="131">
                  <c:v>2016</c:v>
                </c:pt>
                <c:pt idx="132">
                  <c:v>2017</c:v>
                </c:pt>
                <c:pt idx="133">
                  <c:v>2017</c:v>
                </c:pt>
                <c:pt idx="134">
                  <c:v>2017</c:v>
                </c:pt>
                <c:pt idx="135">
                  <c:v>2017</c:v>
                </c:pt>
                <c:pt idx="136">
                  <c:v>2017</c:v>
                </c:pt>
                <c:pt idx="137">
                  <c:v>2017</c:v>
                </c:pt>
                <c:pt idx="138">
                  <c:v>2017</c:v>
                </c:pt>
                <c:pt idx="139">
                  <c:v>2017</c:v>
                </c:pt>
                <c:pt idx="140">
                  <c:v>2017</c:v>
                </c:pt>
                <c:pt idx="141">
                  <c:v>2017</c:v>
                </c:pt>
                <c:pt idx="142">
                  <c:v>2017</c:v>
                </c:pt>
                <c:pt idx="143">
                  <c:v>2017</c:v>
                </c:pt>
                <c:pt idx="144">
                  <c:v>2018</c:v>
                </c:pt>
                <c:pt idx="145">
                  <c:v>2018</c:v>
                </c:pt>
                <c:pt idx="146">
                  <c:v>2018</c:v>
                </c:pt>
                <c:pt idx="147">
                  <c:v>2018</c:v>
                </c:pt>
                <c:pt idx="148">
                  <c:v>2018</c:v>
                </c:pt>
                <c:pt idx="149">
                  <c:v>2018</c:v>
                </c:pt>
                <c:pt idx="150">
                  <c:v>2018</c:v>
                </c:pt>
                <c:pt idx="151">
                  <c:v>2018</c:v>
                </c:pt>
                <c:pt idx="152">
                  <c:v>2018</c:v>
                </c:pt>
                <c:pt idx="153">
                  <c:v>2018</c:v>
                </c:pt>
                <c:pt idx="154">
                  <c:v>2018</c:v>
                </c:pt>
                <c:pt idx="155">
                  <c:v>2018</c:v>
                </c:pt>
                <c:pt idx="156">
                  <c:v>2019</c:v>
                </c:pt>
                <c:pt idx="157">
                  <c:v>2019</c:v>
                </c:pt>
                <c:pt idx="158">
                  <c:v>2019</c:v>
                </c:pt>
                <c:pt idx="159">
                  <c:v>2019</c:v>
                </c:pt>
                <c:pt idx="160">
                  <c:v>2019</c:v>
                </c:pt>
                <c:pt idx="161">
                  <c:v>2019</c:v>
                </c:pt>
                <c:pt idx="162">
                  <c:v>2019</c:v>
                </c:pt>
                <c:pt idx="163">
                  <c:v>2019</c:v>
                </c:pt>
                <c:pt idx="164">
                  <c:v>2019</c:v>
                </c:pt>
                <c:pt idx="165">
                  <c:v>2019</c:v>
                </c:pt>
                <c:pt idx="166">
                  <c:v>2019</c:v>
                </c:pt>
                <c:pt idx="167">
                  <c:v>2019</c:v>
                </c:pt>
                <c:pt idx="168">
                  <c:v>2020</c:v>
                </c:pt>
                <c:pt idx="169">
                  <c:v>2020</c:v>
                </c:pt>
                <c:pt idx="170">
                  <c:v>2020</c:v>
                </c:pt>
                <c:pt idx="171">
                  <c:v>2020</c:v>
                </c:pt>
                <c:pt idx="172">
                  <c:v>2020</c:v>
                </c:pt>
                <c:pt idx="173">
                  <c:v>2020</c:v>
                </c:pt>
                <c:pt idx="174">
                  <c:v>2020</c:v>
                </c:pt>
                <c:pt idx="175">
                  <c:v>2020</c:v>
                </c:pt>
                <c:pt idx="176">
                  <c:v>2020</c:v>
                </c:pt>
                <c:pt idx="177">
                  <c:v>2020</c:v>
                </c:pt>
                <c:pt idx="178">
                  <c:v>2020</c:v>
                </c:pt>
                <c:pt idx="179">
                  <c:v>2020</c:v>
                </c:pt>
                <c:pt idx="180">
                  <c:v>2021</c:v>
                </c:pt>
                <c:pt idx="181">
                  <c:v>2021</c:v>
                </c:pt>
                <c:pt idx="182">
                  <c:v>2021</c:v>
                </c:pt>
                <c:pt idx="183">
                  <c:v>2021</c:v>
                </c:pt>
                <c:pt idx="184">
                  <c:v>2021</c:v>
                </c:pt>
                <c:pt idx="185">
                  <c:v>2021</c:v>
                </c:pt>
                <c:pt idx="186">
                  <c:v>2021</c:v>
                </c:pt>
                <c:pt idx="187">
                  <c:v>2021</c:v>
                </c:pt>
                <c:pt idx="188">
                  <c:v>2021</c:v>
                </c:pt>
                <c:pt idx="189">
                  <c:v>2021</c:v>
                </c:pt>
                <c:pt idx="190">
                  <c:v>2021</c:v>
                </c:pt>
                <c:pt idx="191">
                  <c:v>2021</c:v>
                </c:pt>
                <c:pt idx="192">
                  <c:v>2022</c:v>
                </c:pt>
                <c:pt idx="193">
                  <c:v>2022</c:v>
                </c:pt>
                <c:pt idx="194">
                  <c:v>2022</c:v>
                </c:pt>
                <c:pt idx="195">
                  <c:v>2022</c:v>
                </c:pt>
                <c:pt idx="196">
                  <c:v>2022</c:v>
                </c:pt>
                <c:pt idx="197">
                  <c:v>2022</c:v>
                </c:pt>
                <c:pt idx="198">
                  <c:v>2022</c:v>
                </c:pt>
                <c:pt idx="199">
                  <c:v>2022</c:v>
                </c:pt>
                <c:pt idx="200">
                  <c:v>2022</c:v>
                </c:pt>
                <c:pt idx="201">
                  <c:v>2022</c:v>
                </c:pt>
                <c:pt idx="202">
                  <c:v>2022</c:v>
                </c:pt>
                <c:pt idx="203">
                  <c:v>2022</c:v>
                </c:pt>
                <c:pt idx="204">
                  <c:v>2023</c:v>
                </c:pt>
                <c:pt idx="205">
                  <c:v>2023</c:v>
                </c:pt>
                <c:pt idx="206">
                  <c:v>2023</c:v>
                </c:pt>
                <c:pt idx="207">
                  <c:v>2023</c:v>
                </c:pt>
                <c:pt idx="208">
                  <c:v>2023</c:v>
                </c:pt>
                <c:pt idx="209">
                  <c:v>2023</c:v>
                </c:pt>
                <c:pt idx="210">
                  <c:v>2023</c:v>
                </c:pt>
                <c:pt idx="211">
                  <c:v>2023</c:v>
                </c:pt>
                <c:pt idx="212">
                  <c:v>2023</c:v>
                </c:pt>
                <c:pt idx="213">
                  <c:v>2023</c:v>
                </c:pt>
                <c:pt idx="214">
                  <c:v>2023</c:v>
                </c:pt>
                <c:pt idx="215">
                  <c:v>2023</c:v>
                </c:pt>
                <c:pt idx="216">
                  <c:v>2024</c:v>
                </c:pt>
                <c:pt idx="217">
                  <c:v>2024</c:v>
                </c:pt>
                <c:pt idx="218">
                  <c:v>2024</c:v>
                </c:pt>
                <c:pt idx="219">
                  <c:v>2024</c:v>
                </c:pt>
                <c:pt idx="220">
                  <c:v>2024</c:v>
                </c:pt>
                <c:pt idx="221">
                  <c:v>2024</c:v>
                </c:pt>
                <c:pt idx="222">
                  <c:v>2024</c:v>
                </c:pt>
                <c:pt idx="223">
                  <c:v>2024</c:v>
                </c:pt>
                <c:pt idx="224">
                  <c:v>2024</c:v>
                </c:pt>
                <c:pt idx="225">
                  <c:v>2024</c:v>
                </c:pt>
                <c:pt idx="226">
                  <c:v>2024</c:v>
                </c:pt>
                <c:pt idx="227">
                  <c:v>2024</c:v>
                </c:pt>
                <c:pt idx="228">
                  <c:v>2025</c:v>
                </c:pt>
                <c:pt idx="229">
                  <c:v>2025</c:v>
                </c:pt>
                <c:pt idx="230">
                  <c:v>2025</c:v>
                </c:pt>
                <c:pt idx="231">
                  <c:v>2025</c:v>
                </c:pt>
                <c:pt idx="232">
                  <c:v>2025</c:v>
                </c:pt>
                <c:pt idx="233">
                  <c:v>2025</c:v>
                </c:pt>
                <c:pt idx="234">
                  <c:v>2025</c:v>
                </c:pt>
                <c:pt idx="235">
                  <c:v>2025</c:v>
                </c:pt>
                <c:pt idx="236">
                  <c:v>2025</c:v>
                </c:pt>
                <c:pt idx="238">
                  <c:v>2025</c:v>
                </c:pt>
                <c:pt idx="239">
                  <c:v>2025</c:v>
                </c:pt>
              </c:numCache>
            </c:numRef>
          </c:cat>
          <c:val>
            <c:numRef>
              <c:f>'1.2B - CPI'!$F$92:$F$331</c:f>
              <c:numCache>
                <c:formatCode>0.00%</c:formatCode>
                <c:ptCount val="240"/>
                <c:pt idx="0">
                  <c:v>4.0187891440501167E-2</c:v>
                </c:pt>
                <c:pt idx="1">
                  <c:v>3.6382536382536301E-2</c:v>
                </c:pt>
                <c:pt idx="2">
                  <c:v>3.4179181771103018E-2</c:v>
                </c:pt>
                <c:pt idx="3">
                  <c:v>3.6138358286009309E-2</c:v>
                </c:pt>
                <c:pt idx="4">
                  <c:v>3.9772727272727293E-2</c:v>
                </c:pt>
                <c:pt idx="5">
                  <c:v>4.1817243159525175E-2</c:v>
                </c:pt>
                <c:pt idx="6">
                  <c:v>4.1046690610569536E-2</c:v>
                </c:pt>
                <c:pt idx="7">
                  <c:v>3.9265680775114831E-2</c:v>
                </c:pt>
                <c:pt idx="8">
                  <c:v>2.0120724346076369E-2</c:v>
                </c:pt>
                <c:pt idx="9">
                  <c:v>1.4063284781516971E-2</c:v>
                </c:pt>
                <c:pt idx="10">
                  <c:v>1.9687026754164672E-2</c:v>
                </c:pt>
                <c:pt idx="11">
                  <c:v>2.5239777889954462E-2</c:v>
                </c:pt>
                <c:pt idx="12">
                  <c:v>2.0757651781234232E-2</c:v>
                </c:pt>
                <c:pt idx="13">
                  <c:v>2.4202607823470279E-2</c:v>
                </c:pt>
                <c:pt idx="14">
                  <c:v>2.7981972959439272E-2</c:v>
                </c:pt>
                <c:pt idx="15">
                  <c:v>2.5929247633283525E-2</c:v>
                </c:pt>
                <c:pt idx="16">
                  <c:v>2.7098857426726131E-2</c:v>
                </c:pt>
                <c:pt idx="17">
                  <c:v>2.692765113974227E-2</c:v>
                </c:pt>
                <c:pt idx="18">
                  <c:v>2.3178905864958077E-2</c:v>
                </c:pt>
                <c:pt idx="19">
                  <c:v>1.8974484789008761E-2</c:v>
                </c:pt>
                <c:pt idx="20">
                  <c:v>2.8338264299802685E-2</c:v>
                </c:pt>
                <c:pt idx="21">
                  <c:v>3.610698365527476E-2</c:v>
                </c:pt>
                <c:pt idx="22">
                  <c:v>4.373267326732666E-2</c:v>
                </c:pt>
                <c:pt idx="23">
                  <c:v>4.1088133924175319E-2</c:v>
                </c:pt>
                <c:pt idx="24">
                  <c:v>4.294695655165981E-2</c:v>
                </c:pt>
                <c:pt idx="25">
                  <c:v>4.1429592706119678E-2</c:v>
                </c:pt>
                <c:pt idx="26">
                  <c:v>3.9749035501344343E-2</c:v>
                </c:pt>
                <c:pt idx="27">
                  <c:v>3.9037609759888126E-2</c:v>
                </c:pt>
                <c:pt idx="28">
                  <c:v>4.088413823123993E-2</c:v>
                </c:pt>
                <c:pt idx="29">
                  <c:v>4.9359661059478643E-2</c:v>
                </c:pt>
                <c:pt idx="30">
                  <c:v>5.4975120783418374E-2</c:v>
                </c:pt>
                <c:pt idx="31">
                  <c:v>5.3080171620912386E-2</c:v>
                </c:pt>
                <c:pt idx="32">
                  <c:v>4.9533198751360752E-2</c:v>
                </c:pt>
                <c:pt idx="33">
                  <c:v>3.7310578899565128E-2</c:v>
                </c:pt>
                <c:pt idx="34">
                  <c:v>1.0999174706166848E-2</c:v>
                </c:pt>
                <c:pt idx="35">
                  <c:v>-2.2228002553859039E-4</c:v>
                </c:pt>
                <c:pt idx="36">
                  <c:v>-1.1358601902212717E-3</c:v>
                </c:pt>
                <c:pt idx="37">
                  <c:v>8.4631406715107715E-5</c:v>
                </c:pt>
                <c:pt idx="38">
                  <c:v>-4.4647876766238381E-3</c:v>
                </c:pt>
                <c:pt idx="39">
                  <c:v>-5.7632442437670628E-3</c:v>
                </c:pt>
                <c:pt idx="40">
                  <c:v>-1.0157614958551719E-2</c:v>
                </c:pt>
                <c:pt idx="41">
                  <c:v>-1.2291746182109153E-2</c:v>
                </c:pt>
                <c:pt idx="42">
                  <c:v>-1.9587610037622771E-2</c:v>
                </c:pt>
                <c:pt idx="43">
                  <c:v>-1.4838355663267633E-2</c:v>
                </c:pt>
                <c:pt idx="44">
                  <c:v>-1.3779428628864721E-2</c:v>
                </c:pt>
                <c:pt idx="45">
                  <c:v>-2.2396829420033848E-3</c:v>
                </c:pt>
                <c:pt idx="46">
                  <c:v>1.9145871744709275E-2</c:v>
                </c:pt>
                <c:pt idx="47">
                  <c:v>2.8141231232083674E-2</c:v>
                </c:pt>
                <c:pt idx="48">
                  <c:v>2.6211113889767157E-2</c:v>
                </c:pt>
                <c:pt idx="49">
                  <c:v>2.151336357866529E-2</c:v>
                </c:pt>
                <c:pt idx="50">
                  <c:v>2.2861714393279886E-2</c:v>
                </c:pt>
                <c:pt idx="51">
                  <c:v>2.2067707525304403E-2</c:v>
                </c:pt>
                <c:pt idx="52">
                  <c:v>2.0035489292185682E-2</c:v>
                </c:pt>
                <c:pt idx="53">
                  <c:v>1.1215605940686268E-2</c:v>
                </c:pt>
                <c:pt idx="54">
                  <c:v>1.3407784804821077E-2</c:v>
                </c:pt>
                <c:pt idx="55">
                  <c:v>1.1501775395112546E-2</c:v>
                </c:pt>
                <c:pt idx="56">
                  <c:v>1.1183122472331775E-2</c:v>
                </c:pt>
                <c:pt idx="57">
                  <c:v>1.1666951489314625E-2</c:v>
                </c:pt>
                <c:pt idx="58">
                  <c:v>1.084544776600338E-2</c:v>
                </c:pt>
                <c:pt idx="59">
                  <c:v>1.4377930222179369E-2</c:v>
                </c:pt>
                <c:pt idx="60">
                  <c:v>1.7007834915029774E-2</c:v>
                </c:pt>
                <c:pt idx="61">
                  <c:v>2.1248981733331451E-2</c:v>
                </c:pt>
                <c:pt idx="62">
                  <c:v>2.6192415103541089E-2</c:v>
                </c:pt>
                <c:pt idx="63">
                  <c:v>3.0772344447868694E-2</c:v>
                </c:pt>
                <c:pt idx="64">
                  <c:v>3.4589718808964998E-2</c:v>
                </c:pt>
                <c:pt idx="65">
                  <c:v>3.5023181506360412E-2</c:v>
                </c:pt>
                <c:pt idx="66">
                  <c:v>3.5798809769996165E-2</c:v>
                </c:pt>
                <c:pt idx="67">
                  <c:v>3.7549960307080799E-2</c:v>
                </c:pt>
                <c:pt idx="68">
                  <c:v>3.8126216928186851E-2</c:v>
                </c:pt>
                <c:pt idx="69">
                  <c:v>3.5222681306640524E-2</c:v>
                </c:pt>
                <c:pt idx="70">
                  <c:v>3.4514322145817289E-2</c:v>
                </c:pt>
                <c:pt idx="71">
                  <c:v>3.0620668384193861E-2</c:v>
                </c:pt>
                <c:pt idx="72">
                  <c:v>3.0087663379855023E-2</c:v>
                </c:pt>
                <c:pt idx="73">
                  <c:v>2.8981784423473878E-2</c:v>
                </c:pt>
                <c:pt idx="74">
                  <c:v>2.5828752813320977E-2</c:v>
                </c:pt>
                <c:pt idx="75">
                  <c:v>2.2731633741348567E-2</c:v>
                </c:pt>
                <c:pt idx="76">
                  <c:v>1.7379429374660749E-2</c:v>
                </c:pt>
                <c:pt idx="77">
                  <c:v>1.6538704482976341E-2</c:v>
                </c:pt>
                <c:pt idx="78">
                  <c:v>1.4175114798464783E-2</c:v>
                </c:pt>
                <c:pt idx="79">
                  <c:v>1.6859349154821235E-2</c:v>
                </c:pt>
                <c:pt idx="80">
                  <c:v>1.9497168982819613E-2</c:v>
                </c:pt>
                <c:pt idx="81">
                  <c:v>2.1556780595369363E-2</c:v>
                </c:pt>
                <c:pt idx="82">
                  <c:v>1.7960197033926262E-2</c:v>
                </c:pt>
                <c:pt idx="83">
                  <c:v>1.7595049796895523E-2</c:v>
                </c:pt>
                <c:pt idx="84">
                  <c:v>1.6840617620982989E-2</c:v>
                </c:pt>
                <c:pt idx="85">
                  <c:v>2.0181404902574807E-2</c:v>
                </c:pt>
                <c:pt idx="86">
                  <c:v>1.5187472411246183E-2</c:v>
                </c:pt>
                <c:pt idx="87">
                  <c:v>1.1388080475768669E-2</c:v>
                </c:pt>
                <c:pt idx="88">
                  <c:v>1.3903888279197085E-2</c:v>
                </c:pt>
                <c:pt idx="89">
                  <c:v>1.7157935271568725E-2</c:v>
                </c:pt>
                <c:pt idx="90">
                  <c:v>1.8854718054158059E-2</c:v>
                </c:pt>
                <c:pt idx="91">
                  <c:v>1.538809488600279E-2</c:v>
                </c:pt>
                <c:pt idx="92">
                  <c:v>1.0947341081747997E-2</c:v>
                </c:pt>
                <c:pt idx="93">
                  <c:v>8.7679914349114707E-3</c:v>
                </c:pt>
                <c:pt idx="94">
                  <c:v>1.2328701961954458E-2</c:v>
                </c:pt>
                <c:pt idx="95">
                  <c:v>1.5128383667573297E-2</c:v>
                </c:pt>
                <c:pt idx="96">
                  <c:v>1.557758795574915E-2</c:v>
                </c:pt>
                <c:pt idx="97">
                  <c:v>1.1204746347724948E-2</c:v>
                </c:pt>
                <c:pt idx="98">
                  <c:v>1.6126949139408042E-2</c:v>
                </c:pt>
                <c:pt idx="99">
                  <c:v>2.0151253036061689E-2</c:v>
                </c:pt>
                <c:pt idx="100">
                  <c:v>2.1669476870798121E-2</c:v>
                </c:pt>
                <c:pt idx="101">
                  <c:v>2.0589816945944195E-2</c:v>
                </c:pt>
                <c:pt idx="102">
                  <c:v>1.9742378703305974E-2</c:v>
                </c:pt>
                <c:pt idx="103">
                  <c:v>1.7150983482969062E-2</c:v>
                </c:pt>
                <c:pt idx="104">
                  <c:v>1.6840509711232077E-2</c:v>
                </c:pt>
                <c:pt idx="105">
                  <c:v>1.6095417021513292E-2</c:v>
                </c:pt>
                <c:pt idx="106">
                  <c:v>1.231524989320798E-2</c:v>
                </c:pt>
                <c:pt idx="107">
                  <c:v>6.5312139196231911E-3</c:v>
                </c:pt>
                <c:pt idx="108">
                  <c:v>-2.2993097820542818E-3</c:v>
                </c:pt>
                <c:pt idx="109">
                  <c:v>-8.7031462935205361E-4</c:v>
                </c:pt>
                <c:pt idx="110">
                  <c:v>-2.2031284423873476E-4</c:v>
                </c:pt>
                <c:pt idx="111">
                  <c:v>-1.0403098939391064E-3</c:v>
                </c:pt>
                <c:pt idx="112">
                  <c:v>3.5033218244295838E-4</c:v>
                </c:pt>
                <c:pt idx="113">
                  <c:v>1.7957180975505249E-3</c:v>
                </c:pt>
                <c:pt idx="114">
                  <c:v>2.2568611104094582E-3</c:v>
                </c:pt>
                <c:pt idx="115">
                  <c:v>2.413037985344868E-3</c:v>
                </c:pt>
                <c:pt idx="116">
                  <c:v>8.8429616341700878E-5</c:v>
                </c:pt>
                <c:pt idx="117">
                  <c:v>1.2761656067050708E-3</c:v>
                </c:pt>
                <c:pt idx="118">
                  <c:v>4.3631821691851869E-3</c:v>
                </c:pt>
                <c:pt idx="119">
                  <c:v>6.3872475153647912E-3</c:v>
                </c:pt>
                <c:pt idx="120">
                  <c:v>1.2375025026943876E-2</c:v>
                </c:pt>
                <c:pt idx="121">
                  <c:v>8.4727757901266187E-3</c:v>
                </c:pt>
                <c:pt idx="122">
                  <c:v>8.9161609655219465E-3</c:v>
                </c:pt>
                <c:pt idx="123">
                  <c:v>1.1726257503534843E-2</c:v>
                </c:pt>
                <c:pt idx="124">
                  <c:v>1.0784764621246223E-2</c:v>
                </c:pt>
                <c:pt idx="125">
                  <c:v>1.0792865347959424E-2</c:v>
                </c:pt>
                <c:pt idx="126">
                  <c:v>8.6836334305182561E-3</c:v>
                </c:pt>
                <c:pt idx="127">
                  <c:v>1.0553158595656864E-2</c:v>
                </c:pt>
                <c:pt idx="128">
                  <c:v>1.5486446201652182E-2</c:v>
                </c:pt>
                <c:pt idx="129">
                  <c:v>1.685924966243646E-2</c:v>
                </c:pt>
                <c:pt idx="130">
                  <c:v>1.6843334719788938E-2</c:v>
                </c:pt>
                <c:pt idx="131">
                  <c:v>2.0507989115119862E-2</c:v>
                </c:pt>
                <c:pt idx="132">
                  <c:v>2.5103933482571117E-2</c:v>
                </c:pt>
                <c:pt idx="133">
                  <c:v>2.8103616813294208E-2</c:v>
                </c:pt>
                <c:pt idx="134">
                  <c:v>2.44119623655914E-2</c:v>
                </c:pt>
                <c:pt idx="135">
                  <c:v>2.176223471915395E-2</c:v>
                </c:pt>
                <c:pt idx="136">
                  <c:v>1.8563431667619756E-2</c:v>
                </c:pt>
                <c:pt idx="137">
                  <c:v>1.6405658099591269E-2</c:v>
                </c:pt>
                <c:pt idx="138">
                  <c:v>1.7251073506566073E-2</c:v>
                </c:pt>
                <c:pt idx="139">
                  <c:v>1.9281215572969801E-2</c:v>
                </c:pt>
                <c:pt idx="140">
                  <c:v>2.1805652303711787E-2</c:v>
                </c:pt>
                <c:pt idx="141">
                  <c:v>2.020757753132485E-2</c:v>
                </c:pt>
                <c:pt idx="142">
                  <c:v>2.172493864295566E-2</c:v>
                </c:pt>
                <c:pt idx="143">
                  <c:v>2.1299307195522532E-2</c:v>
                </c:pt>
                <c:pt idx="144">
                  <c:v>2.151318868063945E-2</c:v>
                </c:pt>
                <c:pt idx="145">
                  <c:v>2.263468931091861E-2</c:v>
                </c:pt>
                <c:pt idx="146">
                  <c:v>2.3309497646499366E-2</c:v>
                </c:pt>
                <c:pt idx="147">
                  <c:v>2.4709963021052994E-2</c:v>
                </c:pt>
                <c:pt idx="148">
                  <c:v>2.7819216078424969E-2</c:v>
                </c:pt>
                <c:pt idx="149">
                  <c:v>2.8075506935940187E-2</c:v>
                </c:pt>
                <c:pt idx="150">
                  <c:v>2.8541247855619289E-2</c:v>
                </c:pt>
                <c:pt idx="151">
                  <c:v>2.6429238568742575E-2</c:v>
                </c:pt>
                <c:pt idx="152">
                  <c:v>2.3320551058088279E-2</c:v>
                </c:pt>
                <c:pt idx="153">
                  <c:v>2.492032470218053E-2</c:v>
                </c:pt>
                <c:pt idx="154">
                  <c:v>2.1473285776677731E-2</c:v>
                </c:pt>
                <c:pt idx="155">
                  <c:v>2.0023809043401064E-2</c:v>
                </c:pt>
                <c:pt idx="156">
                  <c:v>1.5506772911568323E-2</c:v>
                </c:pt>
                <c:pt idx="157">
                  <c:v>1.5200638001995781E-2</c:v>
                </c:pt>
                <c:pt idx="158">
                  <c:v>1.8531355052749277E-2</c:v>
                </c:pt>
                <c:pt idx="159">
                  <c:v>1.9917914533603476E-2</c:v>
                </c:pt>
                <c:pt idx="160">
                  <c:v>1.793518134549732E-2</c:v>
                </c:pt>
                <c:pt idx="161">
                  <c:v>1.6496824928889486E-2</c:v>
                </c:pt>
                <c:pt idx="162">
                  <c:v>1.7797574975916941E-2</c:v>
                </c:pt>
                <c:pt idx="163">
                  <c:v>1.7467804166683365E-2</c:v>
                </c:pt>
                <c:pt idx="164">
                  <c:v>1.7166173636500748E-2</c:v>
                </c:pt>
                <c:pt idx="165">
                  <c:v>1.769183295618193E-2</c:v>
                </c:pt>
                <c:pt idx="166">
                  <c:v>2.0622025859679871E-2</c:v>
                </c:pt>
                <c:pt idx="167">
                  <c:v>2.3139887722685382E-2</c:v>
                </c:pt>
                <c:pt idx="168">
                  <c:v>2.500415482870233E-2</c:v>
                </c:pt>
                <c:pt idx="169">
                  <c:v>2.3393151798896117E-2</c:v>
                </c:pt>
                <c:pt idx="170">
                  <c:v>1.5428674833400269E-2</c:v>
                </c:pt>
                <c:pt idx="171">
                  <c:v>3.4520455622992774E-3</c:v>
                </c:pt>
                <c:pt idx="172">
                  <c:v>2.2640918171490387E-3</c:v>
                </c:pt>
                <c:pt idx="173">
                  <c:v>7.1602412613311905E-3</c:v>
                </c:pt>
                <c:pt idx="174">
                  <c:v>1.014138490721006E-2</c:v>
                </c:pt>
                <c:pt idx="175">
                  <c:v>1.3090732995129972E-2</c:v>
                </c:pt>
                <c:pt idx="176">
                  <c:v>1.3714811450580955E-2</c:v>
                </c:pt>
                <c:pt idx="177">
                  <c:v>1.1825348696179461E-2</c:v>
                </c:pt>
                <c:pt idx="178">
                  <c:v>1.1675581742648378E-2</c:v>
                </c:pt>
                <c:pt idx="179">
                  <c:v>1.3220373062765134E-2</c:v>
                </c:pt>
                <c:pt idx="180">
                  <c:v>1.3947814404891901E-2</c:v>
                </c:pt>
                <c:pt idx="181">
                  <c:v>1.693359254459037E-2</c:v>
                </c:pt>
                <c:pt idx="182">
                  <c:v>2.6305186654475898E-2</c:v>
                </c:pt>
                <c:pt idx="183">
                  <c:v>4.1305468347312857E-2</c:v>
                </c:pt>
                <c:pt idx="184">
                  <c:v>4.9150343145684561E-2</c:v>
                </c:pt>
                <c:pt idx="185">
                  <c:v>5.2816106713984512E-2</c:v>
                </c:pt>
                <c:pt idx="186">
                  <c:v>5.2215055095672147E-2</c:v>
                </c:pt>
                <c:pt idx="187">
                  <c:v>5.1882919382755466E-2</c:v>
                </c:pt>
                <c:pt idx="188">
                  <c:v>5.3836302873910391E-2</c:v>
                </c:pt>
                <c:pt idx="189">
                  <c:v>6.2377538553744616E-2</c:v>
                </c:pt>
                <c:pt idx="190">
                  <c:v>6.8623879944634814E-2</c:v>
                </c:pt>
                <c:pt idx="191">
                  <c:v>7.1944587555097472E-2</c:v>
                </c:pt>
                <c:pt idx="192">
                  <c:v>7.595278888254331E-2</c:v>
                </c:pt>
                <c:pt idx="193">
                  <c:v>7.954847176810631E-2</c:v>
                </c:pt>
                <c:pt idx="194">
                  <c:v>8.5152162588613578E-2</c:v>
                </c:pt>
                <c:pt idx="195">
                  <c:v>8.2277721528480896E-2</c:v>
                </c:pt>
                <c:pt idx="196">
                  <c:v>8.5023319575032286E-2</c:v>
                </c:pt>
                <c:pt idx="197">
                  <c:v>8.9329868901052878E-2</c:v>
                </c:pt>
                <c:pt idx="198">
                  <c:v>8.4131820255810119E-2</c:v>
                </c:pt>
                <c:pt idx="199">
                  <c:v>8.2273610144024678E-2</c:v>
                </c:pt>
                <c:pt idx="200">
                  <c:v>8.2148539565299661E-2</c:v>
                </c:pt>
                <c:pt idx="201">
                  <c:v>7.7624926768937064E-2</c:v>
                </c:pt>
                <c:pt idx="202">
                  <c:v>7.135348084575055E-2</c:v>
                </c:pt>
                <c:pt idx="203">
                  <c:v>6.444940492084017E-2</c:v>
                </c:pt>
                <c:pt idx="204">
                  <c:v>6.3471562178210261E-2</c:v>
                </c:pt>
                <c:pt idx="205">
                  <c:v>5.9864375812515469E-2</c:v>
                </c:pt>
                <c:pt idx="206">
                  <c:v>4.9869204652974952E-2</c:v>
                </c:pt>
                <c:pt idx="207">
                  <c:v>4.9571915138369782E-2</c:v>
                </c:pt>
                <c:pt idx="208">
                  <c:v>4.1288435392834222E-2</c:v>
                </c:pt>
                <c:pt idx="209">
                  <c:v>3.0920034743899372E-2</c:v>
                </c:pt>
                <c:pt idx="210">
                  <c:v>3.299075444289068E-2</c:v>
                </c:pt>
                <c:pt idx="211">
                  <c:v>3.7075037247731313E-2</c:v>
                </c:pt>
                <c:pt idx="212">
                  <c:v>3.6899025086076342E-2</c:v>
                </c:pt>
                <c:pt idx="213">
                  <c:v>3.2437656676298054E-2</c:v>
                </c:pt>
                <c:pt idx="214">
                  <c:v>3.1778511577438495E-2</c:v>
                </c:pt>
                <c:pt idx="215">
                  <c:v>3.2593063313154369E-2</c:v>
                </c:pt>
                <c:pt idx="216">
                  <c:v>3.0804961801581099E-2</c:v>
                </c:pt>
                <c:pt idx="217">
                  <c:v>3.1075956081260125E-2</c:v>
                </c:pt>
                <c:pt idx="218">
                  <c:v>3.4124343953771952E-2</c:v>
                </c:pt>
                <c:pt idx="219">
                  <c:v>3.3335754230517933E-2</c:v>
                </c:pt>
                <c:pt idx="220">
                  <c:v>3.2463550218599702E-2</c:v>
                </c:pt>
                <c:pt idx="221">
                  <c:v>3.0575202161656767E-2</c:v>
                </c:pt>
                <c:pt idx="222">
                  <c:v>3.0287696978458678E-2</c:v>
                </c:pt>
                <c:pt idx="223">
                  <c:v>2.5670244131792419E-2</c:v>
                </c:pt>
                <c:pt idx="224">
                  <c:v>2.3968960683749652E-2</c:v>
                </c:pt>
                <c:pt idx="225">
                  <c:v>2.5714034967967203E-2</c:v>
                </c:pt>
                <c:pt idx="226">
                  <c:v>2.7141684004842848E-2</c:v>
                </c:pt>
                <c:pt idx="227">
                  <c:v>2.872366268806581E-2</c:v>
                </c:pt>
                <c:pt idx="228">
                  <c:v>2.9994125128311122E-2</c:v>
                </c:pt>
                <c:pt idx="229">
                  <c:v>2.8142703731568686E-2</c:v>
                </c:pt>
                <c:pt idx="230">
                  <c:v>2.4055852640280317E-2</c:v>
                </c:pt>
                <c:pt idx="231">
                  <c:v>2.3337465177498906E-2</c:v>
                </c:pt>
                <c:pt idx="232">
                  <c:v>2.3759340869898393E-2</c:v>
                </c:pt>
                <c:pt idx="233">
                  <c:v>2.6726833178446263E-2</c:v>
                </c:pt>
                <c:pt idx="234">
                  <c:v>2.7318012794754543E-2</c:v>
                </c:pt>
                <c:pt idx="235">
                  <c:v>2.9392196249335534E-2</c:v>
                </c:pt>
                <c:pt idx="236">
                  <c:v>3.0226996261723871E-2</c:v>
                </c:pt>
                <c:pt idx="238">
                  <c:v>2.7119693852721838E-2</c:v>
                </c:pt>
                <c:pt idx="239">
                  <c:v>2.6533124687109222E-2</c:v>
                </c:pt>
              </c:numCache>
            </c:numRef>
          </c:val>
          <c:smooth val="0"/>
          <c:extLst>
            <c:ext xmlns:c16="http://schemas.microsoft.com/office/drawing/2014/chart" uri="{C3380CC4-5D6E-409C-BE32-E72D297353CC}">
              <c16:uniqueId val="{00000000-4A8A-4D01-B2D7-02AAC1D249D3}"/>
            </c:ext>
          </c:extLst>
        </c:ser>
        <c:ser>
          <c:idx val="1"/>
          <c:order val="1"/>
          <c:tx>
            <c:strRef>
              <c:f>'1.2B - CPI'!$J$6</c:f>
              <c:strCache>
                <c:ptCount val="1"/>
                <c:pt idx="0">
                  <c:v>Core CPI</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cat>
            <c:numRef>
              <c:f>'1.2B - CPI'!$A$92:$A$331</c:f>
              <c:numCache>
                <c:formatCode>General</c:formatCode>
                <c:ptCount val="240"/>
                <c:pt idx="0">
                  <c:v>2006</c:v>
                </c:pt>
                <c:pt idx="1">
                  <c:v>2006</c:v>
                </c:pt>
                <c:pt idx="2">
                  <c:v>2006</c:v>
                </c:pt>
                <c:pt idx="3">
                  <c:v>2006</c:v>
                </c:pt>
                <c:pt idx="4">
                  <c:v>2006</c:v>
                </c:pt>
                <c:pt idx="5">
                  <c:v>2006</c:v>
                </c:pt>
                <c:pt idx="6">
                  <c:v>2006</c:v>
                </c:pt>
                <c:pt idx="7">
                  <c:v>2006</c:v>
                </c:pt>
                <c:pt idx="8">
                  <c:v>2006</c:v>
                </c:pt>
                <c:pt idx="9">
                  <c:v>2006</c:v>
                </c:pt>
                <c:pt idx="10">
                  <c:v>2006</c:v>
                </c:pt>
                <c:pt idx="11">
                  <c:v>2006</c:v>
                </c:pt>
                <c:pt idx="12">
                  <c:v>2007</c:v>
                </c:pt>
                <c:pt idx="13">
                  <c:v>2007</c:v>
                </c:pt>
                <c:pt idx="14">
                  <c:v>2007</c:v>
                </c:pt>
                <c:pt idx="15">
                  <c:v>2007</c:v>
                </c:pt>
                <c:pt idx="16">
                  <c:v>2007</c:v>
                </c:pt>
                <c:pt idx="17">
                  <c:v>2007</c:v>
                </c:pt>
                <c:pt idx="18">
                  <c:v>2007</c:v>
                </c:pt>
                <c:pt idx="19">
                  <c:v>2007</c:v>
                </c:pt>
                <c:pt idx="20">
                  <c:v>2007</c:v>
                </c:pt>
                <c:pt idx="21">
                  <c:v>2007</c:v>
                </c:pt>
                <c:pt idx="22">
                  <c:v>2007</c:v>
                </c:pt>
                <c:pt idx="23">
                  <c:v>2007</c:v>
                </c:pt>
                <c:pt idx="24">
                  <c:v>2008</c:v>
                </c:pt>
                <c:pt idx="25">
                  <c:v>2008</c:v>
                </c:pt>
                <c:pt idx="26">
                  <c:v>2008</c:v>
                </c:pt>
                <c:pt idx="27">
                  <c:v>2008</c:v>
                </c:pt>
                <c:pt idx="28">
                  <c:v>2008</c:v>
                </c:pt>
                <c:pt idx="29">
                  <c:v>2008</c:v>
                </c:pt>
                <c:pt idx="30">
                  <c:v>2008</c:v>
                </c:pt>
                <c:pt idx="31">
                  <c:v>2008</c:v>
                </c:pt>
                <c:pt idx="32">
                  <c:v>2008</c:v>
                </c:pt>
                <c:pt idx="33">
                  <c:v>2008</c:v>
                </c:pt>
                <c:pt idx="34">
                  <c:v>2008</c:v>
                </c:pt>
                <c:pt idx="35">
                  <c:v>2008</c:v>
                </c:pt>
                <c:pt idx="36">
                  <c:v>2009</c:v>
                </c:pt>
                <c:pt idx="37">
                  <c:v>2009</c:v>
                </c:pt>
                <c:pt idx="38">
                  <c:v>2009</c:v>
                </c:pt>
                <c:pt idx="39">
                  <c:v>2009</c:v>
                </c:pt>
                <c:pt idx="40">
                  <c:v>2009</c:v>
                </c:pt>
                <c:pt idx="41">
                  <c:v>2009</c:v>
                </c:pt>
                <c:pt idx="42">
                  <c:v>2009</c:v>
                </c:pt>
                <c:pt idx="43">
                  <c:v>2009</c:v>
                </c:pt>
                <c:pt idx="44">
                  <c:v>2009</c:v>
                </c:pt>
                <c:pt idx="45">
                  <c:v>2009</c:v>
                </c:pt>
                <c:pt idx="46">
                  <c:v>2009</c:v>
                </c:pt>
                <c:pt idx="47">
                  <c:v>2009</c:v>
                </c:pt>
                <c:pt idx="48">
                  <c:v>2010</c:v>
                </c:pt>
                <c:pt idx="49">
                  <c:v>2010</c:v>
                </c:pt>
                <c:pt idx="50">
                  <c:v>2010</c:v>
                </c:pt>
                <c:pt idx="51">
                  <c:v>2010</c:v>
                </c:pt>
                <c:pt idx="52">
                  <c:v>2010</c:v>
                </c:pt>
                <c:pt idx="53">
                  <c:v>2010</c:v>
                </c:pt>
                <c:pt idx="54">
                  <c:v>2010</c:v>
                </c:pt>
                <c:pt idx="55">
                  <c:v>2010</c:v>
                </c:pt>
                <c:pt idx="56">
                  <c:v>2010</c:v>
                </c:pt>
                <c:pt idx="57">
                  <c:v>2010</c:v>
                </c:pt>
                <c:pt idx="58">
                  <c:v>2010</c:v>
                </c:pt>
                <c:pt idx="59">
                  <c:v>2010</c:v>
                </c:pt>
                <c:pt idx="60">
                  <c:v>2011</c:v>
                </c:pt>
                <c:pt idx="61">
                  <c:v>2011</c:v>
                </c:pt>
                <c:pt idx="62">
                  <c:v>2011</c:v>
                </c:pt>
                <c:pt idx="63">
                  <c:v>2011</c:v>
                </c:pt>
                <c:pt idx="64">
                  <c:v>2011</c:v>
                </c:pt>
                <c:pt idx="65">
                  <c:v>2011</c:v>
                </c:pt>
                <c:pt idx="66">
                  <c:v>2011</c:v>
                </c:pt>
                <c:pt idx="67">
                  <c:v>2011</c:v>
                </c:pt>
                <c:pt idx="68">
                  <c:v>2011</c:v>
                </c:pt>
                <c:pt idx="69">
                  <c:v>2011</c:v>
                </c:pt>
                <c:pt idx="70">
                  <c:v>2011</c:v>
                </c:pt>
                <c:pt idx="71">
                  <c:v>2011</c:v>
                </c:pt>
                <c:pt idx="72">
                  <c:v>2012</c:v>
                </c:pt>
                <c:pt idx="73">
                  <c:v>2012</c:v>
                </c:pt>
                <c:pt idx="74">
                  <c:v>2012</c:v>
                </c:pt>
                <c:pt idx="75">
                  <c:v>2012</c:v>
                </c:pt>
                <c:pt idx="76">
                  <c:v>2012</c:v>
                </c:pt>
                <c:pt idx="77">
                  <c:v>2012</c:v>
                </c:pt>
                <c:pt idx="78">
                  <c:v>2012</c:v>
                </c:pt>
                <c:pt idx="79">
                  <c:v>2012</c:v>
                </c:pt>
                <c:pt idx="80">
                  <c:v>2012</c:v>
                </c:pt>
                <c:pt idx="81">
                  <c:v>2012</c:v>
                </c:pt>
                <c:pt idx="82">
                  <c:v>2012</c:v>
                </c:pt>
                <c:pt idx="83">
                  <c:v>2012</c:v>
                </c:pt>
                <c:pt idx="84">
                  <c:v>2013</c:v>
                </c:pt>
                <c:pt idx="85">
                  <c:v>2013</c:v>
                </c:pt>
                <c:pt idx="86">
                  <c:v>2013</c:v>
                </c:pt>
                <c:pt idx="87">
                  <c:v>2013</c:v>
                </c:pt>
                <c:pt idx="88">
                  <c:v>2013</c:v>
                </c:pt>
                <c:pt idx="89">
                  <c:v>2013</c:v>
                </c:pt>
                <c:pt idx="90">
                  <c:v>2013</c:v>
                </c:pt>
                <c:pt idx="91">
                  <c:v>2013</c:v>
                </c:pt>
                <c:pt idx="92">
                  <c:v>2013</c:v>
                </c:pt>
                <c:pt idx="93">
                  <c:v>2013</c:v>
                </c:pt>
                <c:pt idx="94">
                  <c:v>2013</c:v>
                </c:pt>
                <c:pt idx="95">
                  <c:v>2013</c:v>
                </c:pt>
                <c:pt idx="96">
                  <c:v>2014</c:v>
                </c:pt>
                <c:pt idx="97">
                  <c:v>2014</c:v>
                </c:pt>
                <c:pt idx="98">
                  <c:v>2014</c:v>
                </c:pt>
                <c:pt idx="99">
                  <c:v>2014</c:v>
                </c:pt>
                <c:pt idx="100">
                  <c:v>2014</c:v>
                </c:pt>
                <c:pt idx="101">
                  <c:v>2014</c:v>
                </c:pt>
                <c:pt idx="102">
                  <c:v>2014</c:v>
                </c:pt>
                <c:pt idx="103">
                  <c:v>2014</c:v>
                </c:pt>
                <c:pt idx="104">
                  <c:v>2014</c:v>
                </c:pt>
                <c:pt idx="105">
                  <c:v>2014</c:v>
                </c:pt>
                <c:pt idx="106">
                  <c:v>2014</c:v>
                </c:pt>
                <c:pt idx="107">
                  <c:v>2014</c:v>
                </c:pt>
                <c:pt idx="108">
                  <c:v>2015</c:v>
                </c:pt>
                <c:pt idx="109">
                  <c:v>2015</c:v>
                </c:pt>
                <c:pt idx="110">
                  <c:v>2015</c:v>
                </c:pt>
                <c:pt idx="111">
                  <c:v>2015</c:v>
                </c:pt>
                <c:pt idx="112">
                  <c:v>2015</c:v>
                </c:pt>
                <c:pt idx="113">
                  <c:v>2015</c:v>
                </c:pt>
                <c:pt idx="114">
                  <c:v>2015</c:v>
                </c:pt>
                <c:pt idx="115">
                  <c:v>2015</c:v>
                </c:pt>
                <c:pt idx="116">
                  <c:v>2015</c:v>
                </c:pt>
                <c:pt idx="117">
                  <c:v>2015</c:v>
                </c:pt>
                <c:pt idx="118">
                  <c:v>2015</c:v>
                </c:pt>
                <c:pt idx="119">
                  <c:v>2015</c:v>
                </c:pt>
                <c:pt idx="120">
                  <c:v>2016</c:v>
                </c:pt>
                <c:pt idx="121">
                  <c:v>2016</c:v>
                </c:pt>
                <c:pt idx="122">
                  <c:v>2016</c:v>
                </c:pt>
                <c:pt idx="123">
                  <c:v>2016</c:v>
                </c:pt>
                <c:pt idx="124">
                  <c:v>2016</c:v>
                </c:pt>
                <c:pt idx="125">
                  <c:v>2016</c:v>
                </c:pt>
                <c:pt idx="126">
                  <c:v>2016</c:v>
                </c:pt>
                <c:pt idx="127">
                  <c:v>2016</c:v>
                </c:pt>
                <c:pt idx="128">
                  <c:v>2016</c:v>
                </c:pt>
                <c:pt idx="129">
                  <c:v>2016</c:v>
                </c:pt>
                <c:pt idx="130">
                  <c:v>2016</c:v>
                </c:pt>
                <c:pt idx="131">
                  <c:v>2016</c:v>
                </c:pt>
                <c:pt idx="132">
                  <c:v>2017</c:v>
                </c:pt>
                <c:pt idx="133">
                  <c:v>2017</c:v>
                </c:pt>
                <c:pt idx="134">
                  <c:v>2017</c:v>
                </c:pt>
                <c:pt idx="135">
                  <c:v>2017</c:v>
                </c:pt>
                <c:pt idx="136">
                  <c:v>2017</c:v>
                </c:pt>
                <c:pt idx="137">
                  <c:v>2017</c:v>
                </c:pt>
                <c:pt idx="138">
                  <c:v>2017</c:v>
                </c:pt>
                <c:pt idx="139">
                  <c:v>2017</c:v>
                </c:pt>
                <c:pt idx="140">
                  <c:v>2017</c:v>
                </c:pt>
                <c:pt idx="141">
                  <c:v>2017</c:v>
                </c:pt>
                <c:pt idx="142">
                  <c:v>2017</c:v>
                </c:pt>
                <c:pt idx="143">
                  <c:v>2017</c:v>
                </c:pt>
                <c:pt idx="144">
                  <c:v>2018</c:v>
                </c:pt>
                <c:pt idx="145">
                  <c:v>2018</c:v>
                </c:pt>
                <c:pt idx="146">
                  <c:v>2018</c:v>
                </c:pt>
                <c:pt idx="147">
                  <c:v>2018</c:v>
                </c:pt>
                <c:pt idx="148">
                  <c:v>2018</c:v>
                </c:pt>
                <c:pt idx="149">
                  <c:v>2018</c:v>
                </c:pt>
                <c:pt idx="150">
                  <c:v>2018</c:v>
                </c:pt>
                <c:pt idx="151">
                  <c:v>2018</c:v>
                </c:pt>
                <c:pt idx="152">
                  <c:v>2018</c:v>
                </c:pt>
                <c:pt idx="153">
                  <c:v>2018</c:v>
                </c:pt>
                <c:pt idx="154">
                  <c:v>2018</c:v>
                </c:pt>
                <c:pt idx="155">
                  <c:v>2018</c:v>
                </c:pt>
                <c:pt idx="156">
                  <c:v>2019</c:v>
                </c:pt>
                <c:pt idx="157">
                  <c:v>2019</c:v>
                </c:pt>
                <c:pt idx="158">
                  <c:v>2019</c:v>
                </c:pt>
                <c:pt idx="159">
                  <c:v>2019</c:v>
                </c:pt>
                <c:pt idx="160">
                  <c:v>2019</c:v>
                </c:pt>
                <c:pt idx="161">
                  <c:v>2019</c:v>
                </c:pt>
                <c:pt idx="162">
                  <c:v>2019</c:v>
                </c:pt>
                <c:pt idx="163">
                  <c:v>2019</c:v>
                </c:pt>
                <c:pt idx="164">
                  <c:v>2019</c:v>
                </c:pt>
                <c:pt idx="165">
                  <c:v>2019</c:v>
                </c:pt>
                <c:pt idx="166">
                  <c:v>2019</c:v>
                </c:pt>
                <c:pt idx="167">
                  <c:v>2019</c:v>
                </c:pt>
                <c:pt idx="168">
                  <c:v>2020</c:v>
                </c:pt>
                <c:pt idx="169">
                  <c:v>2020</c:v>
                </c:pt>
                <c:pt idx="170">
                  <c:v>2020</c:v>
                </c:pt>
                <c:pt idx="171">
                  <c:v>2020</c:v>
                </c:pt>
                <c:pt idx="172">
                  <c:v>2020</c:v>
                </c:pt>
                <c:pt idx="173">
                  <c:v>2020</c:v>
                </c:pt>
                <c:pt idx="174">
                  <c:v>2020</c:v>
                </c:pt>
                <c:pt idx="175">
                  <c:v>2020</c:v>
                </c:pt>
                <c:pt idx="176">
                  <c:v>2020</c:v>
                </c:pt>
                <c:pt idx="177">
                  <c:v>2020</c:v>
                </c:pt>
                <c:pt idx="178">
                  <c:v>2020</c:v>
                </c:pt>
                <c:pt idx="179">
                  <c:v>2020</c:v>
                </c:pt>
                <c:pt idx="180">
                  <c:v>2021</c:v>
                </c:pt>
                <c:pt idx="181">
                  <c:v>2021</c:v>
                </c:pt>
                <c:pt idx="182">
                  <c:v>2021</c:v>
                </c:pt>
                <c:pt idx="183">
                  <c:v>2021</c:v>
                </c:pt>
                <c:pt idx="184">
                  <c:v>2021</c:v>
                </c:pt>
                <c:pt idx="185">
                  <c:v>2021</c:v>
                </c:pt>
                <c:pt idx="186">
                  <c:v>2021</c:v>
                </c:pt>
                <c:pt idx="187">
                  <c:v>2021</c:v>
                </c:pt>
                <c:pt idx="188">
                  <c:v>2021</c:v>
                </c:pt>
                <c:pt idx="189">
                  <c:v>2021</c:v>
                </c:pt>
                <c:pt idx="190">
                  <c:v>2021</c:v>
                </c:pt>
                <c:pt idx="191">
                  <c:v>2021</c:v>
                </c:pt>
                <c:pt idx="192">
                  <c:v>2022</c:v>
                </c:pt>
                <c:pt idx="193">
                  <c:v>2022</c:v>
                </c:pt>
                <c:pt idx="194">
                  <c:v>2022</c:v>
                </c:pt>
                <c:pt idx="195">
                  <c:v>2022</c:v>
                </c:pt>
                <c:pt idx="196">
                  <c:v>2022</c:v>
                </c:pt>
                <c:pt idx="197">
                  <c:v>2022</c:v>
                </c:pt>
                <c:pt idx="198">
                  <c:v>2022</c:v>
                </c:pt>
                <c:pt idx="199">
                  <c:v>2022</c:v>
                </c:pt>
                <c:pt idx="200">
                  <c:v>2022</c:v>
                </c:pt>
                <c:pt idx="201">
                  <c:v>2022</c:v>
                </c:pt>
                <c:pt idx="202">
                  <c:v>2022</c:v>
                </c:pt>
                <c:pt idx="203">
                  <c:v>2022</c:v>
                </c:pt>
                <c:pt idx="204">
                  <c:v>2023</c:v>
                </c:pt>
                <c:pt idx="205">
                  <c:v>2023</c:v>
                </c:pt>
                <c:pt idx="206">
                  <c:v>2023</c:v>
                </c:pt>
                <c:pt idx="207">
                  <c:v>2023</c:v>
                </c:pt>
                <c:pt idx="208">
                  <c:v>2023</c:v>
                </c:pt>
                <c:pt idx="209">
                  <c:v>2023</c:v>
                </c:pt>
                <c:pt idx="210">
                  <c:v>2023</c:v>
                </c:pt>
                <c:pt idx="211">
                  <c:v>2023</c:v>
                </c:pt>
                <c:pt idx="212">
                  <c:v>2023</c:v>
                </c:pt>
                <c:pt idx="213">
                  <c:v>2023</c:v>
                </c:pt>
                <c:pt idx="214">
                  <c:v>2023</c:v>
                </c:pt>
                <c:pt idx="215">
                  <c:v>2023</c:v>
                </c:pt>
                <c:pt idx="216">
                  <c:v>2024</c:v>
                </c:pt>
                <c:pt idx="217">
                  <c:v>2024</c:v>
                </c:pt>
                <c:pt idx="218">
                  <c:v>2024</c:v>
                </c:pt>
                <c:pt idx="219">
                  <c:v>2024</c:v>
                </c:pt>
                <c:pt idx="220">
                  <c:v>2024</c:v>
                </c:pt>
                <c:pt idx="221">
                  <c:v>2024</c:v>
                </c:pt>
                <c:pt idx="222">
                  <c:v>2024</c:v>
                </c:pt>
                <c:pt idx="223">
                  <c:v>2024</c:v>
                </c:pt>
                <c:pt idx="224">
                  <c:v>2024</c:v>
                </c:pt>
                <c:pt idx="225">
                  <c:v>2024</c:v>
                </c:pt>
                <c:pt idx="226">
                  <c:v>2024</c:v>
                </c:pt>
                <c:pt idx="227">
                  <c:v>2024</c:v>
                </c:pt>
                <c:pt idx="228">
                  <c:v>2025</c:v>
                </c:pt>
                <c:pt idx="229">
                  <c:v>2025</c:v>
                </c:pt>
                <c:pt idx="230">
                  <c:v>2025</c:v>
                </c:pt>
                <c:pt idx="231">
                  <c:v>2025</c:v>
                </c:pt>
                <c:pt idx="232">
                  <c:v>2025</c:v>
                </c:pt>
                <c:pt idx="233">
                  <c:v>2025</c:v>
                </c:pt>
                <c:pt idx="234">
                  <c:v>2025</c:v>
                </c:pt>
                <c:pt idx="235">
                  <c:v>2025</c:v>
                </c:pt>
                <c:pt idx="236">
                  <c:v>2025</c:v>
                </c:pt>
                <c:pt idx="238">
                  <c:v>2025</c:v>
                </c:pt>
                <c:pt idx="239">
                  <c:v>2025</c:v>
                </c:pt>
              </c:numCache>
            </c:numRef>
          </c:cat>
          <c:val>
            <c:numRef>
              <c:f>'1.2B - CPI'!$J$92:$J$331</c:f>
              <c:numCache>
                <c:formatCode>0.00%</c:formatCode>
                <c:ptCount val="240"/>
                <c:pt idx="0">
                  <c:v>2.116935483870952E-2</c:v>
                </c:pt>
                <c:pt idx="1">
                  <c:v>2.055137844611532E-2</c:v>
                </c:pt>
                <c:pt idx="2">
                  <c:v>2.0926756352765308E-2</c:v>
                </c:pt>
                <c:pt idx="3">
                  <c:v>2.2896963663514125E-2</c:v>
                </c:pt>
                <c:pt idx="4">
                  <c:v>2.4402390438246879E-2</c:v>
                </c:pt>
                <c:pt idx="5">
                  <c:v>2.6420737786640114E-2</c:v>
                </c:pt>
                <c:pt idx="6">
                  <c:v>2.6892430278884438E-2</c:v>
                </c:pt>
                <c:pt idx="7">
                  <c:v>2.8358208955223896E-2</c:v>
                </c:pt>
                <c:pt idx="8">
                  <c:v>2.9309488325881761E-2</c:v>
                </c:pt>
                <c:pt idx="9">
                  <c:v>2.7187345526445972E-2</c:v>
                </c:pt>
                <c:pt idx="10">
                  <c:v>2.6198714780029553E-2</c:v>
                </c:pt>
                <c:pt idx="11">
                  <c:v>2.57298367144978E-2</c:v>
                </c:pt>
                <c:pt idx="12">
                  <c:v>2.669792694965456E-2</c:v>
                </c:pt>
                <c:pt idx="13">
                  <c:v>2.7072691552062933E-2</c:v>
                </c:pt>
                <c:pt idx="14">
                  <c:v>2.4514397266959476E-2</c:v>
                </c:pt>
                <c:pt idx="15">
                  <c:v>2.3411192214112031E-2</c:v>
                </c:pt>
                <c:pt idx="16">
                  <c:v>2.2440447253281537E-2</c:v>
                </c:pt>
                <c:pt idx="17">
                  <c:v>2.2214667314230052E-2</c:v>
                </c:pt>
                <c:pt idx="18">
                  <c:v>2.2095053346265825E-2</c:v>
                </c:pt>
                <c:pt idx="19">
                  <c:v>2.134010643444606E-2</c:v>
                </c:pt>
                <c:pt idx="20">
                  <c:v>2.1370656370656382E-2</c:v>
                </c:pt>
                <c:pt idx="21">
                  <c:v>2.1742059672762215E-2</c:v>
                </c:pt>
                <c:pt idx="22">
                  <c:v>2.3289980732177362E-2</c:v>
                </c:pt>
                <c:pt idx="23">
                  <c:v>2.4389773275446114E-2</c:v>
                </c:pt>
                <c:pt idx="24">
                  <c:v>2.4657586931334796E-2</c:v>
                </c:pt>
                <c:pt idx="25">
                  <c:v>2.2734228547381496E-2</c:v>
                </c:pt>
                <c:pt idx="26">
                  <c:v>2.3546729038742775E-2</c:v>
                </c:pt>
                <c:pt idx="27">
                  <c:v>2.2576089695736323E-2</c:v>
                </c:pt>
                <c:pt idx="28">
                  <c:v>2.3127103976873009E-2</c:v>
                </c:pt>
                <c:pt idx="29">
                  <c:v>2.413124661478383E-2</c:v>
                </c:pt>
                <c:pt idx="30">
                  <c:v>2.5095370950293239E-2</c:v>
                </c:pt>
                <c:pt idx="31">
                  <c:v>2.541317127009024E-2</c:v>
                </c:pt>
                <c:pt idx="32">
                  <c:v>2.4732077040845235E-2</c:v>
                </c:pt>
                <c:pt idx="33">
                  <c:v>2.2160155992426489E-2</c:v>
                </c:pt>
                <c:pt idx="34">
                  <c:v>2.0029656130110318E-2</c:v>
                </c:pt>
                <c:pt idx="35">
                  <c:v>1.763077096950405E-2</c:v>
                </c:pt>
                <c:pt idx="36">
                  <c:v>1.6801321209732656E-2</c:v>
                </c:pt>
                <c:pt idx="37">
                  <c:v>1.7856975863391078E-2</c:v>
                </c:pt>
                <c:pt idx="38">
                  <c:v>1.7559781445179778E-2</c:v>
                </c:pt>
                <c:pt idx="39">
                  <c:v>1.899013759014978E-2</c:v>
                </c:pt>
                <c:pt idx="40">
                  <c:v>1.8347430058555547E-2</c:v>
                </c:pt>
                <c:pt idx="41">
                  <c:v>1.7304328865754615E-2</c:v>
                </c:pt>
                <c:pt idx="42">
                  <c:v>1.5297738896989044E-2</c:v>
                </c:pt>
                <c:pt idx="43">
                  <c:v>1.4412683161181938E-2</c:v>
                </c:pt>
                <c:pt idx="44">
                  <c:v>1.5101769789082509E-2</c:v>
                </c:pt>
                <c:pt idx="45">
                  <c:v>1.7085746672011792E-2</c:v>
                </c:pt>
                <c:pt idx="46">
                  <c:v>1.7047394895934209E-2</c:v>
                </c:pt>
                <c:pt idx="47">
                  <c:v>1.8162887552059193E-2</c:v>
                </c:pt>
                <c:pt idx="48">
                  <c:v>1.5536247398705294E-2</c:v>
                </c:pt>
                <c:pt idx="49">
                  <c:v>1.3400096469669442E-2</c:v>
                </c:pt>
                <c:pt idx="50">
                  <c:v>1.1068473602605211E-2</c:v>
                </c:pt>
                <c:pt idx="51">
                  <c:v>9.2314151033798808E-3</c:v>
                </c:pt>
                <c:pt idx="52">
                  <c:v>9.4237158190648707E-3</c:v>
                </c:pt>
                <c:pt idx="53">
                  <c:v>9.0385483598820482E-3</c:v>
                </c:pt>
                <c:pt idx="54">
                  <c:v>8.6984271711876282E-3</c:v>
                </c:pt>
                <c:pt idx="55">
                  <c:v>8.9027122534106606E-3</c:v>
                </c:pt>
                <c:pt idx="56">
                  <c:v>8.0404475394868502E-3</c:v>
                </c:pt>
                <c:pt idx="57">
                  <c:v>6.106980895298042E-3</c:v>
                </c:pt>
                <c:pt idx="58">
                  <c:v>7.6820458835487049E-3</c:v>
                </c:pt>
                <c:pt idx="59">
                  <c:v>8.0445403931370674E-3</c:v>
                </c:pt>
                <c:pt idx="60">
                  <c:v>9.5008314931435134E-3</c:v>
                </c:pt>
                <c:pt idx="61">
                  <c:v>1.092011858460018E-2</c:v>
                </c:pt>
                <c:pt idx="62">
                  <c:v>1.1901799971953286E-2</c:v>
                </c:pt>
                <c:pt idx="63">
                  <c:v>1.3347440384145814E-2</c:v>
                </c:pt>
                <c:pt idx="64">
                  <c:v>1.5104456289303902E-2</c:v>
                </c:pt>
                <c:pt idx="65">
                  <c:v>1.6387589541952075E-2</c:v>
                </c:pt>
                <c:pt idx="66">
                  <c:v>1.7653598965913009E-2</c:v>
                </c:pt>
                <c:pt idx="67">
                  <c:v>1.9512437316915765E-2</c:v>
                </c:pt>
                <c:pt idx="68">
                  <c:v>1.9747011135295311E-2</c:v>
                </c:pt>
                <c:pt idx="69">
                  <c:v>2.1001535489622913E-2</c:v>
                </c:pt>
                <c:pt idx="70">
                  <c:v>2.1533071862462227E-2</c:v>
                </c:pt>
                <c:pt idx="71">
                  <c:v>2.2295362835050403E-2</c:v>
                </c:pt>
                <c:pt idx="72">
                  <c:v>2.2774634638148772E-2</c:v>
                </c:pt>
                <c:pt idx="73">
                  <c:v>2.1765742497007023E-2</c:v>
                </c:pt>
                <c:pt idx="74">
                  <c:v>2.2553533908534096E-2</c:v>
                </c:pt>
                <c:pt idx="75">
                  <c:v>2.313513417039248E-2</c:v>
                </c:pt>
                <c:pt idx="76">
                  <c:v>2.2571191890760511E-2</c:v>
                </c:pt>
                <c:pt idx="77">
                  <c:v>2.2179633689209499E-2</c:v>
                </c:pt>
                <c:pt idx="78">
                  <c:v>2.1002469311257599E-2</c:v>
                </c:pt>
                <c:pt idx="79">
                  <c:v>1.9134561746814605E-2</c:v>
                </c:pt>
                <c:pt idx="80">
                  <c:v>1.9846302736765908E-2</c:v>
                </c:pt>
                <c:pt idx="81">
                  <c:v>1.9991796880168389E-2</c:v>
                </c:pt>
                <c:pt idx="82">
                  <c:v>1.9412939314728428E-2</c:v>
                </c:pt>
                <c:pt idx="83">
                  <c:v>1.8933580312251896E-2</c:v>
                </c:pt>
                <c:pt idx="84">
                  <c:v>1.9253026575777765E-2</c:v>
                </c:pt>
                <c:pt idx="85">
                  <c:v>2.0042569065016558E-2</c:v>
                </c:pt>
                <c:pt idx="86">
                  <c:v>1.8873368745491392E-2</c:v>
                </c:pt>
                <c:pt idx="87">
                  <c:v>1.7151977950571995E-2</c:v>
                </c:pt>
                <c:pt idx="88">
                  <c:v>1.6811700246513572E-2</c:v>
                </c:pt>
                <c:pt idx="89">
                  <c:v>1.6360781106582234E-2</c:v>
                </c:pt>
                <c:pt idx="90">
                  <c:v>1.696006402978778E-2</c:v>
                </c:pt>
                <c:pt idx="91">
                  <c:v>1.7645832247302318E-2</c:v>
                </c:pt>
                <c:pt idx="92">
                  <c:v>1.7341190744432078E-2</c:v>
                </c:pt>
                <c:pt idx="93">
                  <c:v>1.6802435185665487E-2</c:v>
                </c:pt>
                <c:pt idx="94">
                  <c:v>1.720984333853659E-2</c:v>
                </c:pt>
                <c:pt idx="95">
                  <c:v>1.7170707214986702E-2</c:v>
                </c:pt>
                <c:pt idx="96">
                  <c:v>1.621245876724875E-2</c:v>
                </c:pt>
                <c:pt idx="97">
                  <c:v>1.5673401252839447E-2</c:v>
                </c:pt>
                <c:pt idx="98">
                  <c:v>1.6567118068070652E-2</c:v>
                </c:pt>
                <c:pt idx="99">
                  <c:v>1.8320499408324586E-2</c:v>
                </c:pt>
                <c:pt idx="100">
                  <c:v>1.9562070058510628E-2</c:v>
                </c:pt>
                <c:pt idx="101">
                  <c:v>1.9333162129772319E-2</c:v>
                </c:pt>
                <c:pt idx="102">
                  <c:v>1.8589173282233862E-2</c:v>
                </c:pt>
                <c:pt idx="103">
                  <c:v>1.7237404912532339E-2</c:v>
                </c:pt>
                <c:pt idx="104">
                  <c:v>1.7288378155054573E-2</c:v>
                </c:pt>
                <c:pt idx="105">
                  <c:v>1.8076900179450739E-2</c:v>
                </c:pt>
                <c:pt idx="106">
                  <c:v>1.7024948670098627E-2</c:v>
                </c:pt>
                <c:pt idx="107">
                  <c:v>1.6063829787233974E-2</c:v>
                </c:pt>
                <c:pt idx="108">
                  <c:v>1.6489142488114394E-2</c:v>
                </c:pt>
                <c:pt idx="109">
                  <c:v>1.6977655406120951E-2</c:v>
                </c:pt>
                <c:pt idx="110">
                  <c:v>1.7533862641560427E-2</c:v>
                </c:pt>
                <c:pt idx="111">
                  <c:v>1.8075104522355057E-2</c:v>
                </c:pt>
                <c:pt idx="112">
                  <c:v>1.7182780249465512E-2</c:v>
                </c:pt>
                <c:pt idx="113">
                  <c:v>1.7622828638251153E-2</c:v>
                </c:pt>
                <c:pt idx="114">
                  <c:v>1.8048358514810792E-2</c:v>
                </c:pt>
                <c:pt idx="115">
                  <c:v>1.8275590022493127E-2</c:v>
                </c:pt>
                <c:pt idx="116">
                  <c:v>1.8916350207878851E-2</c:v>
                </c:pt>
                <c:pt idx="117">
                  <c:v>1.9096707363426502E-2</c:v>
                </c:pt>
                <c:pt idx="118">
                  <c:v>2.0175717247375102E-2</c:v>
                </c:pt>
                <c:pt idx="119">
                  <c:v>2.0956967856768927E-2</c:v>
                </c:pt>
                <c:pt idx="120">
                  <c:v>2.2069150003343863E-2</c:v>
                </c:pt>
                <c:pt idx="121">
                  <c:v>2.3312771000029153E-2</c:v>
                </c:pt>
                <c:pt idx="122">
                  <c:v>2.1948255049426102E-2</c:v>
                </c:pt>
                <c:pt idx="123">
                  <c:v>2.1463842317267945E-2</c:v>
                </c:pt>
                <c:pt idx="124">
                  <c:v>2.240633737955311E-2</c:v>
                </c:pt>
                <c:pt idx="125">
                  <c:v>2.2446503874497648E-2</c:v>
                </c:pt>
                <c:pt idx="126">
                  <c:v>2.1894438119751225E-2</c:v>
                </c:pt>
                <c:pt idx="127">
                  <c:v>2.3189683949375706E-2</c:v>
                </c:pt>
                <c:pt idx="128">
                  <c:v>2.2074383934845176E-2</c:v>
                </c:pt>
                <c:pt idx="129">
                  <c:v>2.1448039838514621E-2</c:v>
                </c:pt>
                <c:pt idx="130">
                  <c:v>2.1108265901874423E-2</c:v>
                </c:pt>
                <c:pt idx="131">
                  <c:v>2.1966617305017921E-2</c:v>
                </c:pt>
                <c:pt idx="132">
                  <c:v>2.2717234836092448E-2</c:v>
                </c:pt>
                <c:pt idx="133">
                  <c:v>2.2236242266362671E-2</c:v>
                </c:pt>
                <c:pt idx="134">
                  <c:v>2.0019646205927888E-2</c:v>
                </c:pt>
                <c:pt idx="135">
                  <c:v>1.8826520697026616E-2</c:v>
                </c:pt>
                <c:pt idx="136">
                  <c:v>1.7334292085447345E-2</c:v>
                </c:pt>
                <c:pt idx="137">
                  <c:v>1.7030275147905005E-2</c:v>
                </c:pt>
                <c:pt idx="138">
                  <c:v>1.6920692327563991E-2</c:v>
                </c:pt>
                <c:pt idx="139">
                  <c:v>1.6844021620924909E-2</c:v>
                </c:pt>
                <c:pt idx="140">
                  <c:v>1.6925915949358883E-2</c:v>
                </c:pt>
                <c:pt idx="141">
                  <c:v>1.7735476570713171E-2</c:v>
                </c:pt>
                <c:pt idx="142">
                  <c:v>1.7112913127389939E-2</c:v>
                </c:pt>
                <c:pt idx="143">
                  <c:v>1.7757512021643107E-2</c:v>
                </c:pt>
                <c:pt idx="144">
                  <c:v>1.8213952967614855E-2</c:v>
                </c:pt>
                <c:pt idx="145">
                  <c:v>1.8475529877400421E-2</c:v>
                </c:pt>
                <c:pt idx="146">
                  <c:v>2.117075888415787E-2</c:v>
                </c:pt>
                <c:pt idx="147">
                  <c:v>2.1391500623902049E-2</c:v>
                </c:pt>
                <c:pt idx="148">
                  <c:v>2.2371791053666046E-2</c:v>
                </c:pt>
                <c:pt idx="149">
                  <c:v>2.2550334505225811E-2</c:v>
                </c:pt>
                <c:pt idx="150">
                  <c:v>2.3541693128413588E-2</c:v>
                </c:pt>
                <c:pt idx="151">
                  <c:v>2.1991602630119678E-2</c:v>
                </c:pt>
                <c:pt idx="152">
                  <c:v>2.169675932332038E-2</c:v>
                </c:pt>
                <c:pt idx="153">
                  <c:v>2.1388750896947473E-2</c:v>
                </c:pt>
                <c:pt idx="154">
                  <c:v>2.2142710618086703E-2</c:v>
                </c:pt>
                <c:pt idx="155">
                  <c:v>2.1789886337642894E-2</c:v>
                </c:pt>
                <c:pt idx="156">
                  <c:v>2.1536455674329824E-2</c:v>
                </c:pt>
                <c:pt idx="157">
                  <c:v>2.0841885504509605E-2</c:v>
                </c:pt>
                <c:pt idx="158">
                  <c:v>2.0365535248041855E-2</c:v>
                </c:pt>
                <c:pt idx="159">
                  <c:v>2.064779690691565E-2</c:v>
                </c:pt>
                <c:pt idx="160">
                  <c:v>1.9889773137736988E-2</c:v>
                </c:pt>
                <c:pt idx="161">
                  <c:v>2.126528442317932E-2</c:v>
                </c:pt>
                <c:pt idx="162">
                  <c:v>2.2100540200956198E-2</c:v>
                </c:pt>
                <c:pt idx="163">
                  <c:v>2.3863231167542631E-2</c:v>
                </c:pt>
                <c:pt idx="164">
                  <c:v>2.3577075328233388E-2</c:v>
                </c:pt>
                <c:pt idx="165">
                  <c:v>2.3144949298047335E-2</c:v>
                </c:pt>
                <c:pt idx="166">
                  <c:v>2.316821365855537E-2</c:v>
                </c:pt>
                <c:pt idx="167">
                  <c:v>2.2587356175433948E-2</c:v>
                </c:pt>
                <c:pt idx="168">
                  <c:v>2.2612466458046709E-2</c:v>
                </c:pt>
                <c:pt idx="169">
                  <c:v>2.3568249883192838E-2</c:v>
                </c:pt>
                <c:pt idx="170">
                  <c:v>2.0913854473792792E-2</c:v>
                </c:pt>
                <c:pt idx="171">
                  <c:v>1.4321546742296132E-2</c:v>
                </c:pt>
                <c:pt idx="172">
                  <c:v>1.2220571994363771E-2</c:v>
                </c:pt>
                <c:pt idx="173">
                  <c:v>1.1874137937585738E-2</c:v>
                </c:pt>
                <c:pt idx="174">
                  <c:v>1.5696258242717143E-2</c:v>
                </c:pt>
                <c:pt idx="175">
                  <c:v>1.7363884483039271E-2</c:v>
                </c:pt>
                <c:pt idx="176">
                  <c:v>1.7132790467333514E-2</c:v>
                </c:pt>
                <c:pt idx="177">
                  <c:v>1.6105848131925171E-2</c:v>
                </c:pt>
                <c:pt idx="178">
                  <c:v>1.646498785400663E-2</c:v>
                </c:pt>
                <c:pt idx="179">
                  <c:v>1.6196425538339554E-2</c:v>
                </c:pt>
                <c:pt idx="180">
                  <c:v>1.4101291709899044E-2</c:v>
                </c:pt>
                <c:pt idx="181">
                  <c:v>1.2826077195923435E-2</c:v>
                </c:pt>
                <c:pt idx="182">
                  <c:v>1.646390734422698E-2</c:v>
                </c:pt>
                <c:pt idx="183">
                  <c:v>2.9610393514951872E-2</c:v>
                </c:pt>
                <c:pt idx="184">
                  <c:v>3.7976064620258043E-2</c:v>
                </c:pt>
                <c:pt idx="185">
                  <c:v>4.4746190415392961E-2</c:v>
                </c:pt>
                <c:pt idx="186">
                  <c:v>4.2745131731807495E-2</c:v>
                </c:pt>
                <c:pt idx="187">
                  <c:v>4.0002827843843569E-2</c:v>
                </c:pt>
                <c:pt idx="188">
                  <c:v>4.0252142692545068E-2</c:v>
                </c:pt>
                <c:pt idx="189">
                  <c:v>4.5628378779777989E-2</c:v>
                </c:pt>
                <c:pt idx="190">
                  <c:v>4.9285086075413931E-2</c:v>
                </c:pt>
                <c:pt idx="191">
                  <c:v>5.4534108889928934E-2</c:v>
                </c:pt>
                <c:pt idx="192">
                  <c:v>6.0206483661099819E-2</c:v>
                </c:pt>
                <c:pt idx="193">
                  <c:v>6.4142063421698037E-2</c:v>
                </c:pt>
                <c:pt idx="194">
                  <c:v>6.47447858586081E-2</c:v>
                </c:pt>
                <c:pt idx="195">
                  <c:v>6.160573497634747E-2</c:v>
                </c:pt>
                <c:pt idx="196">
                  <c:v>6.0215373351262924E-2</c:v>
                </c:pt>
                <c:pt idx="197">
                  <c:v>5.91694282900459E-2</c:v>
                </c:pt>
                <c:pt idx="198">
                  <c:v>5.91088534315376E-2</c:v>
                </c:pt>
                <c:pt idx="199">
                  <c:v>6.3222030217489955E-2</c:v>
                </c:pt>
                <c:pt idx="200">
                  <c:v>6.6306041074159161E-2</c:v>
                </c:pt>
                <c:pt idx="201">
                  <c:v>6.2844217501074162E-2</c:v>
                </c:pt>
                <c:pt idx="202">
                  <c:v>5.9578290669628053E-2</c:v>
                </c:pt>
                <c:pt idx="203">
                  <c:v>5.7078349324428901E-2</c:v>
                </c:pt>
                <c:pt idx="204">
                  <c:v>5.5825955607770705E-2</c:v>
                </c:pt>
                <c:pt idx="205">
                  <c:v>5.5377544183656813E-2</c:v>
                </c:pt>
                <c:pt idx="206">
                  <c:v>5.5896026684640665E-2</c:v>
                </c:pt>
                <c:pt idx="207">
                  <c:v>5.5194157732958216E-2</c:v>
                </c:pt>
                <c:pt idx="208">
                  <c:v>5.3298052005770868E-2</c:v>
                </c:pt>
                <c:pt idx="209">
                  <c:v>4.8289670150671871E-2</c:v>
                </c:pt>
                <c:pt idx="210">
                  <c:v>4.6528618685860668E-2</c:v>
                </c:pt>
                <c:pt idx="211">
                  <c:v>4.3492452334964238E-2</c:v>
                </c:pt>
                <c:pt idx="212">
                  <c:v>4.1465343349796679E-2</c:v>
                </c:pt>
                <c:pt idx="213">
                  <c:v>4.0485775854868677E-2</c:v>
                </c:pt>
                <c:pt idx="214">
                  <c:v>4.2633511348464603E-2</c:v>
                </c:pt>
                <c:pt idx="215">
                  <c:v>4.3706870412144827E-2</c:v>
                </c:pt>
                <c:pt idx="216">
                  <c:v>4.1154184963670959E-2</c:v>
                </c:pt>
                <c:pt idx="217">
                  <c:v>3.7972310212459393E-2</c:v>
                </c:pt>
                <c:pt idx="218">
                  <c:v>3.6945619295787546E-2</c:v>
                </c:pt>
                <c:pt idx="219">
                  <c:v>3.485511520076634E-2</c:v>
                </c:pt>
                <c:pt idx="220">
                  <c:v>3.2317848982135411E-2</c:v>
                </c:pt>
                <c:pt idx="221">
                  <c:v>3.053640218833964E-2</c:v>
                </c:pt>
                <c:pt idx="222">
                  <c:v>3.0804584327186024E-2</c:v>
                </c:pt>
                <c:pt idx="223">
                  <c:v>3.1396020032053773E-2</c:v>
                </c:pt>
                <c:pt idx="224">
                  <c:v>3.2231184265982815E-2</c:v>
                </c:pt>
                <c:pt idx="225">
                  <c:v>3.2928430834240352E-2</c:v>
                </c:pt>
                <c:pt idx="226">
                  <c:v>3.2800530135447259E-2</c:v>
                </c:pt>
                <c:pt idx="227">
                  <c:v>3.2136130000319119E-2</c:v>
                </c:pt>
                <c:pt idx="228">
                  <c:v>3.2920999144371965E-2</c:v>
                </c:pt>
                <c:pt idx="229">
                  <c:v>3.1436675064568931E-2</c:v>
                </c:pt>
                <c:pt idx="230">
                  <c:v>2.8087333707957463E-2</c:v>
                </c:pt>
                <c:pt idx="231">
                  <c:v>2.7815211778485782E-2</c:v>
                </c:pt>
                <c:pt idx="232">
                  <c:v>2.7671488714145154E-2</c:v>
                </c:pt>
                <c:pt idx="233">
                  <c:v>2.9078698133774061E-2</c:v>
                </c:pt>
                <c:pt idx="234">
                  <c:v>3.0486026845763847E-2</c:v>
                </c:pt>
                <c:pt idx="235">
                  <c:v>3.1121908210068217E-2</c:v>
                </c:pt>
                <c:pt idx="236">
                  <c:v>3.0255427244533672E-2</c:v>
                </c:pt>
                <c:pt idx="238">
                  <c:v>2.6188786153326316E-2</c:v>
                </c:pt>
                <c:pt idx="239">
                  <c:v>2.6489656537662221E-2</c:v>
                </c:pt>
              </c:numCache>
            </c:numRef>
          </c:val>
          <c:smooth val="0"/>
          <c:extLst>
            <c:ext xmlns:c16="http://schemas.microsoft.com/office/drawing/2014/chart" uri="{C3380CC4-5D6E-409C-BE32-E72D297353CC}">
              <c16:uniqueId val="{00000001-4A8A-4D01-B2D7-02AAC1D249D3}"/>
            </c:ext>
          </c:extLst>
        </c:ser>
        <c:dLbls>
          <c:showLegendKey val="0"/>
          <c:showVal val="0"/>
          <c:showCatName val="0"/>
          <c:showSerName val="0"/>
          <c:showPercent val="0"/>
          <c:showBubbleSize val="0"/>
        </c:dLbls>
        <c:smooth val="0"/>
        <c:axId val="988426464"/>
        <c:axId val="988421888"/>
      </c:lineChart>
      <c:catAx>
        <c:axId val="988426464"/>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421888"/>
        <c:crosses val="autoZero"/>
        <c:auto val="1"/>
        <c:lblAlgn val="ctr"/>
        <c:lblOffset val="100"/>
        <c:tickLblSkip val="12"/>
        <c:tickMarkSkip val="6"/>
        <c:noMultiLvlLbl val="0"/>
      </c:catAx>
      <c:valAx>
        <c:axId val="988421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426464"/>
        <c:crosses val="autoZero"/>
        <c:crossBetween val="midCat"/>
      </c:valAx>
      <c:spPr>
        <a:noFill/>
        <a:ln>
          <a:noFill/>
        </a:ln>
        <a:effectLst/>
      </c:spPr>
    </c:plotArea>
    <c:legend>
      <c:legendPos val="b"/>
      <c:overlay val="0"/>
      <c:spPr>
        <a:noFill/>
        <a:ln>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Life Liquidity Indicators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470488455152224"/>
          <c:y val="9.0905032219809737E-2"/>
          <c:w val="0.78430934127741181"/>
          <c:h val="0.73997401487604753"/>
        </c:manualLayout>
      </c:layout>
      <c:barChart>
        <c:barDir val="col"/>
        <c:grouping val="clustered"/>
        <c:varyColors val="0"/>
        <c:ser>
          <c:idx val="1"/>
          <c:order val="1"/>
          <c:tx>
            <c:strRef>
              <c:f>'7.1 -7.3 - Liquidity Ratios'!$B$16</c:f>
              <c:strCache>
                <c:ptCount val="1"/>
                <c:pt idx="0">
                  <c:v>Operating Cash Flow</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'7.1 -7.3 - Liquidity Ratios'!$H$2:$R$2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'7.1 -7.3 - Liquidity Ratios'!$H$16:$R$16</c:f>
              <c:numCache>
                <c:formatCode>"$"#,##0_);[Red]\("$"#,##0\)</c:formatCode>
                <c:ptCount val="11"/>
                <c:pt idx="0">
                  <c:v>162083234107</c:v>
                </c:pt>
                <c:pt idx="1">
                  <c:v>184043580778</c:v>
                </c:pt>
                <c:pt idx="2">
                  <c:v>171811889709</c:v>
                </c:pt>
                <c:pt idx="3">
                  <c:v>174601228471</c:v>
                </c:pt>
                <c:pt idx="4">
                  <c:v>176656219370</c:v>
                </c:pt>
                <c:pt idx="5">
                  <c:v>180927368310</c:v>
                </c:pt>
                <c:pt idx="6">
                  <c:v>123064551133</c:v>
                </c:pt>
                <c:pt idx="7">
                  <c:v>206691938303</c:v>
                </c:pt>
                <c:pt idx="8">
                  <c:v>162189077453</c:v>
                </c:pt>
                <c:pt idx="9">
                  <c:v>171177406515</c:v>
                </c:pt>
                <c:pt idx="10">
                  <c:v>218919245025</c:v>
                </c:pt>
              </c:numCache>
            </c:numRef>
          </c:val>
          <c:extLst>
            <c:ext xmlns:c16="http://schemas.microsoft.com/office/drawing/2014/chart" uri="{C3380CC4-5D6E-409C-BE32-E72D297353CC}">
              <c16:uniqueId val="{00000000-A581-4D7C-8ECD-E1A3F62DAAF7}"/>
            </c:ext>
          </c:extLst>
        </c:ser>
        <c:ser>
          <c:idx val="2"/>
          <c:order val="2"/>
          <c:tx>
            <c:strRef>
              <c:f>'7.1 -7.3 - Liquidity Ratios'!$B$17</c:f>
              <c:strCache>
                <c:ptCount val="1"/>
                <c:pt idx="0">
                  <c:v>Surrenders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'7.1 -7.3 - Liquidity Ratios'!$H$2:$R$2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'7.1 -7.3 - Liquidity Ratios'!$H$17:$R$17</c:f>
              <c:numCache>
                <c:formatCode>"$"#,##0_);[Red]\("$"#,##0\)</c:formatCode>
                <c:ptCount val="11"/>
                <c:pt idx="0">
                  <c:v>276136615210</c:v>
                </c:pt>
                <c:pt idx="1">
                  <c:v>268415599480</c:v>
                </c:pt>
                <c:pt idx="2">
                  <c:v>312841715571</c:v>
                </c:pt>
                <c:pt idx="3">
                  <c:v>354608944785</c:v>
                </c:pt>
                <c:pt idx="4">
                  <c:v>344747781494</c:v>
                </c:pt>
                <c:pt idx="5">
                  <c:v>328148489767</c:v>
                </c:pt>
                <c:pt idx="6">
                  <c:v>367653514199</c:v>
                </c:pt>
                <c:pt idx="7">
                  <c:v>353248359059</c:v>
                </c:pt>
                <c:pt idx="8">
                  <c:v>416534429926</c:v>
                </c:pt>
                <c:pt idx="9">
                  <c:v>484434818171</c:v>
                </c:pt>
                <c:pt idx="10">
                  <c:v>487245420069</c:v>
                </c:pt>
              </c:numCache>
            </c:numRef>
          </c:val>
          <c:extLst>
            <c:ext xmlns:c16="http://schemas.microsoft.com/office/drawing/2014/chart" uri="{C3380CC4-5D6E-409C-BE32-E72D297353CC}">
              <c16:uniqueId val="{00000001-A581-4D7C-8ECD-E1A3F62DAAF7}"/>
            </c:ext>
          </c:extLst>
        </c:ser>
        <c:dLbls>
          <c:showLegendKey val="0"/>
          <c:showVal val="0"/>
          <c:showCatName val="0"/>
          <c:showSerName val="0"/>
          <c:showPercent val="0"/>
          <c:showBubbleSize val="0"/>
        </c:dLbls>
        <c:gapWidth val="172"/>
        <c:axId val="220321280"/>
        <c:axId val="218821696"/>
        <c:extLst>
          <c:ext xmlns:c15="http://schemas.microsoft.com/office/drawing/2012/chart" uri="{02D57815-91ED-43cb-92C2-25804820EDAC}">
            <c15:filteredBarSeries>
              <c15:ser>
                <c:idx val="0"/>
                <c:order val="0"/>
                <c:tx>
                  <c:strRef>
                    <c:extLst>
                      <c:ext uri="{02D57815-91ED-43cb-92C2-25804820EDAC}">
                        <c15:formulaRef>
                          <c15:sqref>'7.1 -7.3 - Liquidity Ratios'!$B$2</c15:sqref>
                        </c15:formulaRef>
                      </c:ext>
                    </c:extLst>
                    <c:strCache>
                      <c:ptCount val="1"/>
                      <c:pt idx="0">
                        <c:v>Description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extLst>
                      <c:ext uri="{02D57815-91ED-43cb-92C2-25804820EDAC}">
                        <c15:formulaRef>
                          <c15:sqref>'7.1 -7.3 - Liquidity Ratios'!$H$2:$R$2</c15:sqref>
                        </c15:formulaRef>
                      </c:ext>
                    </c:extLst>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extLst>
                      <c:ext uri="{02D57815-91ED-43cb-92C2-25804820EDAC}">
                        <c15:formulaRef>
                          <c15:sqref>'7.1 -7.3 - Liquidity Ratios'!$C$2:$N$2</c15:sqref>
                        </c15:formulaRef>
                      </c:ext>
                    </c:extLst>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val>
                <c:extLst>
                  <c:ext xmlns:c16="http://schemas.microsoft.com/office/drawing/2014/chart" uri="{C3380CC4-5D6E-409C-BE32-E72D297353CC}">
                    <c16:uniqueId val="{00000003-A581-4D7C-8ECD-E1A3F62DAAF7}"/>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'7.1 -7.3 - Liquidity Ratios'!$B$18</c15:sqref>
                        </c15:formulaRef>
                      </c:ext>
                    </c:extLst>
                    <c:strCache>
                      <c:ptCount val="1"/>
                      <c:pt idx="0">
                        <c:v>NWP</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extLst xmlns:c15="http://schemas.microsoft.com/office/drawing/2012/chart">
                      <c:ext xmlns:c15="http://schemas.microsoft.com/office/drawing/2012/chart" uri="{02D57815-91ED-43cb-92C2-25804820EDAC}">
                        <c15:formulaRef>
                          <c15:sqref>'7.1 -7.3 - Liquidity Ratios'!$H$2:$R$2</c15:sqref>
                        </c15:formulaRef>
                      </c:ext>
                    </c:extLst>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extLst xmlns:c15="http://schemas.microsoft.com/office/drawing/2012/chart">
                      <c:ext xmlns:c15="http://schemas.microsoft.com/office/drawing/2012/chart" uri="{02D57815-91ED-43cb-92C2-25804820EDAC}">
                        <c15:formulaRef>
                          <c15:sqref>'7.1 -7.3 - Liquidity Ratios'!$C$18:$M$18</c15:sqref>
                        </c15:formulaRef>
                      </c:ext>
                    </c:extLst>
                    <c:numCache>
                      <c:formatCode>"$"#,##0_);[Red]\("$"#,##0\)</c:formatCode>
                      <c:ptCount val="11"/>
                      <c:pt idx="0">
                        <c:v>591008462368</c:v>
                      </c:pt>
                      <c:pt idx="1">
                        <c:v>631476044262</c:v>
                      </c:pt>
                      <c:pt idx="2">
                        <c:v>653030798658</c:v>
                      </c:pt>
                      <c:pt idx="3">
                        <c:v>590657149201</c:v>
                      </c:pt>
                      <c:pt idx="4">
                        <c:v>657833456975</c:v>
                      </c:pt>
                      <c:pt idx="5">
                        <c:v>651124998911</c:v>
                      </c:pt>
                      <c:pt idx="6">
                        <c:v>611907825973</c:v>
                      </c:pt>
                      <c:pt idx="7">
                        <c:v>607783098663</c:v>
                      </c:pt>
                      <c:pt idx="8">
                        <c:v>613454773741</c:v>
                      </c:pt>
                      <c:pt idx="9">
                        <c:v>691912671002</c:v>
                      </c:pt>
                      <c:pt idx="10">
                        <c:v>635918317202</c:v>
                      </c:pt>
                    </c:numCache>
                  </c:numRef>
                </c:val>
                <c:extLst xmlns:c15="http://schemas.microsoft.com/office/drawing/2012/chart">
                  <c:ext xmlns:c16="http://schemas.microsoft.com/office/drawing/2014/chart" uri="{C3380CC4-5D6E-409C-BE32-E72D297353CC}">
                    <c16:uniqueId val="{00000004-A581-4D7C-8ECD-E1A3F62DAAF7}"/>
                  </c:ext>
                </c:extLst>
              </c15:ser>
            </c15:filteredBarSeries>
          </c:ext>
        </c:extLst>
      </c:barChart>
      <c:lineChart>
        <c:grouping val="standard"/>
        <c:varyColors val="0"/>
        <c:ser>
          <c:idx val="4"/>
          <c:order val="4"/>
          <c:tx>
            <c:strRef>
              <c:f>'7.1 -7.3 - Liquidity Ratios'!$B$19</c:f>
              <c:strCache>
                <c:ptCount val="1"/>
                <c:pt idx="0">
                  <c:v>Avg. Surr./Prem. Ratio</c:v>
                </c:pt>
              </c:strCache>
            </c:strRef>
          </c:tx>
          <c:spPr>
            <a:ln w="34925" cap="rnd">
              <a:solidFill>
                <a:schemeClr val="accent5"/>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'7.1 -7.3 - Liquidity Ratios'!$H$2:$R$2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'7.1 -7.3 - Liquidity Ratios'!$H$19:$R$19</c:f>
              <c:numCache>
                <c:formatCode>0.0%</c:formatCode>
                <c:ptCount val="11"/>
                <c:pt idx="0">
                  <c:v>0.42409155795252174</c:v>
                </c:pt>
                <c:pt idx="1">
                  <c:v>0.4386536469821905</c:v>
                </c:pt>
                <c:pt idx="2">
                  <c:v>0.51472592156509211</c:v>
                </c:pt>
                <c:pt idx="3">
                  <c:v>0.57805230306140798</c:v>
                </c:pt>
                <c:pt idx="4">
                  <c:v>0.49825331424376168</c:v>
                </c:pt>
                <c:pt idx="5">
                  <c:v>0.51602301882234247</c:v>
                </c:pt>
                <c:pt idx="6">
                  <c:v>0.5658401381204754</c:v>
                </c:pt>
                <c:pt idx="7">
                  <c:v>0.49446428543669629</c:v>
                </c:pt>
                <c:pt idx="8">
                  <c:v>0.6056379129339432</c:v>
                </c:pt>
                <c:pt idx="9">
                  <c:v>0.58430222533999321</c:v>
                </c:pt>
                <c:pt idx="10">
                  <c:v>0.61052685661505113</c:v>
                </c:pt>
              </c:numCache>
            </c:numRef>
          </c:val>
          <c:smooth val="0"/>
          <c:extLst>
            <c:ext xmlns:c16="http://schemas.microsoft.com/office/drawing/2014/chart" uri="{C3380CC4-5D6E-409C-BE32-E72D297353CC}">
              <c16:uniqueId val="{00000002-A581-4D7C-8ECD-E1A3F62DAAF7}"/>
            </c:ext>
          </c:extLst>
        </c:ser>
        <c:dLbls>
          <c:showLegendKey val="0"/>
          <c:showVal val="0"/>
          <c:showCatName val="0"/>
          <c:showSerName val="0"/>
          <c:showPercent val="0"/>
          <c:showBubbleSize val="0"/>
        </c:dLbls>
        <c:marker val="1"/>
        <c:smooth val="0"/>
        <c:axId val="1912648624"/>
        <c:axId val="1912651952"/>
      </c:lineChart>
      <c:catAx>
        <c:axId val="220321280"/>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8821696"/>
        <c:crosses val="autoZero"/>
        <c:auto val="1"/>
        <c:lblAlgn val="ctr"/>
        <c:lblOffset val="100"/>
        <c:noMultiLvlLbl val="0"/>
      </c:catAx>
      <c:valAx>
        <c:axId val="218821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In Billions</a:t>
                </a:r>
              </a:p>
            </c:rich>
          </c:tx>
          <c:layout>
            <c:manualLayout>
              <c:xMode val="edge"/>
              <c:yMode val="edge"/>
              <c:x val="3.4377446550981311E-3"/>
              <c:y val="0.3628775472833338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Black]&quot;$&quot;#,##0,,,;[Red]\(&quot;$&quot;#,##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321280"/>
        <c:crosses val="autoZero"/>
        <c:crossBetween val="between"/>
      </c:valAx>
      <c:valAx>
        <c:axId val="1912651952"/>
        <c:scaling>
          <c:orientation val="minMax"/>
          <c:min val="0.2"/>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2648624"/>
        <c:crosses val="max"/>
        <c:crossBetween val="between"/>
      </c:valAx>
      <c:catAx>
        <c:axId val="1912648624"/>
        <c:scaling>
          <c:orientation val="minMax"/>
        </c:scaling>
        <c:delete val="1"/>
        <c:axPos val="b"/>
        <c:numFmt formatCode="General" sourceLinked="1"/>
        <c:majorTickMark val="none"/>
        <c:minorTickMark val="none"/>
        <c:tickLblPos val="nextTo"/>
        <c:crossAx val="19126519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Cash &amp; ST Investments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'7.1-7.3 - Asset Analysis'!$C$27</c:f>
              <c:strCache>
                <c:ptCount val="1"/>
                <c:pt idx="0">
                  <c:v>Cash &amp; ST</c:v>
                </c:pt>
              </c:strCache>
            </c:strRef>
          </c:tx>
          <c:spPr>
            <a:solidFill>
              <a:schemeClr val="accent1"/>
            </a:solidFill>
            <a:ln>
              <a:noFill/>
            </a:ln>
            <a:effectLst/>
          </c:spPr>
          <c:invertIfNegative val="0"/>
          <c:cat>
            <c:numRef>
              <c:f>'7.1-7.3 - Asset Analysis'!$B$28:$B$37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'7.1-7.3 - Asset Analysis'!$C$28:$C$37</c:f>
              <c:numCache>
                <c:formatCode>"$"#,##0</c:formatCode>
                <c:ptCount val="10"/>
                <c:pt idx="0">
                  <c:v>242097634014</c:v>
                </c:pt>
                <c:pt idx="1">
                  <c:v>272575322161</c:v>
                </c:pt>
                <c:pt idx="2">
                  <c:v>253256614094</c:v>
                </c:pt>
                <c:pt idx="3">
                  <c:v>288519772297</c:v>
                </c:pt>
                <c:pt idx="4">
                  <c:v>367098464515</c:v>
                </c:pt>
                <c:pt idx="5">
                  <c:v>371737487031</c:v>
                </c:pt>
                <c:pt idx="6">
                  <c:v>374419955305</c:v>
                </c:pt>
                <c:pt idx="7">
                  <c:v>460976704145</c:v>
                </c:pt>
                <c:pt idx="8">
                  <c:v>565849171280</c:v>
                </c:pt>
                <c:pt idx="9">
                  <c:v>597131713057</c:v>
                </c:pt>
              </c:numCache>
            </c:numRef>
          </c:val>
          <c:extLst>
            <c:ext xmlns:c16="http://schemas.microsoft.com/office/drawing/2014/chart" uri="{C3380CC4-5D6E-409C-BE32-E72D297353CC}">
              <c16:uniqueId val="{00000000-CB0E-44B3-874F-7DEF310E2FC5}"/>
            </c:ext>
          </c:extLst>
        </c:ser>
        <c:dLbls>
          <c:showLegendKey val="0"/>
          <c:showVal val="0"/>
          <c:showCatName val="0"/>
          <c:showSerName val="0"/>
          <c:showPercent val="0"/>
          <c:showBubbleSize val="0"/>
        </c:dLbls>
        <c:gapWidth val="269"/>
        <c:overlap val="-27"/>
        <c:axId val="1173218319"/>
        <c:axId val="1173216879"/>
      </c:barChart>
      <c:lineChart>
        <c:grouping val="standard"/>
        <c:varyColors val="0"/>
        <c:ser>
          <c:idx val="1"/>
          <c:order val="1"/>
          <c:tx>
            <c:strRef>
              <c:f>'7.1-7.3 - Asset Analysis'!$D$27</c:f>
              <c:strCache>
                <c:ptCount val="1"/>
                <c:pt idx="0">
                  <c:v> % of C&amp;IA </c:v>
                </c:pt>
              </c:strCache>
            </c:strRef>
          </c:tx>
          <c:spPr>
            <a:ln w="28575" cap="rnd">
              <a:solidFill>
                <a:schemeClr val="accent5"/>
              </a:solidFill>
              <a:round/>
            </a:ln>
            <a:effectLst/>
          </c:spPr>
          <c:marker>
            <c:symbol val="none"/>
          </c:marker>
          <c:cat>
            <c:numRef>
              <c:f>'7.1-7.3 - Asset Analysis'!$B$28:$B$37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'7.1-7.3 - Asset Analysis'!$D$28:$D$37</c:f>
              <c:numCache>
                <c:formatCode>0.0%</c:formatCode>
                <c:ptCount val="10"/>
                <c:pt idx="0">
                  <c:v>3.9420311920754056E-2</c:v>
                </c:pt>
                <c:pt idx="1">
                  <c:v>4.2246710893017077E-2</c:v>
                </c:pt>
                <c:pt idx="2">
                  <c:v>3.8734115666213279E-2</c:v>
                </c:pt>
                <c:pt idx="3">
                  <c:v>4.1277810064153722E-2</c:v>
                </c:pt>
                <c:pt idx="4">
                  <c:v>4.8781849587494479E-2</c:v>
                </c:pt>
                <c:pt idx="5">
                  <c:v>4.618327292825012E-2</c:v>
                </c:pt>
                <c:pt idx="6">
                  <c:v>4.5937728366728131E-2</c:v>
                </c:pt>
                <c:pt idx="7">
                  <c:v>5.4472790392011639E-2</c:v>
                </c:pt>
                <c:pt idx="8">
                  <c:v>6.30095862087722E-2</c:v>
                </c:pt>
                <c:pt idx="9">
                  <c:v>6.2327267699182308E-2</c:v>
                </c:pt>
              </c:numCache>
            </c:numRef>
          </c:val>
          <c:smooth val="0"/>
          <c:extLst>
            <c:ext xmlns:c16="http://schemas.microsoft.com/office/drawing/2014/chart" uri="{C3380CC4-5D6E-409C-BE32-E72D297353CC}">
              <c16:uniqueId val="{00000001-CB0E-44B3-874F-7DEF310E2FC5}"/>
            </c:ext>
          </c:extLst>
        </c:ser>
        <c:dLbls>
          <c:showLegendKey val="0"/>
          <c:showVal val="0"/>
          <c:showCatName val="0"/>
          <c:showSerName val="0"/>
          <c:showPercent val="0"/>
          <c:showBubbleSize val="0"/>
        </c:dLbls>
        <c:marker val="1"/>
        <c:smooth val="0"/>
        <c:axId val="1173211119"/>
        <c:axId val="1173209679"/>
      </c:lineChart>
      <c:catAx>
        <c:axId val="1173218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3216879"/>
        <c:crosses val="autoZero"/>
        <c:auto val="1"/>
        <c:lblAlgn val="ctr"/>
        <c:lblOffset val="100"/>
        <c:noMultiLvlLbl val="0"/>
      </c:catAx>
      <c:valAx>
        <c:axId val="1173216879"/>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3218319"/>
        <c:crosses val="autoZero"/>
        <c:crossBetween val="between"/>
        <c:dispUnits>
          <c:builtInUnit val="millions"/>
          <c:dispUnitsLbl>
            <c:layout>
              <c:manualLayout>
                <c:xMode val="edge"/>
                <c:yMode val="edge"/>
                <c:x val="3.0555555555555555E-2"/>
                <c:y val="0.36152777777777784"/>
              </c:manualLayout>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valAx>
        <c:axId val="1173209679"/>
        <c:scaling>
          <c:orientation val="minMax"/>
          <c:max val="6.5000000000000016E-2"/>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3211119"/>
        <c:crosses val="max"/>
        <c:crossBetween val="between"/>
      </c:valAx>
      <c:catAx>
        <c:axId val="1173211119"/>
        <c:scaling>
          <c:orientation val="minMax"/>
        </c:scaling>
        <c:delete val="1"/>
        <c:axPos val="b"/>
        <c:numFmt formatCode="General" sourceLinked="1"/>
        <c:majorTickMark val="none"/>
        <c:minorTickMark val="none"/>
        <c:tickLblPos val="nextTo"/>
        <c:crossAx val="117320967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Life % At Action Level</a:t>
            </a:r>
          </a:p>
        </c:rich>
      </c:tx>
      <c:layout>
        <c:manualLayout>
          <c:xMode val="edge"/>
          <c:yMode val="edge"/>
          <c:x val="0.34727101602150884"/>
          <c:y val="3.921566609249854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tx>
            <c:strRef>
              <c:f>'Capitalization Charts'!$B$4</c:f>
              <c:strCache>
                <c:ptCount val="1"/>
                <c:pt idx="0">
                  <c:v>Life % At Action Level</c:v>
                </c:pt>
              </c:strCache>
            </c:strRef>
          </c:tx>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'Capitalization Charts'!$H$2:$T$2</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extLst/>
            </c:numRef>
          </c:cat>
          <c:val>
            <c:numRef>
              <c:f>'Capitalization Charts'!$H$4:$T$4</c:f>
              <c:numCache>
                <c:formatCode>0.00%</c:formatCode>
                <c:ptCount val="13"/>
                <c:pt idx="0">
                  <c:v>2.6700000000000002E-2</c:v>
                </c:pt>
                <c:pt idx="1">
                  <c:v>2.4799999999999999E-2</c:v>
                </c:pt>
                <c:pt idx="2">
                  <c:v>2.07E-2</c:v>
                </c:pt>
                <c:pt idx="3">
                  <c:v>1.95E-2</c:v>
                </c:pt>
                <c:pt idx="4">
                  <c:v>2.8400000000000002E-2</c:v>
                </c:pt>
                <c:pt idx="5">
                  <c:v>2.5600000000000001E-2</c:v>
                </c:pt>
                <c:pt idx="6">
                  <c:v>1.5800000000000002E-2</c:v>
                </c:pt>
                <c:pt idx="7">
                  <c:v>1.5800000000000002E-2</c:v>
                </c:pt>
                <c:pt idx="8">
                  <c:v>2.1299999999999999E-2</c:v>
                </c:pt>
                <c:pt idx="9">
                  <c:v>1.6199999999999999E-2</c:v>
                </c:pt>
                <c:pt idx="10">
                  <c:v>9.4999999999999998E-3</c:v>
                </c:pt>
                <c:pt idx="11">
                  <c:v>1.52E-2</c:v>
                </c:pt>
                <c:pt idx="12">
                  <c:v>1.26E-2</c:v>
                </c:pt>
              </c:numCache>
              <c:extLst/>
            </c:numRef>
          </c:val>
          <c:smooth val="0"/>
          <c:extLst>
            <c:ext xmlns:c16="http://schemas.microsoft.com/office/drawing/2014/chart" uri="{C3380CC4-5D6E-409C-BE32-E72D297353CC}">
              <c16:uniqueId val="{00000000-ED79-4A82-AF16-AB6D7A8D9F8F}"/>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2048367088"/>
        <c:axId val="2048345040"/>
      </c:lineChart>
      <c:catAx>
        <c:axId val="2048367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2048345040"/>
        <c:crosses val="autoZero"/>
        <c:auto val="1"/>
        <c:lblAlgn val="ctr"/>
        <c:lblOffset val="100"/>
        <c:noMultiLvlLbl val="0"/>
      </c:catAx>
      <c:valAx>
        <c:axId val="2048345040"/>
        <c:scaling>
          <c:orientation val="minMax"/>
        </c:scaling>
        <c:delete val="1"/>
        <c:axPos val="l"/>
        <c:numFmt formatCode="0.00%" sourceLinked="1"/>
        <c:majorTickMark val="none"/>
        <c:minorTickMark val="none"/>
        <c:tickLblPos val="nextTo"/>
        <c:crossAx val="2048367088"/>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lt1">
          <a:lumMod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Industry Wide Life RBC (ACL) Ratio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'Capitalization Charts'!$B$3</c:f>
              <c:strCache>
                <c:ptCount val="1"/>
                <c:pt idx="0">
                  <c:v>Life ACL RBC Ratio (%)</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'Capitalization Charts'!$H$2:$T$2</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extLst/>
            </c:numRef>
          </c:cat>
          <c:val>
            <c:numRef>
              <c:f>'Capitalization Charts'!$H$3:$T$3</c:f>
              <c:numCache>
                <c:formatCode>0%</c:formatCode>
                <c:ptCount val="13"/>
                <c:pt idx="0">
                  <c:v>9.6117886178861784</c:v>
                </c:pt>
                <c:pt idx="1">
                  <c:v>9.7320000000000011</c:v>
                </c:pt>
                <c:pt idx="2">
                  <c:v>9.6569200779727105</c:v>
                </c:pt>
                <c:pt idx="3">
                  <c:v>9.5262172284644198</c:v>
                </c:pt>
                <c:pt idx="4">
                  <c:v>9.336879432624114</c:v>
                </c:pt>
                <c:pt idx="5">
                  <c:v>8.4043545878693617</c:v>
                </c:pt>
                <c:pt idx="6">
                  <c:v>8.5606469002695427</c:v>
                </c:pt>
                <c:pt idx="7">
                  <c:v>8.5606469002695427</c:v>
                </c:pt>
                <c:pt idx="8">
                  <c:v>8.8551031595734084</c:v>
                </c:pt>
                <c:pt idx="9">
                  <c:v>8.5306372549019613</c:v>
                </c:pt>
                <c:pt idx="10">
                  <c:v>8.7265160523186687</c:v>
                </c:pt>
                <c:pt idx="11">
                  <c:v>8.6905311778291008</c:v>
                </c:pt>
                <c:pt idx="12">
                  <c:v>8.8578706800445932</c:v>
                </c:pt>
              </c:numCache>
              <c:extLst/>
            </c:numRef>
          </c:val>
          <c:smooth val="0"/>
          <c:extLst>
            <c:ext xmlns:c16="http://schemas.microsoft.com/office/drawing/2014/chart" uri="{C3380CC4-5D6E-409C-BE32-E72D297353CC}">
              <c16:uniqueId val="{00000000-694D-49A2-BDFF-4FD947BD0C6E}"/>
            </c:ext>
          </c:extLst>
        </c:ser>
        <c:dLbls>
          <c:dLblPos val="ctr"/>
          <c:showLegendKey val="0"/>
          <c:showVal val="1"/>
          <c:showCatName val="0"/>
          <c:showSerName val="0"/>
          <c:showPercent val="0"/>
          <c:showBubbleSize val="0"/>
        </c:dLbls>
        <c:marker val="1"/>
        <c:smooth val="0"/>
        <c:axId val="2048367088"/>
        <c:axId val="2048345040"/>
      </c:lineChart>
      <c:catAx>
        <c:axId val="20483670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048345040"/>
        <c:crosses val="autoZero"/>
        <c:auto val="1"/>
        <c:lblAlgn val="ctr"/>
        <c:lblOffset val="100"/>
        <c:noMultiLvlLbl val="0"/>
      </c:catAx>
      <c:valAx>
        <c:axId val="2048345040"/>
        <c:scaling>
          <c:orientation val="minMax"/>
          <c:min val="6"/>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0483670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P&amp;C % At Action Level</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tx>
            <c:strRef>
              <c:f>'Capitalization Charts'!$B$19</c:f>
              <c:strCache>
                <c:ptCount val="1"/>
                <c:pt idx="0">
                  <c:v>P&amp;C % At Action Level</c:v>
                </c:pt>
              </c:strCache>
            </c:strRef>
          </c:tx>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'Capitalization Charts'!$H$2:$T$2</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extLst/>
            </c:numRef>
          </c:cat>
          <c:val>
            <c:numRef>
              <c:f>'Capitalization Charts'!$H$19:$T$19</c:f>
              <c:numCache>
                <c:formatCode>0.00%</c:formatCode>
                <c:ptCount val="13"/>
                <c:pt idx="0">
                  <c:v>2.5700000000000001E-2</c:v>
                </c:pt>
                <c:pt idx="1">
                  <c:v>2.9399999999999999E-2</c:v>
                </c:pt>
                <c:pt idx="2">
                  <c:v>2.2499999999999999E-2</c:v>
                </c:pt>
                <c:pt idx="3">
                  <c:v>2.41E-2</c:v>
                </c:pt>
                <c:pt idx="4">
                  <c:v>2.3300000000000001E-2</c:v>
                </c:pt>
                <c:pt idx="5">
                  <c:v>1.95E-2</c:v>
                </c:pt>
                <c:pt idx="6">
                  <c:v>1.7000000000000001E-2</c:v>
                </c:pt>
                <c:pt idx="7">
                  <c:v>1.7000000000000001E-2</c:v>
                </c:pt>
                <c:pt idx="8">
                  <c:v>1.3899999999999999E-2</c:v>
                </c:pt>
                <c:pt idx="9">
                  <c:v>2.1399999999999999E-2</c:v>
                </c:pt>
                <c:pt idx="10">
                  <c:v>0.02</c:v>
                </c:pt>
                <c:pt idx="11">
                  <c:v>1.95E-2</c:v>
                </c:pt>
                <c:pt idx="12">
                  <c:v>2.1899999999999999E-2</c:v>
                </c:pt>
              </c:numCache>
              <c:extLst/>
            </c:numRef>
          </c:val>
          <c:smooth val="0"/>
          <c:extLst>
            <c:ext xmlns:c16="http://schemas.microsoft.com/office/drawing/2014/chart" uri="{C3380CC4-5D6E-409C-BE32-E72D297353CC}">
              <c16:uniqueId val="{00000000-E957-480A-94B1-46B557A22FE2}"/>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2048367088"/>
        <c:axId val="2048345040"/>
      </c:lineChart>
      <c:catAx>
        <c:axId val="2048367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2048345040"/>
        <c:crosses val="autoZero"/>
        <c:auto val="1"/>
        <c:lblAlgn val="ctr"/>
        <c:lblOffset val="100"/>
        <c:noMultiLvlLbl val="0"/>
      </c:catAx>
      <c:valAx>
        <c:axId val="2048345040"/>
        <c:scaling>
          <c:orientation val="minMax"/>
        </c:scaling>
        <c:delete val="1"/>
        <c:axPos val="l"/>
        <c:numFmt formatCode="0.00%" sourceLinked="1"/>
        <c:majorTickMark val="none"/>
        <c:minorTickMark val="none"/>
        <c:tickLblPos val="nextTo"/>
        <c:crossAx val="2048367088"/>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lt1">
          <a:lumMod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Industry Wide P&amp;C RBC (ACL) Ratio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'Capitalization Charts'!$B$18</c:f>
              <c:strCache>
                <c:ptCount val="1"/>
                <c:pt idx="0">
                  <c:v>P&amp;C ACL RBC Ratio (%)</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'Capitalization Charts'!$H$2:$T$2</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extLst/>
            </c:numRef>
          </c:cat>
          <c:val>
            <c:numRef>
              <c:f>'Capitalization Charts'!$H$18:$T$18</c:f>
              <c:numCache>
                <c:formatCode>0%</c:formatCode>
                <c:ptCount val="13"/>
                <c:pt idx="0">
                  <c:v>6.2040185471406488</c:v>
                </c:pt>
                <c:pt idx="1">
                  <c:v>6.1994025392083643</c:v>
                </c:pt>
                <c:pt idx="2">
                  <c:v>6.2294469357249618</c:v>
                </c:pt>
                <c:pt idx="3">
                  <c:v>6.3222782984859416</c:v>
                </c:pt>
                <c:pt idx="4">
                  <c:v>6.2434956637758505</c:v>
                </c:pt>
                <c:pt idx="5">
                  <c:v>6.1628060886829923</c:v>
                </c:pt>
                <c:pt idx="6">
                  <c:v>6.1423220973782771</c:v>
                </c:pt>
                <c:pt idx="7">
                  <c:v>6.1423220973782771</c:v>
                </c:pt>
                <c:pt idx="8">
                  <c:v>6.1725452812202093</c:v>
                </c:pt>
                <c:pt idx="9">
                  <c:v>5.8635703918722788</c:v>
                </c:pt>
                <c:pt idx="10">
                  <c:v>5.7794508414526122</c:v>
                </c:pt>
                <c:pt idx="11">
                  <c:v>6.1913119789381303</c:v>
                </c:pt>
                <c:pt idx="12">
                  <c:v>6.4259485924112605</c:v>
                </c:pt>
              </c:numCache>
              <c:extLst/>
            </c:numRef>
          </c:val>
          <c:smooth val="0"/>
          <c:extLst>
            <c:ext xmlns:c16="http://schemas.microsoft.com/office/drawing/2014/chart" uri="{C3380CC4-5D6E-409C-BE32-E72D297353CC}">
              <c16:uniqueId val="{00000000-C5F3-4D4A-A26C-6651BE748A03}"/>
            </c:ext>
          </c:extLst>
        </c:ser>
        <c:dLbls>
          <c:dLblPos val="ctr"/>
          <c:showLegendKey val="0"/>
          <c:showVal val="1"/>
          <c:showCatName val="0"/>
          <c:showSerName val="0"/>
          <c:showPercent val="0"/>
          <c:showBubbleSize val="0"/>
        </c:dLbls>
        <c:marker val="1"/>
        <c:smooth val="0"/>
        <c:axId val="2048367088"/>
        <c:axId val="2048345040"/>
      </c:lineChart>
      <c:catAx>
        <c:axId val="20483670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048345040"/>
        <c:crosses val="autoZero"/>
        <c:auto val="1"/>
        <c:lblAlgn val="ctr"/>
        <c:lblOffset val="100"/>
        <c:noMultiLvlLbl val="0"/>
      </c:catAx>
      <c:valAx>
        <c:axId val="20483450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0483670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Health % At Action Level</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tx>
            <c:strRef>
              <c:f>'Capitalization Charts'!$B$34</c:f>
              <c:strCache>
                <c:ptCount val="1"/>
                <c:pt idx="0">
                  <c:v>Health % At Action Level</c:v>
                </c:pt>
              </c:strCache>
            </c:strRef>
          </c:tx>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'Capitalization Charts'!$H$2:$T$2</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extLst/>
            </c:numRef>
          </c:cat>
          <c:val>
            <c:numRef>
              <c:f>'Capitalization Charts'!$H$34:$T$34</c:f>
              <c:numCache>
                <c:formatCode>0.00%</c:formatCode>
                <c:ptCount val="13"/>
                <c:pt idx="0">
                  <c:v>1.6400000000000001E-2</c:v>
                </c:pt>
                <c:pt idx="1">
                  <c:v>3.2300000000000002E-2</c:v>
                </c:pt>
                <c:pt idx="2">
                  <c:v>3.3399999999999999E-2</c:v>
                </c:pt>
                <c:pt idx="3">
                  <c:v>3.1399999999999997E-2</c:v>
                </c:pt>
                <c:pt idx="4">
                  <c:v>2.24E-2</c:v>
                </c:pt>
                <c:pt idx="5">
                  <c:v>1.8700000000000001E-2</c:v>
                </c:pt>
                <c:pt idx="6">
                  <c:v>1.41E-2</c:v>
                </c:pt>
                <c:pt idx="7">
                  <c:v>1.41E-2</c:v>
                </c:pt>
                <c:pt idx="8">
                  <c:v>1.0999999999999999E-2</c:v>
                </c:pt>
                <c:pt idx="9">
                  <c:v>2.4500000000000001E-2</c:v>
                </c:pt>
                <c:pt idx="10">
                  <c:v>1.4E-2</c:v>
                </c:pt>
                <c:pt idx="11">
                  <c:v>1.84E-2</c:v>
                </c:pt>
                <c:pt idx="12">
                  <c:v>1.9400000000000001E-2</c:v>
                </c:pt>
              </c:numCache>
              <c:extLst/>
            </c:numRef>
          </c:val>
          <c:smooth val="0"/>
          <c:extLst>
            <c:ext xmlns:c16="http://schemas.microsoft.com/office/drawing/2014/chart" uri="{C3380CC4-5D6E-409C-BE32-E72D297353CC}">
              <c16:uniqueId val="{00000000-6792-4010-A9BF-A2DE256F00B0}"/>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2048367088"/>
        <c:axId val="2048345040"/>
      </c:lineChart>
      <c:catAx>
        <c:axId val="2048367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2048345040"/>
        <c:crosses val="autoZero"/>
        <c:auto val="1"/>
        <c:lblAlgn val="ctr"/>
        <c:lblOffset val="100"/>
        <c:noMultiLvlLbl val="0"/>
      </c:catAx>
      <c:valAx>
        <c:axId val="2048345040"/>
        <c:scaling>
          <c:orientation val="minMax"/>
        </c:scaling>
        <c:delete val="1"/>
        <c:axPos val="l"/>
        <c:numFmt formatCode="0.00%" sourceLinked="1"/>
        <c:majorTickMark val="none"/>
        <c:minorTickMark val="none"/>
        <c:tickLblPos val="nextTo"/>
        <c:crossAx val="2048367088"/>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lt1">
          <a:lumMod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Industry Wide Health RBC (ACL) Ratio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'Capitalization Charts'!$B$33</c:f>
              <c:strCache>
                <c:ptCount val="1"/>
                <c:pt idx="0">
                  <c:v>Health ACL RBC Ratio (%)</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'Capitalization Charts'!$H$2:$T$2</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extLst/>
            </c:numRef>
          </c:cat>
          <c:val>
            <c:numRef>
              <c:f>'Capitalization Charts'!$H$33:$T$33</c:f>
              <c:numCache>
                <c:formatCode>0%</c:formatCode>
                <c:ptCount val="13"/>
                <c:pt idx="0">
                  <c:v>6.9289940828402372</c:v>
                </c:pt>
                <c:pt idx="1">
                  <c:v>6.144385026737968</c:v>
                </c:pt>
                <c:pt idx="2">
                  <c:v>5.6875</c:v>
                </c:pt>
                <c:pt idx="3">
                  <c:v>5.6548672566371678</c:v>
                </c:pt>
                <c:pt idx="4">
                  <c:v>6.125</c:v>
                </c:pt>
                <c:pt idx="5">
                  <c:v>6.2679999999999998</c:v>
                </c:pt>
                <c:pt idx="6">
                  <c:v>6.2977941176470598</c:v>
                </c:pt>
                <c:pt idx="7">
                  <c:v>6.7093425605536341</c:v>
                </c:pt>
                <c:pt idx="8">
                  <c:v>6.3460728891027181</c:v>
                </c:pt>
                <c:pt idx="9">
                  <c:v>6.03</c:v>
                </c:pt>
                <c:pt idx="10">
                  <c:v>6.24</c:v>
                </c:pt>
                <c:pt idx="11">
                  <c:v>5.89</c:v>
                </c:pt>
                <c:pt idx="12">
                  <c:v>5.89</c:v>
                </c:pt>
              </c:numCache>
              <c:extLst/>
            </c:numRef>
          </c:val>
          <c:smooth val="0"/>
          <c:extLst>
            <c:ext xmlns:c16="http://schemas.microsoft.com/office/drawing/2014/chart" uri="{C3380CC4-5D6E-409C-BE32-E72D297353CC}">
              <c16:uniqueId val="{00000000-6888-4A8D-91D6-A5B51C0A2F09}"/>
            </c:ext>
          </c:extLst>
        </c:ser>
        <c:dLbls>
          <c:dLblPos val="ctr"/>
          <c:showLegendKey val="0"/>
          <c:showVal val="1"/>
          <c:showCatName val="0"/>
          <c:showSerName val="0"/>
          <c:showPercent val="0"/>
          <c:showBubbleSize val="0"/>
        </c:dLbls>
        <c:marker val="1"/>
        <c:smooth val="0"/>
        <c:axId val="2048367088"/>
        <c:axId val="2048345040"/>
      </c:lineChart>
      <c:catAx>
        <c:axId val="20483670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048345040"/>
        <c:crosses val="autoZero"/>
        <c:auto val="1"/>
        <c:lblAlgn val="ctr"/>
        <c:lblOffset val="100"/>
        <c:noMultiLvlLbl val="0"/>
      </c:catAx>
      <c:valAx>
        <c:axId val="2048345040"/>
        <c:scaling>
          <c:orientation val="minMax"/>
          <c:min val="4"/>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0483670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Insurance Industry Cash &amp; Invested Assets</a:t>
            </a:r>
          </a:p>
        </c:rich>
      </c:tx>
      <c:layout>
        <c:manualLayout>
          <c:xMode val="edge"/>
          <c:yMode val="edge"/>
          <c:x val="0.20856862086551978"/>
          <c:y val="3.000103878835725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'5.1 BIG Exp'!$C$50</c:f>
              <c:strCache>
                <c:ptCount val="1"/>
                <c:pt idx="0">
                  <c:v> Total Cash and  Invested Assets (in bil$)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'5.1 BIG Exp'!$B$51:$B$65</c:f>
              <c:numCache>
                <c:formatCode>0_);\(0\)</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'5.1 BIG Exp'!$C$51:$C$65</c:f>
              <c:numCache>
                <c:formatCode>"$"#,##0</c:formatCode>
                <c:ptCount val="15"/>
                <c:pt idx="0">
                  <c:v>5228.5320000000002</c:v>
                </c:pt>
                <c:pt idx="1">
                  <c:v>5350.3630000000003</c:v>
                </c:pt>
                <c:pt idx="2">
                  <c:v>5521.1819999999998</c:v>
                </c:pt>
                <c:pt idx="3">
                  <c:v>5761.7690000000002</c:v>
                </c:pt>
                <c:pt idx="4">
                  <c:v>5817.8519999999999</c:v>
                </c:pt>
                <c:pt idx="5">
                  <c:v>6141.4449999999997</c:v>
                </c:pt>
                <c:pt idx="6">
                  <c:v>6451.9889999999996</c:v>
                </c:pt>
                <c:pt idx="7">
                  <c:v>6538.335</c:v>
                </c:pt>
                <c:pt idx="8">
                  <c:v>6950.7494384320007</c:v>
                </c:pt>
                <c:pt idx="9">
                  <c:v>7525.3084419559991</c:v>
                </c:pt>
                <c:pt idx="10">
                  <c:v>8049.180221777</c:v>
                </c:pt>
                <c:pt idx="11">
                  <c:v>8150.598</c:v>
                </c:pt>
                <c:pt idx="12">
                  <c:v>8437.341698289998</c:v>
                </c:pt>
                <c:pt idx="13">
                  <c:v>8956.6715111370013</c:v>
                </c:pt>
                <c:pt idx="14">
                  <c:v>9566.5390000000007</c:v>
                </c:pt>
              </c:numCache>
            </c:numRef>
          </c:val>
          <c:extLst>
            <c:ext xmlns:c16="http://schemas.microsoft.com/office/drawing/2014/chart" uri="{C3380CC4-5D6E-409C-BE32-E72D297353CC}">
              <c16:uniqueId val="{00000000-2DC2-4422-A389-A2126EDE1772}"/>
            </c:ext>
          </c:extLst>
        </c:ser>
        <c:dLbls>
          <c:showLegendKey val="0"/>
          <c:showVal val="0"/>
          <c:showCatName val="0"/>
          <c:showSerName val="0"/>
          <c:showPercent val="0"/>
          <c:showBubbleSize val="0"/>
        </c:dLbls>
        <c:gapWidth val="219"/>
        <c:overlap val="-27"/>
        <c:axId val="1148716895"/>
        <c:axId val="1148711615"/>
      </c:barChart>
      <c:lineChart>
        <c:grouping val="standard"/>
        <c:varyColors val="0"/>
        <c:ser>
          <c:idx val="1"/>
          <c:order val="1"/>
          <c:tx>
            <c:strRef>
              <c:f>'5.1 BIG Exp'!$D$50</c:f>
              <c:strCache>
                <c:ptCount val="1"/>
                <c:pt idx="0">
                  <c:v> Annual Growth Rate </c:v>
                </c:pt>
              </c:strCache>
            </c:strRef>
          </c:tx>
          <c:spPr>
            <a:ln w="31750" cap="rnd">
              <a:solidFill>
                <a:schemeClr val="accent5"/>
              </a:solidFill>
              <a:round/>
            </a:ln>
            <a:effectLst>
              <a:outerShdw blurRad="40000" dist="23000" dir="5400000" rotWithShape="0">
                <a:srgbClr val="000000">
                  <a:alpha val="35000"/>
                </a:srgbClr>
              </a:outerShdw>
            </a:effectLst>
          </c:spPr>
          <c:marker>
            <c:symbol val="none"/>
          </c:marker>
          <c:dLbls>
            <c:dLbl>
              <c:idx val="0"/>
              <c:layout>
                <c:manualLayout>
                  <c:x val="-0.05"/>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C2-4422-A389-A2126EDE1772}"/>
                </c:ext>
              </c:extLst>
            </c:dLbl>
            <c:dLbl>
              <c:idx val="1"/>
              <c:layout>
                <c:manualLayout>
                  <c:x val="-4.1666666666666692E-2"/>
                  <c:y val="-0.166666666666666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C2-4422-A389-A2126EDE1772}"/>
                </c:ext>
              </c:extLst>
            </c:dLbl>
            <c:dLbl>
              <c:idx val="2"/>
              <c:layout>
                <c:manualLayout>
                  <c:x val="-5.5555555555555608E-2"/>
                  <c:y val="-0.185185185185185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C2-4422-A389-A2126EDE1772}"/>
                </c:ext>
              </c:extLst>
            </c:dLbl>
            <c:dLbl>
              <c:idx val="3"/>
              <c:layout>
                <c:manualLayout>
                  <c:x val="-6.1111111111111109E-2"/>
                  <c:y val="-4.629629629629629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6180446194225723E-2"/>
                      <c:h val="9.2523330417031202E-2"/>
                    </c:manualLayout>
                  </c15:layout>
                </c:ext>
                <c:ext xmlns:c16="http://schemas.microsoft.com/office/drawing/2014/chart" uri="{C3380CC4-5D6E-409C-BE32-E72D297353CC}">
                  <c16:uniqueId val="{00000004-2DC2-4422-A389-A2126EDE1772}"/>
                </c:ext>
              </c:extLst>
            </c:dLbl>
            <c:dLbl>
              <c:idx val="4"/>
              <c:layout>
                <c:manualLayout>
                  <c:x val="-5.2777777777777826E-2"/>
                  <c:y val="-0.277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C2-4422-A389-A2126EDE1772}"/>
                </c:ext>
              </c:extLst>
            </c:dLbl>
            <c:dLbl>
              <c:idx val="5"/>
              <c:layout>
                <c:manualLayout>
                  <c:x val="-7.7777777777777779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C2-4422-A389-A2126EDE1772}"/>
                </c:ext>
              </c:extLst>
            </c:dLbl>
            <c:dLbl>
              <c:idx val="6"/>
              <c:layout>
                <c:manualLayout>
                  <c:x val="-5.2777777777777778E-2"/>
                  <c:y val="-8.7962962962963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C2-4422-A389-A2126EDE1772}"/>
                </c:ext>
              </c:extLst>
            </c:dLbl>
            <c:dLbl>
              <c:idx val="7"/>
              <c:layout>
                <c:manualLayout>
                  <c:x val="-4.0231700895208007E-2"/>
                  <c:y val="-0.316476152881945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C2-4422-A389-A2126EDE1772}"/>
                </c:ext>
              </c:extLst>
            </c:dLbl>
            <c:dLbl>
              <c:idx val="8"/>
              <c:layout>
                <c:manualLayout>
                  <c:x val="-8.3333333333333329E-2"/>
                  <c:y val="-6.9444444444444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C2-4422-A389-A2126EDE1772}"/>
                </c:ext>
              </c:extLst>
            </c:dLbl>
            <c:dLbl>
              <c:idx val="9"/>
              <c:layout>
                <c:manualLayout>
                  <c:x val="-4.1666666666666768E-2"/>
                  <c:y val="9.2592592592592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C2-4422-A389-A2126EDE1772}"/>
                </c:ext>
              </c:extLst>
            </c:dLbl>
            <c:dLbl>
              <c:idx val="10"/>
              <c:layout>
                <c:manualLayout>
                  <c:x val="-2.7777777777777776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C2-4422-A389-A2126EDE1772}"/>
                </c:ext>
              </c:extLst>
            </c:dLbl>
            <c:dLbl>
              <c:idx val="11"/>
              <c:layout>
                <c:manualLayout>
                  <c:x val="-5.7662010258196401E-2"/>
                  <c:y val="-0.413881536575738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DC2-4422-A389-A2126EDE1772}"/>
                </c:ext>
              </c:extLst>
            </c:dLbl>
            <c:dLbl>
              <c:idx val="12"/>
              <c:layout>
                <c:manualLayout>
                  <c:x val="-5.2777777777777674E-2"/>
                  <c:y val="-0.259259259259259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DC2-4422-A389-A2126EDE1772}"/>
                </c:ext>
              </c:extLst>
            </c:dLbl>
            <c:dLbl>
              <c:idx val="13"/>
              <c:layout>
                <c:manualLayout>
                  <c:x val="-4.7222222222222221E-2"/>
                  <c:y val="-0.152777777777777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DC2-4422-A389-A2126EDE1772}"/>
                </c:ext>
              </c:extLst>
            </c:dLbl>
            <c:dLbl>
              <c:idx val="14"/>
              <c:layout>
                <c:manualLayout>
                  <c:x val="-4.1666666666666768E-2"/>
                  <c:y val="-0.12500000000000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DC2-4422-A389-A2126EDE17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'5.1 BIG Exp'!$B$51:$B$65</c:f>
              <c:numCache>
                <c:formatCode>0_);\(0\)</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'5.1 BIG Exp'!$D$51:$D$65</c:f>
              <c:numCache>
                <c:formatCode>0.0%</c:formatCode>
                <c:ptCount val="15"/>
                <c:pt idx="0">
                  <c:v>4.0989468520241081E-2</c:v>
                </c:pt>
                <c:pt idx="1">
                  <c:v>2.3301186642828237E-2</c:v>
                </c:pt>
                <c:pt idx="2">
                  <c:v>3.1926618810723686E-2</c:v>
                </c:pt>
                <c:pt idx="3">
                  <c:v>4.3575270657623677E-2</c:v>
                </c:pt>
                <c:pt idx="4">
                  <c:v>9.7336425670657752E-3</c:v>
                </c:pt>
                <c:pt idx="5">
                  <c:v>5.5620699873424072E-2</c:v>
                </c:pt>
                <c:pt idx="6">
                  <c:v>5.056529855758702E-2</c:v>
                </c:pt>
                <c:pt idx="7">
                  <c:v>1.3382849846768182E-2</c:v>
                </c:pt>
                <c:pt idx="8">
                  <c:v>6.3076370120527719E-2</c:v>
                </c:pt>
                <c:pt idx="9">
                  <c:v>8.2661446598427807E-2</c:v>
                </c:pt>
                <c:pt idx="10">
                  <c:v>6.9614658835809098E-2</c:v>
                </c:pt>
                <c:pt idx="11">
                  <c:v>1.2599764874019649E-2</c:v>
                </c:pt>
                <c:pt idx="12">
                  <c:v>3.5180694507323008E-2</c:v>
                </c:pt>
                <c:pt idx="13">
                  <c:v>6.1551354848204891E-2</c:v>
                </c:pt>
                <c:pt idx="14">
                  <c:v>6.8090862560346299E-2</c:v>
                </c:pt>
              </c:numCache>
            </c:numRef>
          </c:val>
          <c:smooth val="0"/>
          <c:extLst>
            <c:ext xmlns:c16="http://schemas.microsoft.com/office/drawing/2014/chart" uri="{C3380CC4-5D6E-409C-BE32-E72D297353CC}">
              <c16:uniqueId val="{00000010-2DC2-4422-A389-A2126EDE1772}"/>
            </c:ext>
          </c:extLst>
        </c:ser>
        <c:dLbls>
          <c:showLegendKey val="0"/>
          <c:showVal val="0"/>
          <c:showCatName val="0"/>
          <c:showSerName val="0"/>
          <c:showPercent val="0"/>
          <c:showBubbleSize val="0"/>
        </c:dLbls>
        <c:marker val="1"/>
        <c:smooth val="0"/>
        <c:axId val="1148720255"/>
        <c:axId val="1148718815"/>
      </c:lineChart>
      <c:catAx>
        <c:axId val="1148716895"/>
        <c:scaling>
          <c:orientation val="minMax"/>
        </c:scaling>
        <c:delete val="0"/>
        <c:axPos val="b"/>
        <c:numFmt formatCode="0_);\(0\)"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48711615"/>
        <c:crosses val="autoZero"/>
        <c:auto val="1"/>
        <c:lblAlgn val="ctr"/>
        <c:lblOffset val="100"/>
        <c:noMultiLvlLbl val="0"/>
      </c:catAx>
      <c:valAx>
        <c:axId val="1148711615"/>
        <c:scaling>
          <c:orientation val="minMax"/>
        </c:scaling>
        <c:delete val="0"/>
        <c:axPos val="l"/>
        <c:majorGridlines>
          <c:spPr>
            <a:ln w="9525" cap="flat" cmpd="sng" algn="ctr">
              <a:solidFill>
                <a:schemeClr val="tx2">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48716895"/>
        <c:crosses val="autoZero"/>
        <c:crossBetween val="between"/>
      </c:valAx>
      <c:valAx>
        <c:axId val="1148718815"/>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48720255"/>
        <c:crosses val="max"/>
        <c:crossBetween val="between"/>
      </c:valAx>
      <c:catAx>
        <c:axId val="1148720255"/>
        <c:scaling>
          <c:orientation val="minMax"/>
        </c:scaling>
        <c:delete val="1"/>
        <c:axPos val="b"/>
        <c:numFmt formatCode="0_);\(0\)" sourceLinked="1"/>
        <c:majorTickMark val="none"/>
        <c:minorTickMark val="none"/>
        <c:tickLblPos val="nextTo"/>
        <c:crossAx val="11487188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Interest Rate Trends </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manualLayout>
          <c:layoutTarget val="inner"/>
          <c:xMode val="edge"/>
          <c:yMode val="edge"/>
          <c:x val="5.2227055688835358E-2"/>
          <c:y val="9.7097530881088648E-2"/>
          <c:w val="0.91882337716634976"/>
          <c:h val="0.70599911098334178"/>
        </c:manualLayout>
      </c:layout>
      <c:lineChart>
        <c:grouping val="standard"/>
        <c:varyColors val="0"/>
        <c:ser>
          <c:idx val="0"/>
          <c:order val="0"/>
          <c:tx>
            <c:strRef>
              <c:f>'1.3C - Interest Rates (Macro)'!$E$7</c:f>
              <c:strCache>
                <c:ptCount val="1"/>
                <c:pt idx="0">
                  <c:v>10-Year Treasury</c:v>
                </c:pt>
              </c:strCache>
            </c:strRef>
          </c:tx>
          <c:spPr>
            <a:ln w="38100" cap="rnd">
              <a:solidFill>
                <a:schemeClr val="accent1">
                  <a:shade val="76000"/>
                </a:schemeClr>
              </a:solidFill>
              <a:round/>
            </a:ln>
            <a:effectLst/>
          </c:spPr>
          <c:marker>
            <c:symbol val="none"/>
          </c:marker>
          <c:dLbls>
            <c:delete val="1"/>
          </c:dLbls>
          <c:cat>
            <c:numRef>
              <c:f>'1.3C - Interest Rates (Macro)'!$A$38:$A$313</c:f>
              <c:numCache>
                <c:formatCode>0</c:formatCode>
                <c:ptCount val="276"/>
                <c:pt idx="0">
                  <c:v>2003</c:v>
                </c:pt>
                <c:pt idx="1">
                  <c:v>2003</c:v>
                </c:pt>
                <c:pt idx="2">
                  <c:v>2003</c:v>
                </c:pt>
                <c:pt idx="3">
                  <c:v>2003</c:v>
                </c:pt>
                <c:pt idx="4">
                  <c:v>2003</c:v>
                </c:pt>
                <c:pt idx="5">
                  <c:v>2003</c:v>
                </c:pt>
                <c:pt idx="6">
                  <c:v>2003</c:v>
                </c:pt>
                <c:pt idx="7">
                  <c:v>2003</c:v>
                </c:pt>
                <c:pt idx="8">
                  <c:v>2003</c:v>
                </c:pt>
                <c:pt idx="9">
                  <c:v>2003</c:v>
                </c:pt>
                <c:pt idx="10">
                  <c:v>2003</c:v>
                </c:pt>
                <c:pt idx="11">
                  <c:v>2003</c:v>
                </c:pt>
                <c:pt idx="12">
                  <c:v>2004</c:v>
                </c:pt>
                <c:pt idx="13">
                  <c:v>2004</c:v>
                </c:pt>
                <c:pt idx="14">
                  <c:v>2004</c:v>
                </c:pt>
                <c:pt idx="15">
                  <c:v>2004</c:v>
                </c:pt>
                <c:pt idx="16">
                  <c:v>2004</c:v>
                </c:pt>
                <c:pt idx="17">
                  <c:v>2004</c:v>
                </c:pt>
                <c:pt idx="18">
                  <c:v>2004</c:v>
                </c:pt>
                <c:pt idx="19">
                  <c:v>2004</c:v>
                </c:pt>
                <c:pt idx="20">
                  <c:v>2004</c:v>
                </c:pt>
                <c:pt idx="21">
                  <c:v>2004</c:v>
                </c:pt>
                <c:pt idx="22">
                  <c:v>2004</c:v>
                </c:pt>
                <c:pt idx="23">
                  <c:v>2004</c:v>
                </c:pt>
                <c:pt idx="24">
                  <c:v>2005</c:v>
                </c:pt>
                <c:pt idx="25">
                  <c:v>2005</c:v>
                </c:pt>
                <c:pt idx="26">
                  <c:v>2005</c:v>
                </c:pt>
                <c:pt idx="27">
                  <c:v>2005</c:v>
                </c:pt>
                <c:pt idx="28">
                  <c:v>2005</c:v>
                </c:pt>
                <c:pt idx="29">
                  <c:v>2005</c:v>
                </c:pt>
                <c:pt idx="30">
                  <c:v>2005</c:v>
                </c:pt>
                <c:pt idx="31">
                  <c:v>2005</c:v>
                </c:pt>
                <c:pt idx="32">
                  <c:v>2005</c:v>
                </c:pt>
                <c:pt idx="33">
                  <c:v>2005</c:v>
                </c:pt>
                <c:pt idx="34">
                  <c:v>2005</c:v>
                </c:pt>
                <c:pt idx="35">
                  <c:v>2005</c:v>
                </c:pt>
                <c:pt idx="36">
                  <c:v>2006</c:v>
                </c:pt>
                <c:pt idx="37">
                  <c:v>2006</c:v>
                </c:pt>
                <c:pt idx="38">
                  <c:v>2006</c:v>
                </c:pt>
                <c:pt idx="39">
                  <c:v>2006</c:v>
                </c:pt>
                <c:pt idx="40">
                  <c:v>2006</c:v>
                </c:pt>
                <c:pt idx="41">
                  <c:v>2006</c:v>
                </c:pt>
                <c:pt idx="42">
                  <c:v>2006</c:v>
                </c:pt>
                <c:pt idx="43">
                  <c:v>2006</c:v>
                </c:pt>
                <c:pt idx="44">
                  <c:v>2006</c:v>
                </c:pt>
                <c:pt idx="45">
                  <c:v>2006</c:v>
                </c:pt>
                <c:pt idx="46">
                  <c:v>2006</c:v>
                </c:pt>
                <c:pt idx="47">
                  <c:v>2006</c:v>
                </c:pt>
                <c:pt idx="48">
                  <c:v>2007</c:v>
                </c:pt>
                <c:pt idx="49">
                  <c:v>2007</c:v>
                </c:pt>
                <c:pt idx="50">
                  <c:v>2007</c:v>
                </c:pt>
                <c:pt idx="51">
                  <c:v>2007</c:v>
                </c:pt>
                <c:pt idx="52">
                  <c:v>2007</c:v>
                </c:pt>
                <c:pt idx="53">
                  <c:v>2007</c:v>
                </c:pt>
                <c:pt idx="54">
                  <c:v>2007</c:v>
                </c:pt>
                <c:pt idx="55">
                  <c:v>2007</c:v>
                </c:pt>
                <c:pt idx="56">
                  <c:v>2007</c:v>
                </c:pt>
                <c:pt idx="57">
                  <c:v>2007</c:v>
                </c:pt>
                <c:pt idx="58">
                  <c:v>2007</c:v>
                </c:pt>
                <c:pt idx="59">
                  <c:v>2007</c:v>
                </c:pt>
                <c:pt idx="60">
                  <c:v>2008</c:v>
                </c:pt>
                <c:pt idx="61">
                  <c:v>2008</c:v>
                </c:pt>
                <c:pt idx="62">
                  <c:v>2008</c:v>
                </c:pt>
                <c:pt idx="63">
                  <c:v>2008</c:v>
                </c:pt>
                <c:pt idx="64">
                  <c:v>2008</c:v>
                </c:pt>
                <c:pt idx="65">
                  <c:v>2008</c:v>
                </c:pt>
                <c:pt idx="66">
                  <c:v>2008</c:v>
                </c:pt>
                <c:pt idx="67">
                  <c:v>2008</c:v>
                </c:pt>
                <c:pt idx="68">
                  <c:v>2008</c:v>
                </c:pt>
                <c:pt idx="69">
                  <c:v>2008</c:v>
                </c:pt>
                <c:pt idx="70">
                  <c:v>2008</c:v>
                </c:pt>
                <c:pt idx="71">
                  <c:v>2008</c:v>
                </c:pt>
                <c:pt idx="72">
                  <c:v>2009</c:v>
                </c:pt>
                <c:pt idx="73">
                  <c:v>2009</c:v>
                </c:pt>
                <c:pt idx="74">
                  <c:v>2009</c:v>
                </c:pt>
                <c:pt idx="75">
                  <c:v>2009</c:v>
                </c:pt>
                <c:pt idx="76">
                  <c:v>2009</c:v>
                </c:pt>
                <c:pt idx="77">
                  <c:v>2009</c:v>
                </c:pt>
                <c:pt idx="78">
                  <c:v>2009</c:v>
                </c:pt>
                <c:pt idx="79">
                  <c:v>2009</c:v>
                </c:pt>
                <c:pt idx="80">
                  <c:v>2009</c:v>
                </c:pt>
                <c:pt idx="81">
                  <c:v>2009</c:v>
                </c:pt>
                <c:pt idx="82">
                  <c:v>2009</c:v>
                </c:pt>
                <c:pt idx="83">
                  <c:v>2009</c:v>
                </c:pt>
                <c:pt idx="84">
                  <c:v>2010</c:v>
                </c:pt>
                <c:pt idx="85">
                  <c:v>2010</c:v>
                </c:pt>
                <c:pt idx="86">
                  <c:v>2010</c:v>
                </c:pt>
                <c:pt idx="87">
                  <c:v>2010</c:v>
                </c:pt>
                <c:pt idx="88">
                  <c:v>2010</c:v>
                </c:pt>
                <c:pt idx="89">
                  <c:v>2010</c:v>
                </c:pt>
                <c:pt idx="90">
                  <c:v>2010</c:v>
                </c:pt>
                <c:pt idx="91">
                  <c:v>2010</c:v>
                </c:pt>
                <c:pt idx="92">
                  <c:v>2010</c:v>
                </c:pt>
                <c:pt idx="93">
                  <c:v>2010</c:v>
                </c:pt>
                <c:pt idx="94">
                  <c:v>2010</c:v>
                </c:pt>
                <c:pt idx="95">
                  <c:v>2010</c:v>
                </c:pt>
                <c:pt idx="96">
                  <c:v>2011</c:v>
                </c:pt>
                <c:pt idx="97">
                  <c:v>2011</c:v>
                </c:pt>
                <c:pt idx="98">
                  <c:v>2011</c:v>
                </c:pt>
                <c:pt idx="99">
                  <c:v>2011</c:v>
                </c:pt>
                <c:pt idx="100">
                  <c:v>2011</c:v>
                </c:pt>
                <c:pt idx="101">
                  <c:v>2011</c:v>
                </c:pt>
                <c:pt idx="102">
                  <c:v>2011</c:v>
                </c:pt>
                <c:pt idx="103">
                  <c:v>2011</c:v>
                </c:pt>
                <c:pt idx="104">
                  <c:v>2011</c:v>
                </c:pt>
                <c:pt idx="105">
                  <c:v>2011</c:v>
                </c:pt>
                <c:pt idx="106">
                  <c:v>2011</c:v>
                </c:pt>
                <c:pt idx="107">
                  <c:v>2011</c:v>
                </c:pt>
                <c:pt idx="108">
                  <c:v>2012</c:v>
                </c:pt>
                <c:pt idx="109">
                  <c:v>2012</c:v>
                </c:pt>
                <c:pt idx="110">
                  <c:v>2012</c:v>
                </c:pt>
                <c:pt idx="111">
                  <c:v>2012</c:v>
                </c:pt>
                <c:pt idx="112">
                  <c:v>2012</c:v>
                </c:pt>
                <c:pt idx="113">
                  <c:v>2012</c:v>
                </c:pt>
                <c:pt idx="114">
                  <c:v>2012</c:v>
                </c:pt>
                <c:pt idx="115">
                  <c:v>2012</c:v>
                </c:pt>
                <c:pt idx="116">
                  <c:v>2012</c:v>
                </c:pt>
                <c:pt idx="117">
                  <c:v>2012</c:v>
                </c:pt>
                <c:pt idx="118">
                  <c:v>2012</c:v>
                </c:pt>
                <c:pt idx="119">
                  <c:v>2012</c:v>
                </c:pt>
                <c:pt idx="120">
                  <c:v>2013</c:v>
                </c:pt>
                <c:pt idx="121">
                  <c:v>2013</c:v>
                </c:pt>
                <c:pt idx="122">
                  <c:v>2013</c:v>
                </c:pt>
                <c:pt idx="123">
                  <c:v>2013</c:v>
                </c:pt>
                <c:pt idx="124">
                  <c:v>2013</c:v>
                </c:pt>
                <c:pt idx="125">
                  <c:v>2013</c:v>
                </c:pt>
                <c:pt idx="126">
                  <c:v>2013</c:v>
                </c:pt>
                <c:pt idx="127">
                  <c:v>2013</c:v>
                </c:pt>
                <c:pt idx="128">
                  <c:v>2013</c:v>
                </c:pt>
                <c:pt idx="129">
                  <c:v>2013</c:v>
                </c:pt>
                <c:pt idx="130">
                  <c:v>2013</c:v>
                </c:pt>
                <c:pt idx="131">
                  <c:v>2013</c:v>
                </c:pt>
                <c:pt idx="132">
                  <c:v>2014</c:v>
                </c:pt>
                <c:pt idx="133">
                  <c:v>2014</c:v>
                </c:pt>
                <c:pt idx="134">
                  <c:v>2014</c:v>
                </c:pt>
                <c:pt idx="135">
                  <c:v>2014</c:v>
                </c:pt>
                <c:pt idx="136">
                  <c:v>2014</c:v>
                </c:pt>
                <c:pt idx="137">
                  <c:v>2014</c:v>
                </c:pt>
                <c:pt idx="138">
                  <c:v>2014</c:v>
                </c:pt>
                <c:pt idx="139">
                  <c:v>2014</c:v>
                </c:pt>
                <c:pt idx="140">
                  <c:v>2014</c:v>
                </c:pt>
                <c:pt idx="141">
                  <c:v>2014</c:v>
                </c:pt>
                <c:pt idx="142">
                  <c:v>2014</c:v>
                </c:pt>
                <c:pt idx="143">
                  <c:v>2014</c:v>
                </c:pt>
                <c:pt idx="144">
                  <c:v>2015</c:v>
                </c:pt>
                <c:pt idx="145">
                  <c:v>2015</c:v>
                </c:pt>
                <c:pt idx="146">
                  <c:v>2015</c:v>
                </c:pt>
                <c:pt idx="147">
                  <c:v>2015</c:v>
                </c:pt>
                <c:pt idx="148">
                  <c:v>2015</c:v>
                </c:pt>
                <c:pt idx="149">
                  <c:v>2015</c:v>
                </c:pt>
                <c:pt idx="150">
                  <c:v>2015</c:v>
                </c:pt>
                <c:pt idx="151">
                  <c:v>2015</c:v>
                </c:pt>
                <c:pt idx="152">
                  <c:v>2015</c:v>
                </c:pt>
                <c:pt idx="153">
                  <c:v>2015</c:v>
                </c:pt>
                <c:pt idx="154">
                  <c:v>2015</c:v>
                </c:pt>
                <c:pt idx="155">
                  <c:v>2015</c:v>
                </c:pt>
                <c:pt idx="156">
                  <c:v>2016</c:v>
                </c:pt>
                <c:pt idx="157">
                  <c:v>2016</c:v>
                </c:pt>
                <c:pt idx="158">
                  <c:v>2016</c:v>
                </c:pt>
                <c:pt idx="159">
                  <c:v>2016</c:v>
                </c:pt>
                <c:pt idx="160">
                  <c:v>2016</c:v>
                </c:pt>
                <c:pt idx="161">
                  <c:v>2016</c:v>
                </c:pt>
                <c:pt idx="162">
                  <c:v>2016</c:v>
                </c:pt>
                <c:pt idx="163">
                  <c:v>2016</c:v>
                </c:pt>
                <c:pt idx="164">
                  <c:v>2016</c:v>
                </c:pt>
                <c:pt idx="165">
                  <c:v>2016</c:v>
                </c:pt>
                <c:pt idx="166">
                  <c:v>2016</c:v>
                </c:pt>
                <c:pt idx="167">
                  <c:v>2016</c:v>
                </c:pt>
                <c:pt idx="168">
                  <c:v>2017</c:v>
                </c:pt>
                <c:pt idx="169">
                  <c:v>2017</c:v>
                </c:pt>
                <c:pt idx="170">
                  <c:v>2017</c:v>
                </c:pt>
                <c:pt idx="171">
                  <c:v>2017</c:v>
                </c:pt>
                <c:pt idx="172">
                  <c:v>2017</c:v>
                </c:pt>
                <c:pt idx="173">
                  <c:v>2017</c:v>
                </c:pt>
                <c:pt idx="174">
                  <c:v>2017</c:v>
                </c:pt>
                <c:pt idx="175">
                  <c:v>2017</c:v>
                </c:pt>
                <c:pt idx="176">
                  <c:v>2017</c:v>
                </c:pt>
                <c:pt idx="177">
                  <c:v>2017</c:v>
                </c:pt>
                <c:pt idx="178">
                  <c:v>2017</c:v>
                </c:pt>
                <c:pt idx="179">
                  <c:v>2017</c:v>
                </c:pt>
                <c:pt idx="180">
                  <c:v>2018</c:v>
                </c:pt>
                <c:pt idx="181">
                  <c:v>2018</c:v>
                </c:pt>
                <c:pt idx="182">
                  <c:v>2018</c:v>
                </c:pt>
                <c:pt idx="183">
                  <c:v>2018</c:v>
                </c:pt>
                <c:pt idx="184">
                  <c:v>2018</c:v>
                </c:pt>
                <c:pt idx="185">
                  <c:v>2018</c:v>
                </c:pt>
                <c:pt idx="186">
                  <c:v>2018</c:v>
                </c:pt>
                <c:pt idx="187">
                  <c:v>2018</c:v>
                </c:pt>
                <c:pt idx="188">
                  <c:v>2018</c:v>
                </c:pt>
                <c:pt idx="189">
                  <c:v>2018</c:v>
                </c:pt>
                <c:pt idx="190">
                  <c:v>2018</c:v>
                </c:pt>
                <c:pt idx="191">
                  <c:v>2018</c:v>
                </c:pt>
                <c:pt idx="192">
                  <c:v>2019</c:v>
                </c:pt>
                <c:pt idx="193">
                  <c:v>2019</c:v>
                </c:pt>
                <c:pt idx="194">
                  <c:v>2019</c:v>
                </c:pt>
                <c:pt idx="195">
                  <c:v>2019</c:v>
                </c:pt>
                <c:pt idx="196">
                  <c:v>2019</c:v>
                </c:pt>
                <c:pt idx="197">
                  <c:v>2019</c:v>
                </c:pt>
                <c:pt idx="198">
                  <c:v>2019</c:v>
                </c:pt>
                <c:pt idx="199">
                  <c:v>2019</c:v>
                </c:pt>
                <c:pt idx="200">
                  <c:v>2019</c:v>
                </c:pt>
                <c:pt idx="201">
                  <c:v>2019</c:v>
                </c:pt>
                <c:pt idx="202">
                  <c:v>2019</c:v>
                </c:pt>
                <c:pt idx="203">
                  <c:v>2019</c:v>
                </c:pt>
                <c:pt idx="204">
                  <c:v>2020</c:v>
                </c:pt>
                <c:pt idx="205">
                  <c:v>2020</c:v>
                </c:pt>
                <c:pt idx="206">
                  <c:v>2020</c:v>
                </c:pt>
                <c:pt idx="207">
                  <c:v>2020</c:v>
                </c:pt>
                <c:pt idx="208">
                  <c:v>2020</c:v>
                </c:pt>
                <c:pt idx="209">
                  <c:v>2020</c:v>
                </c:pt>
                <c:pt idx="210">
                  <c:v>2020</c:v>
                </c:pt>
                <c:pt idx="211">
                  <c:v>2020</c:v>
                </c:pt>
                <c:pt idx="212">
                  <c:v>2020</c:v>
                </c:pt>
                <c:pt idx="213">
                  <c:v>2020</c:v>
                </c:pt>
                <c:pt idx="214">
                  <c:v>2020</c:v>
                </c:pt>
                <c:pt idx="215">
                  <c:v>2020</c:v>
                </c:pt>
                <c:pt idx="216">
                  <c:v>2021</c:v>
                </c:pt>
                <c:pt idx="217">
                  <c:v>2021</c:v>
                </c:pt>
                <c:pt idx="218">
                  <c:v>2021</c:v>
                </c:pt>
                <c:pt idx="219">
                  <c:v>2021</c:v>
                </c:pt>
                <c:pt idx="220">
                  <c:v>2021</c:v>
                </c:pt>
                <c:pt idx="221">
                  <c:v>2021</c:v>
                </c:pt>
                <c:pt idx="222">
                  <c:v>2021</c:v>
                </c:pt>
                <c:pt idx="223">
                  <c:v>2021</c:v>
                </c:pt>
                <c:pt idx="224">
                  <c:v>2021</c:v>
                </c:pt>
                <c:pt idx="225">
                  <c:v>2021</c:v>
                </c:pt>
                <c:pt idx="226">
                  <c:v>2021</c:v>
                </c:pt>
                <c:pt idx="227">
                  <c:v>2021</c:v>
                </c:pt>
                <c:pt idx="228">
                  <c:v>2022</c:v>
                </c:pt>
                <c:pt idx="229">
                  <c:v>2022</c:v>
                </c:pt>
                <c:pt idx="230">
                  <c:v>2022</c:v>
                </c:pt>
                <c:pt idx="231">
                  <c:v>2022</c:v>
                </c:pt>
                <c:pt idx="232">
                  <c:v>2022</c:v>
                </c:pt>
                <c:pt idx="233">
                  <c:v>2022</c:v>
                </c:pt>
                <c:pt idx="234">
                  <c:v>2022</c:v>
                </c:pt>
                <c:pt idx="235">
                  <c:v>2022</c:v>
                </c:pt>
                <c:pt idx="236">
                  <c:v>2022</c:v>
                </c:pt>
                <c:pt idx="237">
                  <c:v>2022</c:v>
                </c:pt>
                <c:pt idx="238">
                  <c:v>2022</c:v>
                </c:pt>
                <c:pt idx="239">
                  <c:v>2022</c:v>
                </c:pt>
                <c:pt idx="240">
                  <c:v>2023</c:v>
                </c:pt>
                <c:pt idx="241">
                  <c:v>2023</c:v>
                </c:pt>
                <c:pt idx="242">
                  <c:v>2023</c:v>
                </c:pt>
                <c:pt idx="243">
                  <c:v>2023</c:v>
                </c:pt>
                <c:pt idx="244">
                  <c:v>2023</c:v>
                </c:pt>
                <c:pt idx="245">
                  <c:v>2023</c:v>
                </c:pt>
                <c:pt idx="246">
                  <c:v>2023</c:v>
                </c:pt>
                <c:pt idx="247">
                  <c:v>2023</c:v>
                </c:pt>
                <c:pt idx="248">
                  <c:v>2023</c:v>
                </c:pt>
                <c:pt idx="249">
                  <c:v>2023</c:v>
                </c:pt>
                <c:pt idx="250">
                  <c:v>2023</c:v>
                </c:pt>
                <c:pt idx="251">
                  <c:v>2023</c:v>
                </c:pt>
                <c:pt idx="252">
                  <c:v>2024</c:v>
                </c:pt>
                <c:pt idx="253">
                  <c:v>2024</c:v>
                </c:pt>
                <c:pt idx="254">
                  <c:v>2024</c:v>
                </c:pt>
                <c:pt idx="255">
                  <c:v>2024</c:v>
                </c:pt>
                <c:pt idx="256">
                  <c:v>2024</c:v>
                </c:pt>
                <c:pt idx="257">
                  <c:v>2024</c:v>
                </c:pt>
                <c:pt idx="258">
                  <c:v>2024</c:v>
                </c:pt>
                <c:pt idx="259">
                  <c:v>2024</c:v>
                </c:pt>
                <c:pt idx="260">
                  <c:v>2024</c:v>
                </c:pt>
                <c:pt idx="261">
                  <c:v>2024</c:v>
                </c:pt>
                <c:pt idx="262">
                  <c:v>2024</c:v>
                </c:pt>
                <c:pt idx="263">
                  <c:v>2024</c:v>
                </c:pt>
                <c:pt idx="264">
                  <c:v>2025</c:v>
                </c:pt>
                <c:pt idx="265">
                  <c:v>2025</c:v>
                </c:pt>
                <c:pt idx="266">
                  <c:v>2025</c:v>
                </c:pt>
                <c:pt idx="267">
                  <c:v>2025</c:v>
                </c:pt>
                <c:pt idx="268">
                  <c:v>2025</c:v>
                </c:pt>
                <c:pt idx="269">
                  <c:v>2025</c:v>
                </c:pt>
                <c:pt idx="270">
                  <c:v>2025</c:v>
                </c:pt>
                <c:pt idx="271">
                  <c:v>2025</c:v>
                </c:pt>
                <c:pt idx="272">
                  <c:v>2025</c:v>
                </c:pt>
                <c:pt idx="273">
                  <c:v>2025</c:v>
                </c:pt>
                <c:pt idx="274">
                  <c:v>2025</c:v>
                </c:pt>
                <c:pt idx="275">
                  <c:v>2025</c:v>
                </c:pt>
              </c:numCache>
            </c:numRef>
          </c:cat>
          <c:val>
            <c:numRef>
              <c:f>'1.3C - Interest Rates (Macro)'!$E$38:$E$313</c:f>
              <c:numCache>
                <c:formatCode>0.00%</c:formatCode>
                <c:ptCount val="276"/>
                <c:pt idx="0">
                  <c:v>4.0500000000000001E-2</c:v>
                </c:pt>
                <c:pt idx="1">
                  <c:v>3.9E-2</c:v>
                </c:pt>
                <c:pt idx="2">
                  <c:v>3.8100000000000002E-2</c:v>
                </c:pt>
                <c:pt idx="3">
                  <c:v>3.9599999999999996E-2</c:v>
                </c:pt>
                <c:pt idx="4">
                  <c:v>3.5699999999999996E-2</c:v>
                </c:pt>
                <c:pt idx="5">
                  <c:v>3.3300000000000003E-2</c:v>
                </c:pt>
                <c:pt idx="6">
                  <c:v>3.9800000000000002E-2</c:v>
                </c:pt>
                <c:pt idx="7">
                  <c:v>4.4500000000000005E-2</c:v>
                </c:pt>
                <c:pt idx="8">
                  <c:v>4.2699999999999995E-2</c:v>
                </c:pt>
                <c:pt idx="9">
                  <c:v>4.2900000000000001E-2</c:v>
                </c:pt>
                <c:pt idx="10">
                  <c:v>4.2999999999999997E-2</c:v>
                </c:pt>
                <c:pt idx="11">
                  <c:v>4.2699999999999995E-2</c:v>
                </c:pt>
                <c:pt idx="12">
                  <c:v>4.1500000000000002E-2</c:v>
                </c:pt>
                <c:pt idx="13">
                  <c:v>4.0800000000000003E-2</c:v>
                </c:pt>
                <c:pt idx="14">
                  <c:v>3.8300000000000001E-2</c:v>
                </c:pt>
                <c:pt idx="15">
                  <c:v>4.3499999999999997E-2</c:v>
                </c:pt>
                <c:pt idx="16">
                  <c:v>4.7199999999999999E-2</c:v>
                </c:pt>
                <c:pt idx="17">
                  <c:v>4.7300000000000002E-2</c:v>
                </c:pt>
                <c:pt idx="18">
                  <c:v>4.4999999999999998E-2</c:v>
                </c:pt>
                <c:pt idx="19">
                  <c:v>4.2800000000000005E-2</c:v>
                </c:pt>
                <c:pt idx="20">
                  <c:v>4.1299999999999996E-2</c:v>
                </c:pt>
                <c:pt idx="21">
                  <c:v>4.0999999999999995E-2</c:v>
                </c:pt>
                <c:pt idx="22">
                  <c:v>4.1900000000000007E-2</c:v>
                </c:pt>
                <c:pt idx="23">
                  <c:v>4.2300000000000004E-2</c:v>
                </c:pt>
                <c:pt idx="24">
                  <c:v>4.2199999999999994E-2</c:v>
                </c:pt>
                <c:pt idx="25">
                  <c:v>4.1700000000000001E-2</c:v>
                </c:pt>
                <c:pt idx="26">
                  <c:v>4.4999999999999998E-2</c:v>
                </c:pt>
                <c:pt idx="27">
                  <c:v>4.3400000000000001E-2</c:v>
                </c:pt>
                <c:pt idx="28">
                  <c:v>4.1399999999999999E-2</c:v>
                </c:pt>
                <c:pt idx="29">
                  <c:v>0.04</c:v>
                </c:pt>
                <c:pt idx="30">
                  <c:v>4.1799999999999997E-2</c:v>
                </c:pt>
                <c:pt idx="31">
                  <c:v>4.2599999999999999E-2</c:v>
                </c:pt>
                <c:pt idx="32">
                  <c:v>4.2000000000000003E-2</c:v>
                </c:pt>
                <c:pt idx="33">
                  <c:v>4.4600000000000001E-2</c:v>
                </c:pt>
                <c:pt idx="34">
                  <c:v>4.5400000000000003E-2</c:v>
                </c:pt>
                <c:pt idx="35">
                  <c:v>4.4699999999999997E-2</c:v>
                </c:pt>
                <c:pt idx="36">
                  <c:v>4.4199999999999996E-2</c:v>
                </c:pt>
                <c:pt idx="37">
                  <c:v>4.5700000000000005E-2</c:v>
                </c:pt>
                <c:pt idx="38">
                  <c:v>4.7199999999999999E-2</c:v>
                </c:pt>
                <c:pt idx="39">
                  <c:v>4.99E-2</c:v>
                </c:pt>
                <c:pt idx="40">
                  <c:v>5.1100000000000007E-2</c:v>
                </c:pt>
                <c:pt idx="41">
                  <c:v>5.1100000000000007E-2</c:v>
                </c:pt>
                <c:pt idx="42">
                  <c:v>5.0900000000000001E-2</c:v>
                </c:pt>
                <c:pt idx="43">
                  <c:v>4.8799999999999996E-2</c:v>
                </c:pt>
                <c:pt idx="44">
                  <c:v>4.7199999999999999E-2</c:v>
                </c:pt>
                <c:pt idx="45">
                  <c:v>4.7300000000000002E-2</c:v>
                </c:pt>
                <c:pt idx="46">
                  <c:v>4.5999999999999999E-2</c:v>
                </c:pt>
                <c:pt idx="47">
                  <c:v>4.5599999999999995E-2</c:v>
                </c:pt>
                <c:pt idx="48">
                  <c:v>4.7599999999999996E-2</c:v>
                </c:pt>
                <c:pt idx="49">
                  <c:v>4.7199999999999999E-2</c:v>
                </c:pt>
                <c:pt idx="50">
                  <c:v>4.5599999999999995E-2</c:v>
                </c:pt>
                <c:pt idx="51">
                  <c:v>4.6900000000000004E-2</c:v>
                </c:pt>
                <c:pt idx="52">
                  <c:v>4.7500000000000001E-2</c:v>
                </c:pt>
                <c:pt idx="53">
                  <c:v>5.0999999999999997E-2</c:v>
                </c:pt>
                <c:pt idx="54">
                  <c:v>0.05</c:v>
                </c:pt>
                <c:pt idx="55">
                  <c:v>4.6699999999999998E-2</c:v>
                </c:pt>
                <c:pt idx="56">
                  <c:v>4.5199999999999997E-2</c:v>
                </c:pt>
                <c:pt idx="57">
                  <c:v>4.53E-2</c:v>
                </c:pt>
                <c:pt idx="58">
                  <c:v>4.1500000000000002E-2</c:v>
                </c:pt>
                <c:pt idx="59">
                  <c:v>4.0999999999999995E-2</c:v>
                </c:pt>
                <c:pt idx="60">
                  <c:v>3.7400000000000003E-2</c:v>
                </c:pt>
                <c:pt idx="61">
                  <c:v>3.7400000000000003E-2</c:v>
                </c:pt>
                <c:pt idx="62">
                  <c:v>3.5099999999999999E-2</c:v>
                </c:pt>
                <c:pt idx="63">
                  <c:v>3.6799999999999999E-2</c:v>
                </c:pt>
                <c:pt idx="64">
                  <c:v>3.8800000000000001E-2</c:v>
                </c:pt>
                <c:pt idx="65">
                  <c:v>4.0999999999999995E-2</c:v>
                </c:pt>
                <c:pt idx="66">
                  <c:v>4.0099999999999997E-2</c:v>
                </c:pt>
                <c:pt idx="67">
                  <c:v>3.8900000000000004E-2</c:v>
                </c:pt>
                <c:pt idx="68">
                  <c:v>3.6900000000000002E-2</c:v>
                </c:pt>
                <c:pt idx="69">
                  <c:v>3.8100000000000002E-2</c:v>
                </c:pt>
                <c:pt idx="70">
                  <c:v>3.5299999999999998E-2</c:v>
                </c:pt>
                <c:pt idx="71">
                  <c:v>2.4199999999999999E-2</c:v>
                </c:pt>
                <c:pt idx="72">
                  <c:v>2.52E-2</c:v>
                </c:pt>
                <c:pt idx="73">
                  <c:v>2.87E-2</c:v>
                </c:pt>
                <c:pt idx="74">
                  <c:v>2.8199999999999999E-2</c:v>
                </c:pt>
                <c:pt idx="75">
                  <c:v>2.9300000000000003E-2</c:v>
                </c:pt>
                <c:pt idx="76">
                  <c:v>3.2899999999999999E-2</c:v>
                </c:pt>
                <c:pt idx="77">
                  <c:v>3.7200000000000004E-2</c:v>
                </c:pt>
                <c:pt idx="78">
                  <c:v>3.56E-2</c:v>
                </c:pt>
                <c:pt idx="79">
                  <c:v>3.5900000000000001E-2</c:v>
                </c:pt>
                <c:pt idx="80">
                  <c:v>3.4000000000000002E-2</c:v>
                </c:pt>
                <c:pt idx="81">
                  <c:v>3.39E-2</c:v>
                </c:pt>
                <c:pt idx="82">
                  <c:v>3.4000000000000002E-2</c:v>
                </c:pt>
                <c:pt idx="83">
                  <c:v>3.5900000000000001E-2</c:v>
                </c:pt>
                <c:pt idx="84">
                  <c:v>3.73E-2</c:v>
                </c:pt>
                <c:pt idx="85">
                  <c:v>3.6900000000000002E-2</c:v>
                </c:pt>
                <c:pt idx="86">
                  <c:v>3.73E-2</c:v>
                </c:pt>
                <c:pt idx="87">
                  <c:v>3.85E-2</c:v>
                </c:pt>
                <c:pt idx="88">
                  <c:v>3.4200000000000001E-2</c:v>
                </c:pt>
                <c:pt idx="89">
                  <c:v>3.2000000000000001E-2</c:v>
                </c:pt>
                <c:pt idx="90">
                  <c:v>3.0099999999999998E-2</c:v>
                </c:pt>
                <c:pt idx="91">
                  <c:v>2.7000000000000003E-2</c:v>
                </c:pt>
                <c:pt idx="92">
                  <c:v>2.6499999999999999E-2</c:v>
                </c:pt>
                <c:pt idx="93">
                  <c:v>2.5399999999999999E-2</c:v>
                </c:pt>
                <c:pt idx="94">
                  <c:v>2.76E-2</c:v>
                </c:pt>
                <c:pt idx="95">
                  <c:v>3.2899999999999999E-2</c:v>
                </c:pt>
                <c:pt idx="96">
                  <c:v>3.39E-2</c:v>
                </c:pt>
                <c:pt idx="97">
                  <c:v>3.5799999999999998E-2</c:v>
                </c:pt>
                <c:pt idx="98">
                  <c:v>3.4099999999999998E-2</c:v>
                </c:pt>
                <c:pt idx="99">
                  <c:v>3.4599999999999999E-2</c:v>
                </c:pt>
                <c:pt idx="100">
                  <c:v>3.1699999999999999E-2</c:v>
                </c:pt>
                <c:pt idx="101">
                  <c:v>0.03</c:v>
                </c:pt>
                <c:pt idx="102">
                  <c:v>0.03</c:v>
                </c:pt>
                <c:pt idx="103">
                  <c:v>2.3E-2</c:v>
                </c:pt>
                <c:pt idx="104">
                  <c:v>1.9799999999999998E-2</c:v>
                </c:pt>
                <c:pt idx="105">
                  <c:v>2.1499999999999998E-2</c:v>
                </c:pt>
                <c:pt idx="106">
                  <c:v>2.0099999999999996E-2</c:v>
                </c:pt>
                <c:pt idx="107">
                  <c:v>1.9799999999999998E-2</c:v>
                </c:pt>
                <c:pt idx="108">
                  <c:v>1.9699999999999999E-2</c:v>
                </c:pt>
                <c:pt idx="109">
                  <c:v>1.9699999999999999E-2</c:v>
                </c:pt>
                <c:pt idx="110">
                  <c:v>2.1700000000000001E-2</c:v>
                </c:pt>
                <c:pt idx="111">
                  <c:v>2.0499999999999997E-2</c:v>
                </c:pt>
                <c:pt idx="112">
                  <c:v>1.8000000000000002E-2</c:v>
                </c:pt>
                <c:pt idx="113">
                  <c:v>1.6200000000000003E-2</c:v>
                </c:pt>
                <c:pt idx="114">
                  <c:v>1.5300000000000001E-2</c:v>
                </c:pt>
                <c:pt idx="115">
                  <c:v>1.6799999999999999E-2</c:v>
                </c:pt>
                <c:pt idx="116">
                  <c:v>1.72E-2</c:v>
                </c:pt>
                <c:pt idx="117">
                  <c:v>1.7500000000000002E-2</c:v>
                </c:pt>
                <c:pt idx="118">
                  <c:v>1.6500000000000001E-2</c:v>
                </c:pt>
                <c:pt idx="119">
                  <c:v>1.72E-2</c:v>
                </c:pt>
                <c:pt idx="120">
                  <c:v>1.9099999999999999E-2</c:v>
                </c:pt>
                <c:pt idx="121">
                  <c:v>1.9799999999999998E-2</c:v>
                </c:pt>
                <c:pt idx="122">
                  <c:v>1.9599999999999999E-2</c:v>
                </c:pt>
                <c:pt idx="123">
                  <c:v>1.7600000000000001E-2</c:v>
                </c:pt>
                <c:pt idx="124">
                  <c:v>1.9299999999999998E-2</c:v>
                </c:pt>
                <c:pt idx="125">
                  <c:v>2.3E-2</c:v>
                </c:pt>
                <c:pt idx="126">
                  <c:v>2.58E-2</c:v>
                </c:pt>
                <c:pt idx="127">
                  <c:v>2.7400000000000001E-2</c:v>
                </c:pt>
                <c:pt idx="128">
                  <c:v>2.81E-2</c:v>
                </c:pt>
                <c:pt idx="129">
                  <c:v>2.6200000000000001E-2</c:v>
                </c:pt>
                <c:pt idx="130">
                  <c:v>2.7200000000000002E-2</c:v>
                </c:pt>
                <c:pt idx="131">
                  <c:v>2.8999999999999998E-2</c:v>
                </c:pt>
                <c:pt idx="132">
                  <c:v>2.86E-2</c:v>
                </c:pt>
                <c:pt idx="133">
                  <c:v>2.7099999999999999E-2</c:v>
                </c:pt>
                <c:pt idx="134">
                  <c:v>2.7200000000000002E-2</c:v>
                </c:pt>
                <c:pt idx="135">
                  <c:v>2.7099999999999999E-2</c:v>
                </c:pt>
                <c:pt idx="136">
                  <c:v>2.5600000000000001E-2</c:v>
                </c:pt>
                <c:pt idx="137">
                  <c:v>2.6000000000000002E-2</c:v>
                </c:pt>
                <c:pt idx="138">
                  <c:v>2.5399999999999999E-2</c:v>
                </c:pt>
                <c:pt idx="139">
                  <c:v>2.4199999999999999E-2</c:v>
                </c:pt>
                <c:pt idx="140">
                  <c:v>2.53E-2</c:v>
                </c:pt>
                <c:pt idx="141">
                  <c:v>2.3E-2</c:v>
                </c:pt>
                <c:pt idx="142">
                  <c:v>2.3300000000000001E-2</c:v>
                </c:pt>
                <c:pt idx="143">
                  <c:v>2.2099999999999998E-2</c:v>
                </c:pt>
                <c:pt idx="144">
                  <c:v>1.8799999999999997E-2</c:v>
                </c:pt>
                <c:pt idx="145">
                  <c:v>1.9799999999999998E-2</c:v>
                </c:pt>
                <c:pt idx="146">
                  <c:v>2.0400000000000001E-2</c:v>
                </c:pt>
                <c:pt idx="147">
                  <c:v>1.9400000000000001E-2</c:v>
                </c:pt>
                <c:pt idx="148">
                  <c:v>2.2000000000000002E-2</c:v>
                </c:pt>
                <c:pt idx="149">
                  <c:v>2.3599999999999999E-2</c:v>
                </c:pt>
                <c:pt idx="150">
                  <c:v>2.3199999999999998E-2</c:v>
                </c:pt>
                <c:pt idx="151">
                  <c:v>2.1700000000000001E-2</c:v>
                </c:pt>
                <c:pt idx="152">
                  <c:v>2.1700000000000001E-2</c:v>
                </c:pt>
                <c:pt idx="153">
                  <c:v>2.07E-2</c:v>
                </c:pt>
                <c:pt idx="154">
                  <c:v>2.2599999999999999E-2</c:v>
                </c:pt>
                <c:pt idx="155">
                  <c:v>2.2400000000000003E-2</c:v>
                </c:pt>
                <c:pt idx="156">
                  <c:v>2.0899999999999998E-2</c:v>
                </c:pt>
                <c:pt idx="157">
                  <c:v>1.78E-2</c:v>
                </c:pt>
                <c:pt idx="158">
                  <c:v>1.89E-2</c:v>
                </c:pt>
                <c:pt idx="159">
                  <c:v>1.8100000000000002E-2</c:v>
                </c:pt>
                <c:pt idx="160">
                  <c:v>1.8100000000000002E-2</c:v>
                </c:pt>
                <c:pt idx="161">
                  <c:v>1.6399999999999998E-2</c:v>
                </c:pt>
                <c:pt idx="162">
                  <c:v>1.4999999999999999E-2</c:v>
                </c:pt>
                <c:pt idx="163">
                  <c:v>1.5600000000000001E-2</c:v>
                </c:pt>
                <c:pt idx="164">
                  <c:v>1.6299999999999999E-2</c:v>
                </c:pt>
                <c:pt idx="165">
                  <c:v>1.7600000000000001E-2</c:v>
                </c:pt>
                <c:pt idx="166">
                  <c:v>2.1400000000000002E-2</c:v>
                </c:pt>
                <c:pt idx="167">
                  <c:v>2.4900000000000002E-2</c:v>
                </c:pt>
                <c:pt idx="168">
                  <c:v>2.4300000000000002E-2</c:v>
                </c:pt>
                <c:pt idx="169">
                  <c:v>2.4199999999999999E-2</c:v>
                </c:pt>
                <c:pt idx="170">
                  <c:v>2.4799999999999999E-2</c:v>
                </c:pt>
                <c:pt idx="171">
                  <c:v>2.3E-2</c:v>
                </c:pt>
                <c:pt idx="172">
                  <c:v>2.3E-2</c:v>
                </c:pt>
                <c:pt idx="173">
                  <c:v>2.1899999999999999E-2</c:v>
                </c:pt>
                <c:pt idx="174">
                  <c:v>2.3199999999999998E-2</c:v>
                </c:pt>
                <c:pt idx="175">
                  <c:v>2.2099999999999998E-2</c:v>
                </c:pt>
                <c:pt idx="176">
                  <c:v>2.2000000000000002E-2</c:v>
                </c:pt>
                <c:pt idx="177">
                  <c:v>2.3599999999999999E-2</c:v>
                </c:pt>
                <c:pt idx="178">
                  <c:v>2.35E-2</c:v>
                </c:pt>
                <c:pt idx="179">
                  <c:v>2.4E-2</c:v>
                </c:pt>
                <c:pt idx="180">
                  <c:v>2.58E-2</c:v>
                </c:pt>
                <c:pt idx="181">
                  <c:v>2.86E-2</c:v>
                </c:pt>
                <c:pt idx="182">
                  <c:v>2.8399999999999998E-2</c:v>
                </c:pt>
                <c:pt idx="183">
                  <c:v>2.87E-2</c:v>
                </c:pt>
                <c:pt idx="184">
                  <c:v>2.98E-2</c:v>
                </c:pt>
                <c:pt idx="185">
                  <c:v>2.9100000000000001E-2</c:v>
                </c:pt>
                <c:pt idx="186">
                  <c:v>2.8900000000000002E-2</c:v>
                </c:pt>
                <c:pt idx="187">
                  <c:v>2.8900000000000002E-2</c:v>
                </c:pt>
                <c:pt idx="188">
                  <c:v>0.03</c:v>
                </c:pt>
                <c:pt idx="189">
                  <c:v>3.15E-2</c:v>
                </c:pt>
                <c:pt idx="190">
                  <c:v>3.1200000000000002E-2</c:v>
                </c:pt>
                <c:pt idx="191">
                  <c:v>2.8300000000000002E-2</c:v>
                </c:pt>
                <c:pt idx="192">
                  <c:v>2.7099999999999999E-2</c:v>
                </c:pt>
                <c:pt idx="193">
                  <c:v>2.6800000000000001E-2</c:v>
                </c:pt>
                <c:pt idx="194">
                  <c:v>2.5699999999999997E-2</c:v>
                </c:pt>
                <c:pt idx="195">
                  <c:v>2.53E-2</c:v>
                </c:pt>
                <c:pt idx="196">
                  <c:v>2.4E-2</c:v>
                </c:pt>
                <c:pt idx="197">
                  <c:v>2.07E-2</c:v>
                </c:pt>
                <c:pt idx="198">
                  <c:v>2.06E-2</c:v>
                </c:pt>
                <c:pt idx="199">
                  <c:v>1.6299999999999999E-2</c:v>
                </c:pt>
                <c:pt idx="200">
                  <c:v>1.7000000000000001E-2</c:v>
                </c:pt>
                <c:pt idx="201">
                  <c:v>1.7100000000000001E-2</c:v>
                </c:pt>
                <c:pt idx="202">
                  <c:v>1.8100000000000002E-2</c:v>
                </c:pt>
                <c:pt idx="203">
                  <c:v>1.8600000000000002E-2</c:v>
                </c:pt>
                <c:pt idx="204">
                  <c:v>1.7600000000000001E-2</c:v>
                </c:pt>
                <c:pt idx="205">
                  <c:v>1.4999999999999999E-2</c:v>
                </c:pt>
                <c:pt idx="206">
                  <c:v>8.6999999999999994E-3</c:v>
                </c:pt>
                <c:pt idx="207">
                  <c:v>6.6E-3</c:v>
                </c:pt>
                <c:pt idx="208">
                  <c:v>6.7000000000000002E-3</c:v>
                </c:pt>
                <c:pt idx="209">
                  <c:v>7.3000000000000001E-3</c:v>
                </c:pt>
                <c:pt idx="210">
                  <c:v>6.1999999999999998E-3</c:v>
                </c:pt>
                <c:pt idx="211">
                  <c:v>6.5000000000000006E-3</c:v>
                </c:pt>
                <c:pt idx="212">
                  <c:v>6.8000000000000005E-3</c:v>
                </c:pt>
                <c:pt idx="213">
                  <c:v>7.9000000000000008E-3</c:v>
                </c:pt>
                <c:pt idx="214">
                  <c:v>8.6999999999999994E-3</c:v>
                </c:pt>
                <c:pt idx="215">
                  <c:v>9.300000000000001E-3</c:v>
                </c:pt>
                <c:pt idx="216">
                  <c:v>1.0800000000000001E-2</c:v>
                </c:pt>
                <c:pt idx="217">
                  <c:v>1.26E-2</c:v>
                </c:pt>
                <c:pt idx="218">
                  <c:v>1.61E-2</c:v>
                </c:pt>
                <c:pt idx="219">
                  <c:v>1.6399999999999998E-2</c:v>
                </c:pt>
                <c:pt idx="220">
                  <c:v>1.6200000000000003E-2</c:v>
                </c:pt>
                <c:pt idx="221">
                  <c:v>1.52E-2</c:v>
                </c:pt>
                <c:pt idx="222">
                  <c:v>1.32E-2</c:v>
                </c:pt>
                <c:pt idx="223">
                  <c:v>1.2800000000000001E-2</c:v>
                </c:pt>
                <c:pt idx="224">
                  <c:v>1.37E-2</c:v>
                </c:pt>
                <c:pt idx="225">
                  <c:v>1.5800000000000002E-2</c:v>
                </c:pt>
                <c:pt idx="226">
                  <c:v>1.5600000000000001E-2</c:v>
                </c:pt>
                <c:pt idx="227">
                  <c:v>1.47E-2</c:v>
                </c:pt>
                <c:pt idx="228">
                  <c:v>1.7600000000000001E-2</c:v>
                </c:pt>
                <c:pt idx="229">
                  <c:v>1.9299999999999998E-2</c:v>
                </c:pt>
                <c:pt idx="230">
                  <c:v>2.1299999999999999E-2</c:v>
                </c:pt>
                <c:pt idx="231">
                  <c:v>2.75E-2</c:v>
                </c:pt>
                <c:pt idx="232">
                  <c:v>2.8999999999999998E-2</c:v>
                </c:pt>
                <c:pt idx="233">
                  <c:v>3.1400000000000004E-2</c:v>
                </c:pt>
                <c:pt idx="234">
                  <c:v>2.8999999999999998E-2</c:v>
                </c:pt>
                <c:pt idx="235">
                  <c:v>2.8999999999999998E-2</c:v>
                </c:pt>
                <c:pt idx="236">
                  <c:v>3.5200000000000002E-2</c:v>
                </c:pt>
                <c:pt idx="237">
                  <c:v>3.9800000000000002E-2</c:v>
                </c:pt>
                <c:pt idx="238">
                  <c:v>3.8900000000000004E-2</c:v>
                </c:pt>
                <c:pt idx="239">
                  <c:v>3.6200000000000003E-2</c:v>
                </c:pt>
                <c:pt idx="240">
                  <c:v>3.5299999999999998E-2</c:v>
                </c:pt>
                <c:pt idx="241">
                  <c:v>3.7499999999999999E-2</c:v>
                </c:pt>
                <c:pt idx="242">
                  <c:v>3.6600000000000001E-2</c:v>
                </c:pt>
                <c:pt idx="243">
                  <c:v>3.4599999999999999E-2</c:v>
                </c:pt>
                <c:pt idx="244">
                  <c:v>3.5699999999999996E-2</c:v>
                </c:pt>
                <c:pt idx="245">
                  <c:v>3.7499999999999999E-2</c:v>
                </c:pt>
                <c:pt idx="246">
                  <c:v>3.9E-2</c:v>
                </c:pt>
                <c:pt idx="247">
                  <c:v>4.1700000000000001E-2</c:v>
                </c:pt>
                <c:pt idx="248">
                  <c:v>4.3799999999999999E-2</c:v>
                </c:pt>
                <c:pt idx="249">
                  <c:v>4.8000000000000001E-2</c:v>
                </c:pt>
                <c:pt idx="250">
                  <c:v>4.4999999999999998E-2</c:v>
                </c:pt>
                <c:pt idx="251">
                  <c:v>4.0199999999999993E-2</c:v>
                </c:pt>
                <c:pt idx="252">
                  <c:v>4.0599999999999997E-2</c:v>
                </c:pt>
                <c:pt idx="253">
                  <c:v>4.2099999999999999E-2</c:v>
                </c:pt>
                <c:pt idx="254">
                  <c:v>4.2099999999999999E-2</c:v>
                </c:pt>
                <c:pt idx="255">
                  <c:v>4.5400000000000003E-2</c:v>
                </c:pt>
                <c:pt idx="256">
                  <c:v>4.4800000000000006E-2</c:v>
                </c:pt>
                <c:pt idx="257">
                  <c:v>4.3099999999999999E-2</c:v>
                </c:pt>
                <c:pt idx="258">
                  <c:v>4.2500000000000003E-2</c:v>
                </c:pt>
                <c:pt idx="259">
                  <c:v>3.8699999999999998E-2</c:v>
                </c:pt>
                <c:pt idx="260">
                  <c:v>3.7200000000000004E-2</c:v>
                </c:pt>
                <c:pt idx="261">
                  <c:v>4.0999999999999995E-2</c:v>
                </c:pt>
                <c:pt idx="262">
                  <c:v>4.36E-2</c:v>
                </c:pt>
                <c:pt idx="263">
                  <c:v>4.3899999999999995E-2</c:v>
                </c:pt>
                <c:pt idx="264">
                  <c:v>4.6300000000000001E-2</c:v>
                </c:pt>
                <c:pt idx="265">
                  <c:v>4.4500000000000005E-2</c:v>
                </c:pt>
                <c:pt idx="266">
                  <c:v>4.2800000000000005E-2</c:v>
                </c:pt>
                <c:pt idx="267">
                  <c:v>4.2800000000000005E-2</c:v>
                </c:pt>
                <c:pt idx="268">
                  <c:v>4.4199999999999996E-2</c:v>
                </c:pt>
                <c:pt idx="269">
                  <c:v>4.3799999999999999E-2</c:v>
                </c:pt>
                <c:pt idx="270">
                  <c:v>4.3899999999999995E-2</c:v>
                </c:pt>
                <c:pt idx="271">
                  <c:v>4.2599999999999999E-2</c:v>
                </c:pt>
                <c:pt idx="272">
                  <c:v>4.1200000000000001E-2</c:v>
                </c:pt>
                <c:pt idx="273">
                  <c:v>4.0599999999999997E-2</c:v>
                </c:pt>
                <c:pt idx="274">
                  <c:v>4.0899999999999999E-2</c:v>
                </c:pt>
                <c:pt idx="275">
                  <c:v>4.1399999999999999E-2</c:v>
                </c:pt>
              </c:numCache>
            </c:numRef>
          </c:val>
          <c:smooth val="0"/>
          <c:extLst>
            <c:ext xmlns:c16="http://schemas.microsoft.com/office/drawing/2014/chart" uri="{C3380CC4-5D6E-409C-BE32-E72D297353CC}">
              <c16:uniqueId val="{00000000-A253-4575-B0DA-3C5DF7D2AB29}"/>
            </c:ext>
          </c:extLst>
        </c:ser>
        <c:ser>
          <c:idx val="1"/>
          <c:order val="1"/>
          <c:tx>
            <c:strRef>
              <c:f>'1.3C - Interest Rates (Macro)'!$H$7</c:f>
              <c:strCache>
                <c:ptCount val="1"/>
                <c:pt idx="0">
                  <c:v>AA Corporate</c:v>
                </c:pt>
              </c:strCache>
            </c:strRef>
          </c:tx>
          <c:spPr>
            <a:ln w="38100" cap="rnd">
              <a:solidFill>
                <a:schemeClr val="accent1">
                  <a:tint val="77000"/>
                </a:schemeClr>
              </a:solidFill>
              <a:round/>
            </a:ln>
            <a:effectLst/>
          </c:spPr>
          <c:marker>
            <c:symbol val="none"/>
          </c:marker>
          <c:dLbls>
            <c:delete val="1"/>
          </c:dLbls>
          <c:cat>
            <c:numRef>
              <c:f>'1.3C - Interest Rates (Macro)'!$A$38:$A$313</c:f>
              <c:numCache>
                <c:formatCode>0</c:formatCode>
                <c:ptCount val="276"/>
                <c:pt idx="0">
                  <c:v>2003</c:v>
                </c:pt>
                <c:pt idx="1">
                  <c:v>2003</c:v>
                </c:pt>
                <c:pt idx="2">
                  <c:v>2003</c:v>
                </c:pt>
                <c:pt idx="3">
                  <c:v>2003</c:v>
                </c:pt>
                <c:pt idx="4">
                  <c:v>2003</c:v>
                </c:pt>
                <c:pt idx="5">
                  <c:v>2003</c:v>
                </c:pt>
                <c:pt idx="6">
                  <c:v>2003</c:v>
                </c:pt>
                <c:pt idx="7">
                  <c:v>2003</c:v>
                </c:pt>
                <c:pt idx="8">
                  <c:v>2003</c:v>
                </c:pt>
                <c:pt idx="9">
                  <c:v>2003</c:v>
                </c:pt>
                <c:pt idx="10">
                  <c:v>2003</c:v>
                </c:pt>
                <c:pt idx="11">
                  <c:v>2003</c:v>
                </c:pt>
                <c:pt idx="12">
                  <c:v>2004</c:v>
                </c:pt>
                <c:pt idx="13">
                  <c:v>2004</c:v>
                </c:pt>
                <c:pt idx="14">
                  <c:v>2004</c:v>
                </c:pt>
                <c:pt idx="15">
                  <c:v>2004</c:v>
                </c:pt>
                <c:pt idx="16">
                  <c:v>2004</c:v>
                </c:pt>
                <c:pt idx="17">
                  <c:v>2004</c:v>
                </c:pt>
                <c:pt idx="18">
                  <c:v>2004</c:v>
                </c:pt>
                <c:pt idx="19">
                  <c:v>2004</c:v>
                </c:pt>
                <c:pt idx="20">
                  <c:v>2004</c:v>
                </c:pt>
                <c:pt idx="21">
                  <c:v>2004</c:v>
                </c:pt>
                <c:pt idx="22">
                  <c:v>2004</c:v>
                </c:pt>
                <c:pt idx="23">
                  <c:v>2004</c:v>
                </c:pt>
                <c:pt idx="24">
                  <c:v>2005</c:v>
                </c:pt>
                <c:pt idx="25">
                  <c:v>2005</c:v>
                </c:pt>
                <c:pt idx="26">
                  <c:v>2005</c:v>
                </c:pt>
                <c:pt idx="27">
                  <c:v>2005</c:v>
                </c:pt>
                <c:pt idx="28">
                  <c:v>2005</c:v>
                </c:pt>
                <c:pt idx="29">
                  <c:v>2005</c:v>
                </c:pt>
                <c:pt idx="30">
                  <c:v>2005</c:v>
                </c:pt>
                <c:pt idx="31">
                  <c:v>2005</c:v>
                </c:pt>
                <c:pt idx="32">
                  <c:v>2005</c:v>
                </c:pt>
                <c:pt idx="33">
                  <c:v>2005</c:v>
                </c:pt>
                <c:pt idx="34">
                  <c:v>2005</c:v>
                </c:pt>
                <c:pt idx="35">
                  <c:v>2005</c:v>
                </c:pt>
                <c:pt idx="36">
                  <c:v>2006</c:v>
                </c:pt>
                <c:pt idx="37">
                  <c:v>2006</c:v>
                </c:pt>
                <c:pt idx="38">
                  <c:v>2006</c:v>
                </c:pt>
                <c:pt idx="39">
                  <c:v>2006</c:v>
                </c:pt>
                <c:pt idx="40">
                  <c:v>2006</c:v>
                </c:pt>
                <c:pt idx="41">
                  <c:v>2006</c:v>
                </c:pt>
                <c:pt idx="42">
                  <c:v>2006</c:v>
                </c:pt>
                <c:pt idx="43">
                  <c:v>2006</c:v>
                </c:pt>
                <c:pt idx="44">
                  <c:v>2006</c:v>
                </c:pt>
                <c:pt idx="45">
                  <c:v>2006</c:v>
                </c:pt>
                <c:pt idx="46">
                  <c:v>2006</c:v>
                </c:pt>
                <c:pt idx="47">
                  <c:v>2006</c:v>
                </c:pt>
                <c:pt idx="48">
                  <c:v>2007</c:v>
                </c:pt>
                <c:pt idx="49">
                  <c:v>2007</c:v>
                </c:pt>
                <c:pt idx="50">
                  <c:v>2007</c:v>
                </c:pt>
                <c:pt idx="51">
                  <c:v>2007</c:v>
                </c:pt>
                <c:pt idx="52">
                  <c:v>2007</c:v>
                </c:pt>
                <c:pt idx="53">
                  <c:v>2007</c:v>
                </c:pt>
                <c:pt idx="54">
                  <c:v>2007</c:v>
                </c:pt>
                <c:pt idx="55">
                  <c:v>2007</c:v>
                </c:pt>
                <c:pt idx="56">
                  <c:v>2007</c:v>
                </c:pt>
                <c:pt idx="57">
                  <c:v>2007</c:v>
                </c:pt>
                <c:pt idx="58">
                  <c:v>2007</c:v>
                </c:pt>
                <c:pt idx="59">
                  <c:v>2007</c:v>
                </c:pt>
                <c:pt idx="60">
                  <c:v>2008</c:v>
                </c:pt>
                <c:pt idx="61">
                  <c:v>2008</c:v>
                </c:pt>
                <c:pt idx="62">
                  <c:v>2008</c:v>
                </c:pt>
                <c:pt idx="63">
                  <c:v>2008</c:v>
                </c:pt>
                <c:pt idx="64">
                  <c:v>2008</c:v>
                </c:pt>
                <c:pt idx="65">
                  <c:v>2008</c:v>
                </c:pt>
                <c:pt idx="66">
                  <c:v>2008</c:v>
                </c:pt>
                <c:pt idx="67">
                  <c:v>2008</c:v>
                </c:pt>
                <c:pt idx="68">
                  <c:v>2008</c:v>
                </c:pt>
                <c:pt idx="69">
                  <c:v>2008</c:v>
                </c:pt>
                <c:pt idx="70">
                  <c:v>2008</c:v>
                </c:pt>
                <c:pt idx="71">
                  <c:v>2008</c:v>
                </c:pt>
                <c:pt idx="72">
                  <c:v>2009</c:v>
                </c:pt>
                <c:pt idx="73">
                  <c:v>2009</c:v>
                </c:pt>
                <c:pt idx="74">
                  <c:v>2009</c:v>
                </c:pt>
                <c:pt idx="75">
                  <c:v>2009</c:v>
                </c:pt>
                <c:pt idx="76">
                  <c:v>2009</c:v>
                </c:pt>
                <c:pt idx="77">
                  <c:v>2009</c:v>
                </c:pt>
                <c:pt idx="78">
                  <c:v>2009</c:v>
                </c:pt>
                <c:pt idx="79">
                  <c:v>2009</c:v>
                </c:pt>
                <c:pt idx="80">
                  <c:v>2009</c:v>
                </c:pt>
                <c:pt idx="81">
                  <c:v>2009</c:v>
                </c:pt>
                <c:pt idx="82">
                  <c:v>2009</c:v>
                </c:pt>
                <c:pt idx="83">
                  <c:v>2009</c:v>
                </c:pt>
                <c:pt idx="84">
                  <c:v>2010</c:v>
                </c:pt>
                <c:pt idx="85">
                  <c:v>2010</c:v>
                </c:pt>
                <c:pt idx="86">
                  <c:v>2010</c:v>
                </c:pt>
                <c:pt idx="87">
                  <c:v>2010</c:v>
                </c:pt>
                <c:pt idx="88">
                  <c:v>2010</c:v>
                </c:pt>
                <c:pt idx="89">
                  <c:v>2010</c:v>
                </c:pt>
                <c:pt idx="90">
                  <c:v>2010</c:v>
                </c:pt>
                <c:pt idx="91">
                  <c:v>2010</c:v>
                </c:pt>
                <c:pt idx="92">
                  <c:v>2010</c:v>
                </c:pt>
                <c:pt idx="93">
                  <c:v>2010</c:v>
                </c:pt>
                <c:pt idx="94">
                  <c:v>2010</c:v>
                </c:pt>
                <c:pt idx="95">
                  <c:v>2010</c:v>
                </c:pt>
                <c:pt idx="96">
                  <c:v>2011</c:v>
                </c:pt>
                <c:pt idx="97">
                  <c:v>2011</c:v>
                </c:pt>
                <c:pt idx="98">
                  <c:v>2011</c:v>
                </c:pt>
                <c:pt idx="99">
                  <c:v>2011</c:v>
                </c:pt>
                <c:pt idx="100">
                  <c:v>2011</c:v>
                </c:pt>
                <c:pt idx="101">
                  <c:v>2011</c:v>
                </c:pt>
                <c:pt idx="102">
                  <c:v>2011</c:v>
                </c:pt>
                <c:pt idx="103">
                  <c:v>2011</c:v>
                </c:pt>
                <c:pt idx="104">
                  <c:v>2011</c:v>
                </c:pt>
                <c:pt idx="105">
                  <c:v>2011</c:v>
                </c:pt>
                <c:pt idx="106">
                  <c:v>2011</c:v>
                </c:pt>
                <c:pt idx="107">
                  <c:v>2011</c:v>
                </c:pt>
                <c:pt idx="108">
                  <c:v>2012</c:v>
                </c:pt>
                <c:pt idx="109">
                  <c:v>2012</c:v>
                </c:pt>
                <c:pt idx="110">
                  <c:v>2012</c:v>
                </c:pt>
                <c:pt idx="111">
                  <c:v>2012</c:v>
                </c:pt>
                <c:pt idx="112">
                  <c:v>2012</c:v>
                </c:pt>
                <c:pt idx="113">
                  <c:v>2012</c:v>
                </c:pt>
                <c:pt idx="114">
                  <c:v>2012</c:v>
                </c:pt>
                <c:pt idx="115">
                  <c:v>2012</c:v>
                </c:pt>
                <c:pt idx="116">
                  <c:v>2012</c:v>
                </c:pt>
                <c:pt idx="117">
                  <c:v>2012</c:v>
                </c:pt>
                <c:pt idx="118">
                  <c:v>2012</c:v>
                </c:pt>
                <c:pt idx="119">
                  <c:v>2012</c:v>
                </c:pt>
                <c:pt idx="120">
                  <c:v>2013</c:v>
                </c:pt>
                <c:pt idx="121">
                  <c:v>2013</c:v>
                </c:pt>
                <c:pt idx="122">
                  <c:v>2013</c:v>
                </c:pt>
                <c:pt idx="123">
                  <c:v>2013</c:v>
                </c:pt>
                <c:pt idx="124">
                  <c:v>2013</c:v>
                </c:pt>
                <c:pt idx="125">
                  <c:v>2013</c:v>
                </c:pt>
                <c:pt idx="126">
                  <c:v>2013</c:v>
                </c:pt>
                <c:pt idx="127">
                  <c:v>2013</c:v>
                </c:pt>
                <c:pt idx="128">
                  <c:v>2013</c:v>
                </c:pt>
                <c:pt idx="129">
                  <c:v>2013</c:v>
                </c:pt>
                <c:pt idx="130">
                  <c:v>2013</c:v>
                </c:pt>
                <c:pt idx="131">
                  <c:v>2013</c:v>
                </c:pt>
                <c:pt idx="132">
                  <c:v>2014</c:v>
                </c:pt>
                <c:pt idx="133">
                  <c:v>2014</c:v>
                </c:pt>
                <c:pt idx="134">
                  <c:v>2014</c:v>
                </c:pt>
                <c:pt idx="135">
                  <c:v>2014</c:v>
                </c:pt>
                <c:pt idx="136">
                  <c:v>2014</c:v>
                </c:pt>
                <c:pt idx="137">
                  <c:v>2014</c:v>
                </c:pt>
                <c:pt idx="138">
                  <c:v>2014</c:v>
                </c:pt>
                <c:pt idx="139">
                  <c:v>2014</c:v>
                </c:pt>
                <c:pt idx="140">
                  <c:v>2014</c:v>
                </c:pt>
                <c:pt idx="141">
                  <c:v>2014</c:v>
                </c:pt>
                <c:pt idx="142">
                  <c:v>2014</c:v>
                </c:pt>
                <c:pt idx="143">
                  <c:v>2014</c:v>
                </c:pt>
                <c:pt idx="144">
                  <c:v>2015</c:v>
                </c:pt>
                <c:pt idx="145">
                  <c:v>2015</c:v>
                </c:pt>
                <c:pt idx="146">
                  <c:v>2015</c:v>
                </c:pt>
                <c:pt idx="147">
                  <c:v>2015</c:v>
                </c:pt>
                <c:pt idx="148">
                  <c:v>2015</c:v>
                </c:pt>
                <c:pt idx="149">
                  <c:v>2015</c:v>
                </c:pt>
                <c:pt idx="150">
                  <c:v>2015</c:v>
                </c:pt>
                <c:pt idx="151">
                  <c:v>2015</c:v>
                </c:pt>
                <c:pt idx="152">
                  <c:v>2015</c:v>
                </c:pt>
                <c:pt idx="153">
                  <c:v>2015</c:v>
                </c:pt>
                <c:pt idx="154">
                  <c:v>2015</c:v>
                </c:pt>
                <c:pt idx="155">
                  <c:v>2015</c:v>
                </c:pt>
                <c:pt idx="156">
                  <c:v>2016</c:v>
                </c:pt>
                <c:pt idx="157">
                  <c:v>2016</c:v>
                </c:pt>
                <c:pt idx="158">
                  <c:v>2016</c:v>
                </c:pt>
                <c:pt idx="159">
                  <c:v>2016</c:v>
                </c:pt>
                <c:pt idx="160">
                  <c:v>2016</c:v>
                </c:pt>
                <c:pt idx="161">
                  <c:v>2016</c:v>
                </c:pt>
                <c:pt idx="162">
                  <c:v>2016</c:v>
                </c:pt>
                <c:pt idx="163">
                  <c:v>2016</c:v>
                </c:pt>
                <c:pt idx="164">
                  <c:v>2016</c:v>
                </c:pt>
                <c:pt idx="165">
                  <c:v>2016</c:v>
                </c:pt>
                <c:pt idx="166">
                  <c:v>2016</c:v>
                </c:pt>
                <c:pt idx="167">
                  <c:v>2016</c:v>
                </c:pt>
                <c:pt idx="168">
                  <c:v>2017</c:v>
                </c:pt>
                <c:pt idx="169">
                  <c:v>2017</c:v>
                </c:pt>
                <c:pt idx="170">
                  <c:v>2017</c:v>
                </c:pt>
                <c:pt idx="171">
                  <c:v>2017</c:v>
                </c:pt>
                <c:pt idx="172">
                  <c:v>2017</c:v>
                </c:pt>
                <c:pt idx="173">
                  <c:v>2017</c:v>
                </c:pt>
                <c:pt idx="174">
                  <c:v>2017</c:v>
                </c:pt>
                <c:pt idx="175">
                  <c:v>2017</c:v>
                </c:pt>
                <c:pt idx="176">
                  <c:v>2017</c:v>
                </c:pt>
                <c:pt idx="177">
                  <c:v>2017</c:v>
                </c:pt>
                <c:pt idx="178">
                  <c:v>2017</c:v>
                </c:pt>
                <c:pt idx="179">
                  <c:v>2017</c:v>
                </c:pt>
                <c:pt idx="180">
                  <c:v>2018</c:v>
                </c:pt>
                <c:pt idx="181">
                  <c:v>2018</c:v>
                </c:pt>
                <c:pt idx="182">
                  <c:v>2018</c:v>
                </c:pt>
                <c:pt idx="183">
                  <c:v>2018</c:v>
                </c:pt>
                <c:pt idx="184">
                  <c:v>2018</c:v>
                </c:pt>
                <c:pt idx="185">
                  <c:v>2018</c:v>
                </c:pt>
                <c:pt idx="186">
                  <c:v>2018</c:v>
                </c:pt>
                <c:pt idx="187">
                  <c:v>2018</c:v>
                </c:pt>
                <c:pt idx="188">
                  <c:v>2018</c:v>
                </c:pt>
                <c:pt idx="189">
                  <c:v>2018</c:v>
                </c:pt>
                <c:pt idx="190">
                  <c:v>2018</c:v>
                </c:pt>
                <c:pt idx="191">
                  <c:v>2018</c:v>
                </c:pt>
                <c:pt idx="192">
                  <c:v>2019</c:v>
                </c:pt>
                <c:pt idx="193">
                  <c:v>2019</c:v>
                </c:pt>
                <c:pt idx="194">
                  <c:v>2019</c:v>
                </c:pt>
                <c:pt idx="195">
                  <c:v>2019</c:v>
                </c:pt>
                <c:pt idx="196">
                  <c:v>2019</c:v>
                </c:pt>
                <c:pt idx="197">
                  <c:v>2019</c:v>
                </c:pt>
                <c:pt idx="198">
                  <c:v>2019</c:v>
                </c:pt>
                <c:pt idx="199">
                  <c:v>2019</c:v>
                </c:pt>
                <c:pt idx="200">
                  <c:v>2019</c:v>
                </c:pt>
                <c:pt idx="201">
                  <c:v>2019</c:v>
                </c:pt>
                <c:pt idx="202">
                  <c:v>2019</c:v>
                </c:pt>
                <c:pt idx="203">
                  <c:v>2019</c:v>
                </c:pt>
                <c:pt idx="204">
                  <c:v>2020</c:v>
                </c:pt>
                <c:pt idx="205">
                  <c:v>2020</c:v>
                </c:pt>
                <c:pt idx="206">
                  <c:v>2020</c:v>
                </c:pt>
                <c:pt idx="207">
                  <c:v>2020</c:v>
                </c:pt>
                <c:pt idx="208">
                  <c:v>2020</c:v>
                </c:pt>
                <c:pt idx="209">
                  <c:v>2020</c:v>
                </c:pt>
                <c:pt idx="210">
                  <c:v>2020</c:v>
                </c:pt>
                <c:pt idx="211">
                  <c:v>2020</c:v>
                </c:pt>
                <c:pt idx="212">
                  <c:v>2020</c:v>
                </c:pt>
                <c:pt idx="213">
                  <c:v>2020</c:v>
                </c:pt>
                <c:pt idx="214">
                  <c:v>2020</c:v>
                </c:pt>
                <c:pt idx="215">
                  <c:v>2020</c:v>
                </c:pt>
                <c:pt idx="216">
                  <c:v>2021</c:v>
                </c:pt>
                <c:pt idx="217">
                  <c:v>2021</c:v>
                </c:pt>
                <c:pt idx="218">
                  <c:v>2021</c:v>
                </c:pt>
                <c:pt idx="219">
                  <c:v>2021</c:v>
                </c:pt>
                <c:pt idx="220">
                  <c:v>2021</c:v>
                </c:pt>
                <c:pt idx="221">
                  <c:v>2021</c:v>
                </c:pt>
                <c:pt idx="222">
                  <c:v>2021</c:v>
                </c:pt>
                <c:pt idx="223">
                  <c:v>2021</c:v>
                </c:pt>
                <c:pt idx="224">
                  <c:v>2021</c:v>
                </c:pt>
                <c:pt idx="225">
                  <c:v>2021</c:v>
                </c:pt>
                <c:pt idx="226">
                  <c:v>2021</c:v>
                </c:pt>
                <c:pt idx="227">
                  <c:v>2021</c:v>
                </c:pt>
                <c:pt idx="228">
                  <c:v>2022</c:v>
                </c:pt>
                <c:pt idx="229">
                  <c:v>2022</c:v>
                </c:pt>
                <c:pt idx="230">
                  <c:v>2022</c:v>
                </c:pt>
                <c:pt idx="231">
                  <c:v>2022</c:v>
                </c:pt>
                <c:pt idx="232">
                  <c:v>2022</c:v>
                </c:pt>
                <c:pt idx="233">
                  <c:v>2022</c:v>
                </c:pt>
                <c:pt idx="234">
                  <c:v>2022</c:v>
                </c:pt>
                <c:pt idx="235">
                  <c:v>2022</c:v>
                </c:pt>
                <c:pt idx="236">
                  <c:v>2022</c:v>
                </c:pt>
                <c:pt idx="237">
                  <c:v>2022</c:v>
                </c:pt>
                <c:pt idx="238">
                  <c:v>2022</c:v>
                </c:pt>
                <c:pt idx="239">
                  <c:v>2022</c:v>
                </c:pt>
                <c:pt idx="240">
                  <c:v>2023</c:v>
                </c:pt>
                <c:pt idx="241">
                  <c:v>2023</c:v>
                </c:pt>
                <c:pt idx="242">
                  <c:v>2023</c:v>
                </c:pt>
                <c:pt idx="243">
                  <c:v>2023</c:v>
                </c:pt>
                <c:pt idx="244">
                  <c:v>2023</c:v>
                </c:pt>
                <c:pt idx="245">
                  <c:v>2023</c:v>
                </c:pt>
                <c:pt idx="246">
                  <c:v>2023</c:v>
                </c:pt>
                <c:pt idx="247">
                  <c:v>2023</c:v>
                </c:pt>
                <c:pt idx="248">
                  <c:v>2023</c:v>
                </c:pt>
                <c:pt idx="249">
                  <c:v>2023</c:v>
                </c:pt>
                <c:pt idx="250">
                  <c:v>2023</c:v>
                </c:pt>
                <c:pt idx="251">
                  <c:v>2023</c:v>
                </c:pt>
                <c:pt idx="252">
                  <c:v>2024</c:v>
                </c:pt>
                <c:pt idx="253">
                  <c:v>2024</c:v>
                </c:pt>
                <c:pt idx="254">
                  <c:v>2024</c:v>
                </c:pt>
                <c:pt idx="255">
                  <c:v>2024</c:v>
                </c:pt>
                <c:pt idx="256">
                  <c:v>2024</c:v>
                </c:pt>
                <c:pt idx="257">
                  <c:v>2024</c:v>
                </c:pt>
                <c:pt idx="258">
                  <c:v>2024</c:v>
                </c:pt>
                <c:pt idx="259">
                  <c:v>2024</c:v>
                </c:pt>
                <c:pt idx="260">
                  <c:v>2024</c:v>
                </c:pt>
                <c:pt idx="261">
                  <c:v>2024</c:v>
                </c:pt>
                <c:pt idx="262">
                  <c:v>2024</c:v>
                </c:pt>
                <c:pt idx="263">
                  <c:v>2024</c:v>
                </c:pt>
                <c:pt idx="264">
                  <c:v>2025</c:v>
                </c:pt>
                <c:pt idx="265">
                  <c:v>2025</c:v>
                </c:pt>
                <c:pt idx="266">
                  <c:v>2025</c:v>
                </c:pt>
                <c:pt idx="267">
                  <c:v>2025</c:v>
                </c:pt>
                <c:pt idx="268">
                  <c:v>2025</c:v>
                </c:pt>
                <c:pt idx="269">
                  <c:v>2025</c:v>
                </c:pt>
                <c:pt idx="270">
                  <c:v>2025</c:v>
                </c:pt>
                <c:pt idx="271">
                  <c:v>2025</c:v>
                </c:pt>
                <c:pt idx="272">
                  <c:v>2025</c:v>
                </c:pt>
                <c:pt idx="273">
                  <c:v>2025</c:v>
                </c:pt>
                <c:pt idx="274">
                  <c:v>2025</c:v>
                </c:pt>
                <c:pt idx="275">
                  <c:v>2025</c:v>
                </c:pt>
              </c:numCache>
            </c:numRef>
          </c:cat>
          <c:val>
            <c:numRef>
              <c:f>'1.3C - Interest Rates (Macro)'!$H$38:$H$313</c:f>
              <c:numCache>
                <c:formatCode>0.00%</c:formatCode>
                <c:ptCount val="276"/>
                <c:pt idx="0">
                  <c:v>3.8399999999999997E-2</c:v>
                </c:pt>
                <c:pt idx="1">
                  <c:v>3.6200000000000003E-2</c:v>
                </c:pt>
                <c:pt idx="2">
                  <c:v>3.5099999999999999E-2</c:v>
                </c:pt>
                <c:pt idx="3">
                  <c:v>3.5299999999999998E-2</c:v>
                </c:pt>
                <c:pt idx="4">
                  <c:v>3.1200000000000002E-2</c:v>
                </c:pt>
                <c:pt idx="5">
                  <c:v>2.8999999999999998E-2</c:v>
                </c:pt>
                <c:pt idx="6">
                  <c:v>3.3000000000000002E-2</c:v>
                </c:pt>
                <c:pt idx="7">
                  <c:v>3.8199999999999998E-2</c:v>
                </c:pt>
                <c:pt idx="8">
                  <c:v>3.61E-2</c:v>
                </c:pt>
                <c:pt idx="9">
                  <c:v>3.5699999999999996E-2</c:v>
                </c:pt>
                <c:pt idx="10">
                  <c:v>3.6799999999999999E-2</c:v>
                </c:pt>
                <c:pt idx="11">
                  <c:v>3.6299999999999999E-2</c:v>
                </c:pt>
                <c:pt idx="12">
                  <c:v>3.4799999999999998E-2</c:v>
                </c:pt>
                <c:pt idx="13">
                  <c:v>3.4000000000000002E-2</c:v>
                </c:pt>
                <c:pt idx="14">
                  <c:v>3.1899999999999998E-2</c:v>
                </c:pt>
                <c:pt idx="15">
                  <c:v>3.6699999999999997E-2</c:v>
                </c:pt>
                <c:pt idx="16">
                  <c:v>4.1100000000000005E-2</c:v>
                </c:pt>
                <c:pt idx="17">
                  <c:v>4.2699999999999995E-2</c:v>
                </c:pt>
                <c:pt idx="18">
                  <c:v>4.0999999999999995E-2</c:v>
                </c:pt>
                <c:pt idx="19">
                  <c:v>3.9399999999999998E-2</c:v>
                </c:pt>
                <c:pt idx="20">
                  <c:v>3.8399999999999997E-2</c:v>
                </c:pt>
                <c:pt idx="21">
                  <c:v>3.8300000000000001E-2</c:v>
                </c:pt>
                <c:pt idx="22">
                  <c:v>0.04</c:v>
                </c:pt>
                <c:pt idx="23">
                  <c:v>4.0800000000000003E-2</c:v>
                </c:pt>
                <c:pt idx="24">
                  <c:v>4.3200000000000002E-2</c:v>
                </c:pt>
                <c:pt idx="25">
                  <c:v>4.3499999999999997E-2</c:v>
                </c:pt>
                <c:pt idx="26">
                  <c:v>4.7E-2</c:v>
                </c:pt>
                <c:pt idx="27">
                  <c:v>4.6199999999999998E-2</c:v>
                </c:pt>
                <c:pt idx="28">
                  <c:v>4.53E-2</c:v>
                </c:pt>
                <c:pt idx="29">
                  <c:v>4.4500000000000005E-2</c:v>
                </c:pt>
                <c:pt idx="30">
                  <c:v>4.6199999999999998E-2</c:v>
                </c:pt>
                <c:pt idx="31">
                  <c:v>4.7400000000000005E-2</c:v>
                </c:pt>
                <c:pt idx="32">
                  <c:v>4.6900000000000004E-2</c:v>
                </c:pt>
                <c:pt idx="33">
                  <c:v>4.99E-2</c:v>
                </c:pt>
                <c:pt idx="34">
                  <c:v>5.1299999999999998E-2</c:v>
                </c:pt>
                <c:pt idx="35">
                  <c:v>5.0999999999999997E-2</c:v>
                </c:pt>
                <c:pt idx="36">
                  <c:v>5.0700000000000002E-2</c:v>
                </c:pt>
                <c:pt idx="37">
                  <c:v>5.2699999999999997E-2</c:v>
                </c:pt>
                <c:pt idx="38">
                  <c:v>5.3899999999999997E-2</c:v>
                </c:pt>
                <c:pt idx="39">
                  <c:v>5.5899999999999998E-2</c:v>
                </c:pt>
                <c:pt idx="40">
                  <c:v>5.6900000000000006E-2</c:v>
                </c:pt>
                <c:pt idx="41">
                  <c:v>5.79E-2</c:v>
                </c:pt>
                <c:pt idx="42">
                  <c:v>5.7800000000000004E-2</c:v>
                </c:pt>
                <c:pt idx="43">
                  <c:v>5.5599999999999997E-2</c:v>
                </c:pt>
                <c:pt idx="44">
                  <c:v>5.4100000000000002E-2</c:v>
                </c:pt>
                <c:pt idx="45">
                  <c:v>5.4199999999999998E-2</c:v>
                </c:pt>
                <c:pt idx="46">
                  <c:v>5.2999999999999999E-2</c:v>
                </c:pt>
                <c:pt idx="47">
                  <c:v>5.2400000000000002E-2</c:v>
                </c:pt>
                <c:pt idx="48">
                  <c:v>5.4100000000000002E-2</c:v>
                </c:pt>
                <c:pt idx="49">
                  <c:v>5.3800000000000001E-2</c:v>
                </c:pt>
                <c:pt idx="50">
                  <c:v>5.2600000000000001E-2</c:v>
                </c:pt>
                <c:pt idx="51">
                  <c:v>5.3699999999999998E-2</c:v>
                </c:pt>
                <c:pt idx="52">
                  <c:v>5.4400000000000004E-2</c:v>
                </c:pt>
                <c:pt idx="53">
                  <c:v>5.7599999999999998E-2</c:v>
                </c:pt>
                <c:pt idx="54">
                  <c:v>5.74E-2</c:v>
                </c:pt>
                <c:pt idx="55">
                  <c:v>5.6399999999999999E-2</c:v>
                </c:pt>
                <c:pt idx="56">
                  <c:v>5.5800000000000002E-2</c:v>
                </c:pt>
                <c:pt idx="57">
                  <c:v>5.5E-2</c:v>
                </c:pt>
                <c:pt idx="58">
                  <c:v>5.3800000000000001E-2</c:v>
                </c:pt>
                <c:pt idx="59">
                  <c:v>5.4000000000000006E-2</c:v>
                </c:pt>
                <c:pt idx="60">
                  <c:v>5.0499999999999996E-2</c:v>
                </c:pt>
                <c:pt idx="61">
                  <c:v>4.99E-2</c:v>
                </c:pt>
                <c:pt idx="62">
                  <c:v>5.21E-2</c:v>
                </c:pt>
                <c:pt idx="63">
                  <c:v>5.45E-2</c:v>
                </c:pt>
                <c:pt idx="64">
                  <c:v>5.45E-2</c:v>
                </c:pt>
                <c:pt idx="65">
                  <c:v>5.79E-2</c:v>
                </c:pt>
                <c:pt idx="66">
                  <c:v>5.9299999999999999E-2</c:v>
                </c:pt>
                <c:pt idx="67">
                  <c:v>5.8799999999999998E-2</c:v>
                </c:pt>
                <c:pt idx="68">
                  <c:v>6.3299999999999995E-2</c:v>
                </c:pt>
                <c:pt idx="69">
                  <c:v>7.4999999999999997E-2</c:v>
                </c:pt>
                <c:pt idx="70">
                  <c:v>7.2599999999999998E-2</c:v>
                </c:pt>
                <c:pt idx="71">
                  <c:v>6.5099999999999991E-2</c:v>
                </c:pt>
                <c:pt idx="72">
                  <c:v>5.7800000000000004E-2</c:v>
                </c:pt>
                <c:pt idx="73">
                  <c:v>5.91E-2</c:v>
                </c:pt>
                <c:pt idx="74">
                  <c:v>6.4600000000000005E-2</c:v>
                </c:pt>
                <c:pt idx="75">
                  <c:v>5.7999999999999996E-2</c:v>
                </c:pt>
                <c:pt idx="76">
                  <c:v>5.2300000000000006E-2</c:v>
                </c:pt>
                <c:pt idx="77">
                  <c:v>5.0199999999999995E-2</c:v>
                </c:pt>
                <c:pt idx="78">
                  <c:v>4.6100000000000002E-2</c:v>
                </c:pt>
                <c:pt idx="79">
                  <c:v>4.2699999999999995E-2</c:v>
                </c:pt>
                <c:pt idx="80">
                  <c:v>4.0099999999999997E-2</c:v>
                </c:pt>
                <c:pt idx="81">
                  <c:v>3.9100000000000003E-2</c:v>
                </c:pt>
                <c:pt idx="82">
                  <c:v>3.7200000000000004E-2</c:v>
                </c:pt>
                <c:pt idx="83">
                  <c:v>3.7200000000000004E-2</c:v>
                </c:pt>
                <c:pt idx="84">
                  <c:v>3.6900000000000002E-2</c:v>
                </c:pt>
                <c:pt idx="85">
                  <c:v>3.7100000000000001E-2</c:v>
                </c:pt>
                <c:pt idx="86">
                  <c:v>3.6299999999999999E-2</c:v>
                </c:pt>
                <c:pt idx="87">
                  <c:v>3.5900000000000001E-2</c:v>
                </c:pt>
                <c:pt idx="88">
                  <c:v>3.5200000000000002E-2</c:v>
                </c:pt>
                <c:pt idx="89">
                  <c:v>3.6000000000000004E-2</c:v>
                </c:pt>
                <c:pt idx="90">
                  <c:v>3.2300000000000002E-2</c:v>
                </c:pt>
                <c:pt idx="91">
                  <c:v>2.9300000000000003E-2</c:v>
                </c:pt>
                <c:pt idx="92">
                  <c:v>2.8799999999999999E-2</c:v>
                </c:pt>
                <c:pt idx="93">
                  <c:v>2.6800000000000001E-2</c:v>
                </c:pt>
                <c:pt idx="94">
                  <c:v>2.7999999999999997E-2</c:v>
                </c:pt>
                <c:pt idx="95">
                  <c:v>3.2099999999999997E-2</c:v>
                </c:pt>
                <c:pt idx="96">
                  <c:v>3.1800000000000002E-2</c:v>
                </c:pt>
                <c:pt idx="97">
                  <c:v>3.32E-2</c:v>
                </c:pt>
                <c:pt idx="98">
                  <c:v>3.2099999999999997E-2</c:v>
                </c:pt>
                <c:pt idx="99">
                  <c:v>3.2199999999999999E-2</c:v>
                </c:pt>
                <c:pt idx="100">
                  <c:v>2.9900000000000003E-2</c:v>
                </c:pt>
                <c:pt idx="101">
                  <c:v>2.9399999999999999E-2</c:v>
                </c:pt>
                <c:pt idx="102">
                  <c:v>2.9600000000000001E-2</c:v>
                </c:pt>
                <c:pt idx="103">
                  <c:v>2.8999999999999998E-2</c:v>
                </c:pt>
                <c:pt idx="104">
                  <c:v>0.03</c:v>
                </c:pt>
                <c:pt idx="105">
                  <c:v>3.1200000000000002E-2</c:v>
                </c:pt>
                <c:pt idx="106">
                  <c:v>2.98E-2</c:v>
                </c:pt>
                <c:pt idx="107">
                  <c:v>3.04E-2</c:v>
                </c:pt>
                <c:pt idx="108">
                  <c:v>2.7699999999999999E-2</c:v>
                </c:pt>
                <c:pt idx="109">
                  <c:v>2.6000000000000002E-2</c:v>
                </c:pt>
                <c:pt idx="110">
                  <c:v>2.6000000000000002E-2</c:v>
                </c:pt>
                <c:pt idx="111">
                  <c:v>2.5600000000000001E-2</c:v>
                </c:pt>
                <c:pt idx="112">
                  <c:v>2.5000000000000001E-2</c:v>
                </c:pt>
                <c:pt idx="113">
                  <c:v>2.5000000000000001E-2</c:v>
                </c:pt>
                <c:pt idx="114">
                  <c:v>2.2200000000000001E-2</c:v>
                </c:pt>
                <c:pt idx="115">
                  <c:v>2.1700000000000001E-2</c:v>
                </c:pt>
                <c:pt idx="116">
                  <c:v>2.1000000000000001E-2</c:v>
                </c:pt>
                <c:pt idx="117">
                  <c:v>2.0099999999999996E-2</c:v>
                </c:pt>
                <c:pt idx="118">
                  <c:v>1.9900000000000001E-2</c:v>
                </c:pt>
                <c:pt idx="119">
                  <c:v>2.0099999999999996E-2</c:v>
                </c:pt>
                <c:pt idx="120">
                  <c:v>2.06E-2</c:v>
                </c:pt>
                <c:pt idx="121">
                  <c:v>2.1000000000000001E-2</c:v>
                </c:pt>
                <c:pt idx="122">
                  <c:v>2.0899999999999998E-2</c:v>
                </c:pt>
                <c:pt idx="123">
                  <c:v>2.0099999999999996E-2</c:v>
                </c:pt>
                <c:pt idx="124">
                  <c:v>2.07E-2</c:v>
                </c:pt>
                <c:pt idx="125">
                  <c:v>2.4500000000000001E-2</c:v>
                </c:pt>
                <c:pt idx="126">
                  <c:v>2.5699999999999997E-2</c:v>
                </c:pt>
                <c:pt idx="127">
                  <c:v>2.6099999999999998E-2</c:v>
                </c:pt>
                <c:pt idx="128">
                  <c:v>2.6499999999999999E-2</c:v>
                </c:pt>
                <c:pt idx="129">
                  <c:v>2.46E-2</c:v>
                </c:pt>
                <c:pt idx="130">
                  <c:v>2.4500000000000001E-2</c:v>
                </c:pt>
                <c:pt idx="131">
                  <c:v>2.5399999999999999E-2</c:v>
                </c:pt>
                <c:pt idx="132">
                  <c:v>2.46E-2</c:v>
                </c:pt>
                <c:pt idx="133">
                  <c:v>2.3799999999999998E-2</c:v>
                </c:pt>
                <c:pt idx="134">
                  <c:v>2.46E-2</c:v>
                </c:pt>
                <c:pt idx="135">
                  <c:v>2.4900000000000002E-2</c:v>
                </c:pt>
                <c:pt idx="136">
                  <c:v>2.4E-2</c:v>
                </c:pt>
                <c:pt idx="137">
                  <c:v>2.4500000000000001E-2</c:v>
                </c:pt>
                <c:pt idx="138">
                  <c:v>2.4500000000000001E-2</c:v>
                </c:pt>
                <c:pt idx="139">
                  <c:v>2.4E-2</c:v>
                </c:pt>
                <c:pt idx="140">
                  <c:v>2.5099999999999997E-2</c:v>
                </c:pt>
                <c:pt idx="141">
                  <c:v>2.4E-2</c:v>
                </c:pt>
                <c:pt idx="142">
                  <c:v>2.5099999999999997E-2</c:v>
                </c:pt>
                <c:pt idx="143">
                  <c:v>2.52E-2</c:v>
                </c:pt>
                <c:pt idx="144">
                  <c:v>2.3E-2</c:v>
                </c:pt>
                <c:pt idx="145">
                  <c:v>2.35E-2</c:v>
                </c:pt>
                <c:pt idx="146">
                  <c:v>2.3799999999999998E-2</c:v>
                </c:pt>
                <c:pt idx="147">
                  <c:v>2.2700000000000001E-2</c:v>
                </c:pt>
                <c:pt idx="148">
                  <c:v>2.46E-2</c:v>
                </c:pt>
                <c:pt idx="149">
                  <c:v>2.6800000000000001E-2</c:v>
                </c:pt>
                <c:pt idx="150">
                  <c:v>2.69E-2</c:v>
                </c:pt>
                <c:pt idx="151">
                  <c:v>2.7000000000000003E-2</c:v>
                </c:pt>
                <c:pt idx="152">
                  <c:v>2.7099999999999999E-2</c:v>
                </c:pt>
                <c:pt idx="153">
                  <c:v>2.6000000000000002E-2</c:v>
                </c:pt>
                <c:pt idx="154">
                  <c:v>2.7400000000000001E-2</c:v>
                </c:pt>
                <c:pt idx="155">
                  <c:v>2.76E-2</c:v>
                </c:pt>
                <c:pt idx="156">
                  <c:v>2.69E-2</c:v>
                </c:pt>
                <c:pt idx="157">
                  <c:v>2.5899999999999999E-2</c:v>
                </c:pt>
                <c:pt idx="158">
                  <c:v>2.5600000000000001E-2</c:v>
                </c:pt>
                <c:pt idx="159">
                  <c:v>2.3300000000000001E-2</c:v>
                </c:pt>
                <c:pt idx="160">
                  <c:v>2.3399999999999997E-2</c:v>
                </c:pt>
                <c:pt idx="161">
                  <c:v>2.2499999999999999E-2</c:v>
                </c:pt>
                <c:pt idx="162">
                  <c:v>2.1099999999999997E-2</c:v>
                </c:pt>
                <c:pt idx="163">
                  <c:v>2.12E-2</c:v>
                </c:pt>
                <c:pt idx="164">
                  <c:v>2.1899999999999999E-2</c:v>
                </c:pt>
                <c:pt idx="165">
                  <c:v>2.29E-2</c:v>
                </c:pt>
                <c:pt idx="166">
                  <c:v>2.5600000000000001E-2</c:v>
                </c:pt>
                <c:pt idx="167">
                  <c:v>2.7999999999999997E-2</c:v>
                </c:pt>
                <c:pt idx="168">
                  <c:v>2.7300000000000001E-2</c:v>
                </c:pt>
                <c:pt idx="169">
                  <c:v>2.7099999999999999E-2</c:v>
                </c:pt>
                <c:pt idx="170">
                  <c:v>2.7799999999999998E-2</c:v>
                </c:pt>
                <c:pt idx="171">
                  <c:v>2.6600000000000002E-2</c:v>
                </c:pt>
                <c:pt idx="172">
                  <c:v>2.6699999999999998E-2</c:v>
                </c:pt>
                <c:pt idx="173">
                  <c:v>2.63E-2</c:v>
                </c:pt>
                <c:pt idx="174">
                  <c:v>2.6499999999999999E-2</c:v>
                </c:pt>
                <c:pt idx="175">
                  <c:v>2.5899999999999999E-2</c:v>
                </c:pt>
                <c:pt idx="176">
                  <c:v>2.6000000000000002E-2</c:v>
                </c:pt>
                <c:pt idx="177">
                  <c:v>2.6699999999999998E-2</c:v>
                </c:pt>
                <c:pt idx="178">
                  <c:v>2.7300000000000001E-2</c:v>
                </c:pt>
                <c:pt idx="179">
                  <c:v>2.7699999999999999E-2</c:v>
                </c:pt>
                <c:pt idx="180">
                  <c:v>2.8999999999999998E-2</c:v>
                </c:pt>
                <c:pt idx="181">
                  <c:v>3.1600000000000003E-2</c:v>
                </c:pt>
                <c:pt idx="182">
                  <c:v>3.2899999999999999E-2</c:v>
                </c:pt>
                <c:pt idx="183">
                  <c:v>3.3599999999999998E-2</c:v>
                </c:pt>
                <c:pt idx="184">
                  <c:v>3.4599999999999999E-2</c:v>
                </c:pt>
                <c:pt idx="185">
                  <c:v>3.5000000000000003E-2</c:v>
                </c:pt>
                <c:pt idx="186">
                  <c:v>3.5000000000000003E-2</c:v>
                </c:pt>
                <c:pt idx="187">
                  <c:v>3.44E-2</c:v>
                </c:pt>
                <c:pt idx="188">
                  <c:v>3.5400000000000001E-2</c:v>
                </c:pt>
                <c:pt idx="189">
                  <c:v>3.6799999999999999E-2</c:v>
                </c:pt>
                <c:pt idx="190">
                  <c:v>3.73E-2</c:v>
                </c:pt>
                <c:pt idx="191">
                  <c:v>3.6299999999999999E-2</c:v>
                </c:pt>
                <c:pt idx="192">
                  <c:v>3.4599999999999999E-2</c:v>
                </c:pt>
                <c:pt idx="193">
                  <c:v>3.3000000000000002E-2</c:v>
                </c:pt>
                <c:pt idx="194">
                  <c:v>3.1800000000000002E-2</c:v>
                </c:pt>
                <c:pt idx="195">
                  <c:v>3.1400000000000004E-2</c:v>
                </c:pt>
                <c:pt idx="196">
                  <c:v>3.0499999999999999E-2</c:v>
                </c:pt>
                <c:pt idx="197">
                  <c:v>2.76E-2</c:v>
                </c:pt>
                <c:pt idx="198">
                  <c:v>2.6699999999999998E-2</c:v>
                </c:pt>
                <c:pt idx="199">
                  <c:v>2.3700000000000002E-2</c:v>
                </c:pt>
                <c:pt idx="200">
                  <c:v>2.3900000000000001E-2</c:v>
                </c:pt>
                <c:pt idx="201">
                  <c:v>2.35E-2</c:v>
                </c:pt>
                <c:pt idx="202">
                  <c:v>2.4E-2</c:v>
                </c:pt>
                <c:pt idx="203">
                  <c:v>2.41E-2</c:v>
                </c:pt>
                <c:pt idx="204">
                  <c:v>2.3E-2</c:v>
                </c:pt>
                <c:pt idx="205">
                  <c:v>2.1299999999999999E-2</c:v>
                </c:pt>
                <c:pt idx="206">
                  <c:v>2.4700000000000003E-2</c:v>
                </c:pt>
                <c:pt idx="207">
                  <c:v>2.07E-2</c:v>
                </c:pt>
                <c:pt idx="208">
                  <c:v>1.8100000000000002E-2</c:v>
                </c:pt>
                <c:pt idx="209">
                  <c:v>1.61E-2</c:v>
                </c:pt>
                <c:pt idx="210">
                  <c:v>1.44E-2</c:v>
                </c:pt>
                <c:pt idx="211">
                  <c:v>1.4199999999999999E-2</c:v>
                </c:pt>
                <c:pt idx="212">
                  <c:v>1.4800000000000001E-2</c:v>
                </c:pt>
                <c:pt idx="213">
                  <c:v>1.5300000000000001E-2</c:v>
                </c:pt>
                <c:pt idx="214">
                  <c:v>1.52E-2</c:v>
                </c:pt>
                <c:pt idx="215">
                  <c:v>1.47E-2</c:v>
                </c:pt>
                <c:pt idx="216">
                  <c:v>1.5100000000000001E-2</c:v>
                </c:pt>
                <c:pt idx="217">
                  <c:v>1.6299999999999999E-2</c:v>
                </c:pt>
                <c:pt idx="218">
                  <c:v>1.89E-2</c:v>
                </c:pt>
                <c:pt idx="219">
                  <c:v>1.8500000000000003E-2</c:v>
                </c:pt>
                <c:pt idx="220">
                  <c:v>1.8200000000000001E-2</c:v>
                </c:pt>
                <c:pt idx="221">
                  <c:v>1.78E-2</c:v>
                </c:pt>
                <c:pt idx="222">
                  <c:v>1.7000000000000001E-2</c:v>
                </c:pt>
                <c:pt idx="223">
                  <c:v>1.7100000000000001E-2</c:v>
                </c:pt>
                <c:pt idx="224">
                  <c:v>1.7399999999999999E-2</c:v>
                </c:pt>
                <c:pt idx="225">
                  <c:v>1.9099999999999999E-2</c:v>
                </c:pt>
                <c:pt idx="226">
                  <c:v>1.95E-2</c:v>
                </c:pt>
                <c:pt idx="227">
                  <c:v>0.02</c:v>
                </c:pt>
                <c:pt idx="228">
                  <c:v>2.2799999999999997E-2</c:v>
                </c:pt>
                <c:pt idx="229">
                  <c:v>2.6499999999999999E-2</c:v>
                </c:pt>
                <c:pt idx="230">
                  <c:v>3.0200000000000001E-2</c:v>
                </c:pt>
                <c:pt idx="231">
                  <c:v>3.5299999999999998E-2</c:v>
                </c:pt>
                <c:pt idx="232">
                  <c:v>3.7699999999999997E-2</c:v>
                </c:pt>
                <c:pt idx="233">
                  <c:v>4.07E-2</c:v>
                </c:pt>
                <c:pt idx="234">
                  <c:v>3.95E-2</c:v>
                </c:pt>
                <c:pt idx="235">
                  <c:v>3.9699999999999999E-2</c:v>
                </c:pt>
                <c:pt idx="236">
                  <c:v>4.5899999999999996E-2</c:v>
                </c:pt>
                <c:pt idx="237">
                  <c:v>5.16E-2</c:v>
                </c:pt>
                <c:pt idx="238">
                  <c:v>5.0099999999999999E-2</c:v>
                </c:pt>
                <c:pt idx="239">
                  <c:v>4.6799999999999994E-2</c:v>
                </c:pt>
                <c:pt idx="240">
                  <c:v>4.5700000000000005E-2</c:v>
                </c:pt>
                <c:pt idx="241">
                  <c:v>4.7899999999999998E-2</c:v>
                </c:pt>
                <c:pt idx="242">
                  <c:v>4.8000000000000001E-2</c:v>
                </c:pt>
                <c:pt idx="243">
                  <c:v>4.5499999999999999E-2</c:v>
                </c:pt>
                <c:pt idx="244">
                  <c:v>4.7E-2</c:v>
                </c:pt>
                <c:pt idx="245">
                  <c:v>4.8799999999999996E-2</c:v>
                </c:pt>
                <c:pt idx="246">
                  <c:v>4.9699999999999994E-2</c:v>
                </c:pt>
                <c:pt idx="247">
                  <c:v>5.16E-2</c:v>
                </c:pt>
                <c:pt idx="248">
                  <c:v>5.33E-2</c:v>
                </c:pt>
                <c:pt idx="249">
                  <c:v>5.67E-2</c:v>
                </c:pt>
                <c:pt idx="250">
                  <c:v>5.3499999999999999E-2</c:v>
                </c:pt>
                <c:pt idx="251">
                  <c:v>4.8000000000000001E-2</c:v>
                </c:pt>
                <c:pt idx="252">
                  <c:v>4.7899999999999998E-2</c:v>
                </c:pt>
                <c:pt idx="253">
                  <c:v>4.9599999999999998E-2</c:v>
                </c:pt>
                <c:pt idx="254">
                  <c:v>4.9599999999999998E-2</c:v>
                </c:pt>
                <c:pt idx="255">
                  <c:v>5.2300000000000006E-2</c:v>
                </c:pt>
                <c:pt idx="256">
                  <c:v>5.1699999999999996E-2</c:v>
                </c:pt>
                <c:pt idx="257">
                  <c:v>5.0700000000000002E-2</c:v>
                </c:pt>
                <c:pt idx="258">
                  <c:v>4.9599999999999998E-2</c:v>
                </c:pt>
                <c:pt idx="259">
                  <c:v>4.5899999999999996E-2</c:v>
                </c:pt>
                <c:pt idx="260">
                  <c:v>4.3499999999999997E-2</c:v>
                </c:pt>
                <c:pt idx="261">
                  <c:v>4.6199999999999998E-2</c:v>
                </c:pt>
                <c:pt idx="262">
                  <c:v>4.8399999999999999E-2</c:v>
                </c:pt>
                <c:pt idx="263">
                  <c:v>4.87E-2</c:v>
                </c:pt>
                <c:pt idx="264">
                  <c:v>5.0300000000000004E-2</c:v>
                </c:pt>
                <c:pt idx="265">
                  <c:v>4.9000000000000002E-2</c:v>
                </c:pt>
                <c:pt idx="266">
                  <c:v>4.8000000000000001E-2</c:v>
                </c:pt>
                <c:pt idx="267">
                  <c:v>4.8499999999999995E-2</c:v>
                </c:pt>
                <c:pt idx="268">
                  <c:v>4.8899999999999999E-2</c:v>
                </c:pt>
                <c:pt idx="269">
                  <c:v>4.8099999999999997E-2</c:v>
                </c:pt>
                <c:pt idx="270">
                  <c:v>4.7699999999999992E-2</c:v>
                </c:pt>
                <c:pt idx="271">
                  <c:v>4.6199999999999998E-2</c:v>
                </c:pt>
                <c:pt idx="272">
                  <c:v>4.4900000000000002E-2</c:v>
                </c:pt>
                <c:pt idx="273">
                  <c:v>4.4400000000000002E-2</c:v>
                </c:pt>
                <c:pt idx="274">
                  <c:v>4.5100000000000001E-2</c:v>
                </c:pt>
                <c:pt idx="275">
                  <c:v>4.5599999999999995E-2</c:v>
                </c:pt>
              </c:numCache>
            </c:numRef>
          </c:val>
          <c:smooth val="0"/>
          <c:extLst>
            <c:ext xmlns:c16="http://schemas.microsoft.com/office/drawing/2014/chart" uri="{C3380CC4-5D6E-409C-BE32-E72D297353CC}">
              <c16:uniqueId val="{00000001-A253-4575-B0DA-3C5DF7D2AB29}"/>
            </c:ext>
          </c:extLst>
        </c:ser>
        <c:dLbls>
          <c:dLblPos val="ctr"/>
          <c:showLegendKey val="0"/>
          <c:showVal val="1"/>
          <c:showCatName val="0"/>
          <c:showSerName val="0"/>
          <c:showPercent val="0"/>
          <c:showBubbleSize val="0"/>
        </c:dLbls>
        <c:smooth val="0"/>
        <c:axId val="466087808"/>
        <c:axId val="466077824"/>
      </c:lineChart>
      <c:catAx>
        <c:axId val="46608780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466077824"/>
        <c:crosses val="autoZero"/>
        <c:auto val="1"/>
        <c:lblAlgn val="ctr"/>
        <c:lblOffset val="100"/>
        <c:tickLblSkip val="24"/>
        <c:tickMarkSkip val="12"/>
        <c:noMultiLvlLbl val="0"/>
      </c:catAx>
      <c:valAx>
        <c:axId val="4660778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087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Percentage Change in S&amp;P/Case-Shiller HPI</a:t>
            </a:r>
          </a:p>
          <a:p>
            <a:pPr>
              <a:defRPr/>
            </a:pPr>
            <a:r>
              <a:rPr lang="en-US"/>
              <a:t>(YEAR-OVER-YEAR, SEASONALLY ADJUSTED)</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manualLayout>
          <c:layoutTarget val="inner"/>
          <c:xMode val="edge"/>
          <c:yMode val="edge"/>
          <c:x val="9.3587401574803164E-2"/>
          <c:y val="0.12661485425226349"/>
          <c:w val="0.87593593239869405"/>
          <c:h val="0.75525375573207776"/>
        </c:manualLayout>
      </c:layout>
      <c:lineChart>
        <c:grouping val="standard"/>
        <c:varyColors val="0"/>
        <c:ser>
          <c:idx val="0"/>
          <c:order val="0"/>
          <c:tx>
            <c:strRef>
              <c:f>'1.3A - Homes'!$F$7</c:f>
              <c:strCache>
                <c:ptCount val="1"/>
                <c:pt idx="0">
                  <c:v>%Chg (y-o-y)</c:v>
                </c:pt>
              </c:strCache>
            </c:strRef>
          </c:tx>
          <c:spPr>
            <a:ln w="34925" cap="rnd">
              <a:solidFill>
                <a:schemeClr val="lt1"/>
              </a:solidFill>
              <a:round/>
            </a:ln>
            <a:effectLst>
              <a:outerShdw dist="25400" dir="2700000" algn="tl" rotWithShape="0">
                <a:schemeClr val="accent1"/>
              </a:outerShdw>
            </a:effectLst>
          </c:spPr>
          <c:marker>
            <c:symbol val="none"/>
          </c:marker>
          <c:dLbls>
            <c:delete val="1"/>
          </c:dLbls>
          <c:cat>
            <c:numRef>
              <c:f>'1.3A - Homes'!$A$21:$A$151</c:f>
              <c:numCache>
                <c:formatCode>0</c:formatCode>
                <c:ptCount val="131"/>
                <c:pt idx="0">
                  <c:v>2015</c:v>
                </c:pt>
                <c:pt idx="1">
                  <c:v>2015</c:v>
                </c:pt>
                <c:pt idx="2">
                  <c:v>2015</c:v>
                </c:pt>
                <c:pt idx="3">
                  <c:v>2015</c:v>
                </c:pt>
                <c:pt idx="4">
                  <c:v>2015</c:v>
                </c:pt>
                <c:pt idx="5">
                  <c:v>2015</c:v>
                </c:pt>
                <c:pt idx="6">
                  <c:v>2015</c:v>
                </c:pt>
                <c:pt idx="7">
                  <c:v>2015</c:v>
                </c:pt>
                <c:pt idx="8">
                  <c:v>2015</c:v>
                </c:pt>
                <c:pt idx="9">
                  <c:v>2015</c:v>
                </c:pt>
                <c:pt idx="10">
                  <c:v>2015</c:v>
                </c:pt>
                <c:pt idx="11">
                  <c:v>2015</c:v>
                </c:pt>
                <c:pt idx="12">
                  <c:v>2016</c:v>
                </c:pt>
                <c:pt idx="13">
                  <c:v>2016</c:v>
                </c:pt>
                <c:pt idx="14">
                  <c:v>2016</c:v>
                </c:pt>
                <c:pt idx="15">
                  <c:v>2016</c:v>
                </c:pt>
                <c:pt idx="16">
                  <c:v>2016</c:v>
                </c:pt>
                <c:pt idx="17">
                  <c:v>2016</c:v>
                </c:pt>
                <c:pt idx="18">
                  <c:v>2016</c:v>
                </c:pt>
                <c:pt idx="19">
                  <c:v>2016</c:v>
                </c:pt>
                <c:pt idx="20">
                  <c:v>2016</c:v>
                </c:pt>
                <c:pt idx="21">
                  <c:v>2016</c:v>
                </c:pt>
                <c:pt idx="22">
                  <c:v>2016</c:v>
                </c:pt>
                <c:pt idx="23">
                  <c:v>2016</c:v>
                </c:pt>
                <c:pt idx="24">
                  <c:v>2017</c:v>
                </c:pt>
                <c:pt idx="25">
                  <c:v>2017</c:v>
                </c:pt>
                <c:pt idx="26">
                  <c:v>2017</c:v>
                </c:pt>
                <c:pt idx="27">
                  <c:v>2017</c:v>
                </c:pt>
                <c:pt idx="28">
                  <c:v>2017</c:v>
                </c:pt>
                <c:pt idx="29">
                  <c:v>2017</c:v>
                </c:pt>
                <c:pt idx="30">
                  <c:v>2017</c:v>
                </c:pt>
                <c:pt idx="31">
                  <c:v>2017</c:v>
                </c:pt>
                <c:pt idx="32">
                  <c:v>2017</c:v>
                </c:pt>
                <c:pt idx="33">
                  <c:v>2017</c:v>
                </c:pt>
                <c:pt idx="34">
                  <c:v>2017</c:v>
                </c:pt>
                <c:pt idx="35">
                  <c:v>2017</c:v>
                </c:pt>
                <c:pt idx="36">
                  <c:v>2018</c:v>
                </c:pt>
                <c:pt idx="37">
                  <c:v>2018</c:v>
                </c:pt>
                <c:pt idx="38">
                  <c:v>2018</c:v>
                </c:pt>
                <c:pt idx="39">
                  <c:v>2018</c:v>
                </c:pt>
                <c:pt idx="40">
                  <c:v>2018</c:v>
                </c:pt>
                <c:pt idx="41">
                  <c:v>2018</c:v>
                </c:pt>
                <c:pt idx="42">
                  <c:v>2018</c:v>
                </c:pt>
                <c:pt idx="43">
                  <c:v>2018</c:v>
                </c:pt>
                <c:pt idx="44">
                  <c:v>2018</c:v>
                </c:pt>
                <c:pt idx="45">
                  <c:v>2018</c:v>
                </c:pt>
                <c:pt idx="46">
                  <c:v>2018</c:v>
                </c:pt>
                <c:pt idx="47">
                  <c:v>2018</c:v>
                </c:pt>
                <c:pt idx="48">
                  <c:v>2019</c:v>
                </c:pt>
                <c:pt idx="49">
                  <c:v>2019</c:v>
                </c:pt>
                <c:pt idx="50">
                  <c:v>2019</c:v>
                </c:pt>
                <c:pt idx="51">
                  <c:v>2019</c:v>
                </c:pt>
                <c:pt idx="52">
                  <c:v>2019</c:v>
                </c:pt>
                <c:pt idx="53">
                  <c:v>2019</c:v>
                </c:pt>
                <c:pt idx="54">
                  <c:v>2019</c:v>
                </c:pt>
                <c:pt idx="55">
                  <c:v>2019</c:v>
                </c:pt>
                <c:pt idx="56">
                  <c:v>2019</c:v>
                </c:pt>
                <c:pt idx="57">
                  <c:v>2019</c:v>
                </c:pt>
                <c:pt idx="58">
                  <c:v>2019</c:v>
                </c:pt>
                <c:pt idx="59">
                  <c:v>2019</c:v>
                </c:pt>
                <c:pt idx="60">
                  <c:v>2020</c:v>
                </c:pt>
                <c:pt idx="61">
                  <c:v>2020</c:v>
                </c:pt>
                <c:pt idx="62">
                  <c:v>2020</c:v>
                </c:pt>
                <c:pt idx="63">
                  <c:v>2020</c:v>
                </c:pt>
                <c:pt idx="64">
                  <c:v>2020</c:v>
                </c:pt>
                <c:pt idx="65">
                  <c:v>2020</c:v>
                </c:pt>
                <c:pt idx="66">
                  <c:v>2020</c:v>
                </c:pt>
                <c:pt idx="67">
                  <c:v>2020</c:v>
                </c:pt>
                <c:pt idx="68">
                  <c:v>2020</c:v>
                </c:pt>
                <c:pt idx="69">
                  <c:v>2020</c:v>
                </c:pt>
                <c:pt idx="70">
                  <c:v>2020</c:v>
                </c:pt>
                <c:pt idx="71">
                  <c:v>2020</c:v>
                </c:pt>
                <c:pt idx="72">
                  <c:v>2021</c:v>
                </c:pt>
                <c:pt idx="73">
                  <c:v>2021</c:v>
                </c:pt>
                <c:pt idx="74">
                  <c:v>2021</c:v>
                </c:pt>
                <c:pt idx="75">
                  <c:v>2021</c:v>
                </c:pt>
                <c:pt idx="76">
                  <c:v>2021</c:v>
                </c:pt>
                <c:pt idx="77">
                  <c:v>2021</c:v>
                </c:pt>
                <c:pt idx="78">
                  <c:v>2021</c:v>
                </c:pt>
                <c:pt idx="79">
                  <c:v>2021</c:v>
                </c:pt>
                <c:pt idx="80">
                  <c:v>2021</c:v>
                </c:pt>
                <c:pt idx="81">
                  <c:v>2021</c:v>
                </c:pt>
                <c:pt idx="82">
                  <c:v>2021</c:v>
                </c:pt>
                <c:pt idx="83">
                  <c:v>2021</c:v>
                </c:pt>
                <c:pt idx="84">
                  <c:v>2022</c:v>
                </c:pt>
                <c:pt idx="85">
                  <c:v>2022</c:v>
                </c:pt>
                <c:pt idx="86">
                  <c:v>2022</c:v>
                </c:pt>
                <c:pt idx="87">
                  <c:v>2022</c:v>
                </c:pt>
                <c:pt idx="88">
                  <c:v>2022</c:v>
                </c:pt>
                <c:pt idx="89">
                  <c:v>2022</c:v>
                </c:pt>
                <c:pt idx="90">
                  <c:v>2022</c:v>
                </c:pt>
                <c:pt idx="91">
                  <c:v>2022</c:v>
                </c:pt>
                <c:pt idx="92">
                  <c:v>2022</c:v>
                </c:pt>
                <c:pt idx="93">
                  <c:v>2022</c:v>
                </c:pt>
                <c:pt idx="94">
                  <c:v>2022</c:v>
                </c:pt>
                <c:pt idx="95">
                  <c:v>2022</c:v>
                </c:pt>
                <c:pt idx="96">
                  <c:v>2023</c:v>
                </c:pt>
                <c:pt idx="97">
                  <c:v>2023</c:v>
                </c:pt>
                <c:pt idx="98">
                  <c:v>2023</c:v>
                </c:pt>
                <c:pt idx="99">
                  <c:v>2023</c:v>
                </c:pt>
                <c:pt idx="100">
                  <c:v>2023</c:v>
                </c:pt>
                <c:pt idx="101">
                  <c:v>2023</c:v>
                </c:pt>
                <c:pt idx="102">
                  <c:v>2023</c:v>
                </c:pt>
                <c:pt idx="103">
                  <c:v>2023</c:v>
                </c:pt>
                <c:pt idx="104">
                  <c:v>2023</c:v>
                </c:pt>
                <c:pt idx="105">
                  <c:v>2023</c:v>
                </c:pt>
                <c:pt idx="106">
                  <c:v>2023</c:v>
                </c:pt>
                <c:pt idx="107">
                  <c:v>2023</c:v>
                </c:pt>
                <c:pt idx="108">
                  <c:v>2024</c:v>
                </c:pt>
                <c:pt idx="109">
                  <c:v>2024</c:v>
                </c:pt>
                <c:pt idx="110">
                  <c:v>2024</c:v>
                </c:pt>
                <c:pt idx="111">
                  <c:v>2024</c:v>
                </c:pt>
                <c:pt idx="112">
                  <c:v>2024</c:v>
                </c:pt>
                <c:pt idx="113">
                  <c:v>2024</c:v>
                </c:pt>
                <c:pt idx="114">
                  <c:v>2024</c:v>
                </c:pt>
                <c:pt idx="115">
                  <c:v>2024</c:v>
                </c:pt>
                <c:pt idx="116">
                  <c:v>2024</c:v>
                </c:pt>
                <c:pt idx="117">
                  <c:v>2024</c:v>
                </c:pt>
                <c:pt idx="118">
                  <c:v>2024</c:v>
                </c:pt>
                <c:pt idx="119">
                  <c:v>2024</c:v>
                </c:pt>
                <c:pt idx="120">
                  <c:v>2025</c:v>
                </c:pt>
                <c:pt idx="121">
                  <c:v>2025</c:v>
                </c:pt>
                <c:pt idx="122">
                  <c:v>2025</c:v>
                </c:pt>
                <c:pt idx="123">
                  <c:v>2025</c:v>
                </c:pt>
                <c:pt idx="124">
                  <c:v>2025</c:v>
                </c:pt>
                <c:pt idx="125">
                  <c:v>2025</c:v>
                </c:pt>
                <c:pt idx="126">
                  <c:v>2025</c:v>
                </c:pt>
                <c:pt idx="127">
                  <c:v>2025</c:v>
                </c:pt>
                <c:pt idx="128">
                  <c:v>2025</c:v>
                </c:pt>
                <c:pt idx="129">
                  <c:v>2025</c:v>
                </c:pt>
                <c:pt idx="130">
                  <c:v>2025</c:v>
                </c:pt>
              </c:numCache>
            </c:numRef>
          </c:cat>
          <c:val>
            <c:numRef>
              <c:f>'1.3A - Homes'!$F$21:$F$152</c:f>
              <c:numCache>
                <c:formatCode>0.00%</c:formatCode>
                <c:ptCount val="132"/>
                <c:pt idx="0">
                  <c:v>4.3176256510002009E-2</c:v>
                </c:pt>
                <c:pt idx="1">
                  <c:v>4.2290082065645995E-2</c:v>
                </c:pt>
                <c:pt idx="2">
                  <c:v>4.2813095186396088E-2</c:v>
                </c:pt>
                <c:pt idx="3">
                  <c:v>4.295909037915191E-2</c:v>
                </c:pt>
                <c:pt idx="4">
                  <c:v>4.3513638240509023E-2</c:v>
                </c:pt>
                <c:pt idx="5">
                  <c:v>4.3540255333485822E-2</c:v>
                </c:pt>
                <c:pt idx="6">
                  <c:v>4.4023501537645338E-2</c:v>
                </c:pt>
                <c:pt idx="7">
                  <c:v>4.4705348398346834E-2</c:v>
                </c:pt>
                <c:pt idx="8">
                  <c:v>4.6650681941845074E-2</c:v>
                </c:pt>
                <c:pt idx="9">
                  <c:v>4.8768505371132198E-2</c:v>
                </c:pt>
                <c:pt idx="10">
                  <c:v>5.0906341691717927E-2</c:v>
                </c:pt>
                <c:pt idx="11">
                  <c:v>5.200016820757436E-2</c:v>
                </c:pt>
                <c:pt idx="12">
                  <c:v>5.2853817420647209E-2</c:v>
                </c:pt>
                <c:pt idx="13">
                  <c:v>5.1910485918161831E-2</c:v>
                </c:pt>
                <c:pt idx="14">
                  <c:v>5.0645487536432832E-2</c:v>
                </c:pt>
                <c:pt idx="15">
                  <c:v>5.0167676648820381E-2</c:v>
                </c:pt>
                <c:pt idx="16">
                  <c:v>4.9432644748327093E-2</c:v>
                </c:pt>
                <c:pt idx="17">
                  <c:v>4.8809173772419889E-2</c:v>
                </c:pt>
                <c:pt idx="18">
                  <c:v>4.8849257289571568E-2</c:v>
                </c:pt>
                <c:pt idx="19">
                  <c:v>4.9846231236209348E-2</c:v>
                </c:pt>
                <c:pt idx="20">
                  <c:v>5.0861207118163998E-2</c:v>
                </c:pt>
                <c:pt idx="21">
                  <c:v>5.1247922034149962E-2</c:v>
                </c:pt>
                <c:pt idx="22">
                  <c:v>5.1906156683395821E-2</c:v>
                </c:pt>
                <c:pt idx="23">
                  <c:v>5.3044535938823856E-2</c:v>
                </c:pt>
                <c:pt idx="24">
                  <c:v>5.4953781464602391E-2</c:v>
                </c:pt>
                <c:pt idx="25">
                  <c:v>5.5567282622958292E-2</c:v>
                </c:pt>
                <c:pt idx="26">
                  <c:v>5.6222147981637161E-2</c:v>
                </c:pt>
                <c:pt idx="27">
                  <c:v>5.6297864950111132E-2</c:v>
                </c:pt>
                <c:pt idx="28">
                  <c:v>5.6547173473065593E-2</c:v>
                </c:pt>
                <c:pt idx="29">
                  <c:v>5.6916066118064768E-2</c:v>
                </c:pt>
                <c:pt idx="30">
                  <c:v>5.73489236149054E-2</c:v>
                </c:pt>
                <c:pt idx="31">
                  <c:v>5.8222348059981055E-2</c:v>
                </c:pt>
                <c:pt idx="32">
                  <c:v>5.9114532367848804E-2</c:v>
                </c:pt>
                <c:pt idx="33">
                  <c:v>6.0139548532240683E-2</c:v>
                </c:pt>
                <c:pt idx="34">
                  <c:v>6.0917094564521213E-2</c:v>
                </c:pt>
                <c:pt idx="35">
                  <c:v>6.2069563897058977E-2</c:v>
                </c:pt>
                <c:pt idx="36">
                  <c:v>6.2071841305772368E-2</c:v>
                </c:pt>
                <c:pt idx="37">
                  <c:v>6.4235257238289156E-2</c:v>
                </c:pt>
                <c:pt idx="38">
                  <c:v>6.4568009778482871E-2</c:v>
                </c:pt>
                <c:pt idx="39">
                  <c:v>6.4032119482778871E-2</c:v>
                </c:pt>
                <c:pt idx="40">
                  <c:v>6.2526568805991278E-2</c:v>
                </c:pt>
                <c:pt idx="41">
                  <c:v>6.1246885905830828E-2</c:v>
                </c:pt>
                <c:pt idx="42">
                  <c:v>5.9106223774778366E-2</c:v>
                </c:pt>
                <c:pt idx="43">
                  <c:v>5.6500866988078213E-2</c:v>
                </c:pt>
                <c:pt idx="44">
                  <c:v>5.418279249776714E-2</c:v>
                </c:pt>
                <c:pt idx="45">
                  <c:v>5.2714402144662165E-2</c:v>
                </c:pt>
                <c:pt idx="46">
                  <c:v>4.9391937868687119E-2</c:v>
                </c:pt>
                <c:pt idx="47">
                  <c:v>4.5192288054245022E-2</c:v>
                </c:pt>
                <c:pt idx="48">
                  <c:v>4.1250465278733772E-2</c:v>
                </c:pt>
                <c:pt idx="49">
                  <c:v>3.8246287606394924E-2</c:v>
                </c:pt>
                <c:pt idx="50">
                  <c:v>3.6308516638460908E-2</c:v>
                </c:pt>
                <c:pt idx="51">
                  <c:v>3.5285790478464252E-2</c:v>
                </c:pt>
                <c:pt idx="52">
                  <c:v>3.4101068375012922E-2</c:v>
                </c:pt>
                <c:pt idx="53">
                  <c:v>3.2105348277597701E-2</c:v>
                </c:pt>
                <c:pt idx="54">
                  <c:v>3.1202123403300197E-2</c:v>
                </c:pt>
                <c:pt idx="55">
                  <c:v>3.1052149689283715E-2</c:v>
                </c:pt>
                <c:pt idx="56">
                  <c:v>3.1687912045107014E-2</c:v>
                </c:pt>
                <c:pt idx="57">
                  <c:v>3.216586406197508E-2</c:v>
                </c:pt>
                <c:pt idx="58">
                  <c:v>3.4157114928014654E-2</c:v>
                </c:pt>
                <c:pt idx="59">
                  <c:v>3.685827760218463E-2</c:v>
                </c:pt>
                <c:pt idx="60">
                  <c:v>4.0154939302381232E-2</c:v>
                </c:pt>
                <c:pt idx="61">
                  <c:v>4.2995710211848115E-2</c:v>
                </c:pt>
                <c:pt idx="62">
                  <c:v>4.5780568163048097E-2</c:v>
                </c:pt>
                <c:pt idx="63">
                  <c:v>4.6009109379970159E-2</c:v>
                </c:pt>
                <c:pt idx="64">
                  <c:v>4.367097979088741E-2</c:v>
                </c:pt>
                <c:pt idx="65">
                  <c:v>4.3837073476486355E-2</c:v>
                </c:pt>
                <c:pt idx="66">
                  <c:v>4.8431740864636197E-2</c:v>
                </c:pt>
                <c:pt idx="67">
                  <c:v>5.8363406200993895E-2</c:v>
                </c:pt>
                <c:pt idx="68">
                  <c:v>7.0467137989296269E-2</c:v>
                </c:pt>
                <c:pt idx="69">
                  <c:v>8.4211171861363621E-2</c:v>
                </c:pt>
                <c:pt idx="70">
                  <c:v>9.5324750020036042E-2</c:v>
                </c:pt>
                <c:pt idx="71">
                  <c:v>0.10432135991858571</c:v>
                </c:pt>
                <c:pt idx="72">
                  <c:v>0.11326732859718747</c:v>
                </c:pt>
                <c:pt idx="73">
                  <c:v>0.12204249890962293</c:v>
                </c:pt>
                <c:pt idx="74">
                  <c:v>0.13494914198887575</c:v>
                </c:pt>
                <c:pt idx="75">
                  <c:v>0.150063980410027</c:v>
                </c:pt>
                <c:pt idx="76">
                  <c:v>0.16922802328561493</c:v>
                </c:pt>
                <c:pt idx="77">
                  <c:v>0.188218168584811</c:v>
                </c:pt>
                <c:pt idx="78">
                  <c:v>0.19838888011372613</c:v>
                </c:pt>
                <c:pt idx="79">
                  <c:v>0.19975096401027836</c:v>
                </c:pt>
                <c:pt idx="80">
                  <c:v>0.19688559499508407</c:v>
                </c:pt>
                <c:pt idx="81">
                  <c:v>0.19080189705434458</c:v>
                </c:pt>
                <c:pt idx="82">
                  <c:v>0.18814050280411632</c:v>
                </c:pt>
                <c:pt idx="83">
                  <c:v>0.1887452536371006</c:v>
                </c:pt>
                <c:pt idx="84">
                  <c:v>0.19261379975303217</c:v>
                </c:pt>
                <c:pt idx="85">
                  <c:v>0.20065036028956906</c:v>
                </c:pt>
                <c:pt idx="86">
                  <c:v>0.20811548870209906</c:v>
                </c:pt>
                <c:pt idx="87">
                  <c:v>0.20760758196721318</c:v>
                </c:pt>
                <c:pt idx="88">
                  <c:v>0.19972130999956939</c:v>
                </c:pt>
                <c:pt idx="89">
                  <c:v>0.18029830861466123</c:v>
                </c:pt>
                <c:pt idx="90">
                  <c:v>0.15662505413394712</c:v>
                </c:pt>
                <c:pt idx="91">
                  <c:v>0.12969596869292621</c:v>
                </c:pt>
                <c:pt idx="92">
                  <c:v>0.10693105048733953</c:v>
                </c:pt>
                <c:pt idx="93">
                  <c:v>9.1511316052937275E-2</c:v>
                </c:pt>
                <c:pt idx="94">
                  <c:v>7.5617010023582898E-2</c:v>
                </c:pt>
                <c:pt idx="95">
                  <c:v>5.6652191077773528E-2</c:v>
                </c:pt>
                <c:pt idx="96">
                  <c:v>3.8416396290977373E-2</c:v>
                </c:pt>
                <c:pt idx="97">
                  <c:v>2.1618196882245311E-2</c:v>
                </c:pt>
                <c:pt idx="98">
                  <c:v>7.5741914931866106E-3</c:v>
                </c:pt>
                <c:pt idx="99">
                  <c:v>-8.5838901262069722E-4</c:v>
                </c:pt>
                <c:pt idx="100">
                  <c:v>-3.5203226037987534E-3</c:v>
                </c:pt>
                <c:pt idx="101">
                  <c:v>1.9461500287087929E-5</c:v>
                </c:pt>
                <c:pt idx="102">
                  <c:v>9.8523129818743893E-3</c:v>
                </c:pt>
                <c:pt idx="103">
                  <c:v>2.5727231416660779E-2</c:v>
                </c:pt>
                <c:pt idx="104">
                  <c:v>4.0132710821522588E-2</c:v>
                </c:pt>
                <c:pt idx="105">
                  <c:v>4.7511607588199389E-2</c:v>
                </c:pt>
                <c:pt idx="106">
                  <c:v>5.1312966661390291E-2</c:v>
                </c:pt>
                <c:pt idx="107">
                  <c:v>5.6250530713448654E-2</c:v>
                </c:pt>
                <c:pt idx="108">
                  <c:v>6.1458294206229169E-2</c:v>
                </c:pt>
                <c:pt idx="109">
                  <c:v>6.5795930050295048E-2</c:v>
                </c:pt>
                <c:pt idx="110">
                  <c:v>6.6057662554319441E-2</c:v>
                </c:pt>
                <c:pt idx="111">
                  <c:v>6.43946807134399E-2</c:v>
                </c:pt>
                <c:pt idx="112">
                  <c:v>6.0214060970378958E-2</c:v>
                </c:pt>
                <c:pt idx="113">
                  <c:v>5.5350673192629429E-2</c:v>
                </c:pt>
                <c:pt idx="114">
                  <c:v>5.0067384141190718E-2</c:v>
                </c:pt>
                <c:pt idx="115">
                  <c:v>4.3769000863566054E-2</c:v>
                </c:pt>
                <c:pt idx="116">
                  <c:v>3.9038529832385871E-2</c:v>
                </c:pt>
                <c:pt idx="117">
                  <c:v>3.5667263198261523E-2</c:v>
                </c:pt>
                <c:pt idx="118">
                  <c:v>3.7282282426583935E-2</c:v>
                </c:pt>
                <c:pt idx="119">
                  <c:v>3.9900185223296969E-2</c:v>
                </c:pt>
                <c:pt idx="120">
                  <c:v>4.1242154500445549E-2</c:v>
                </c:pt>
                <c:pt idx="121">
                  <c:v>3.9462620333336584E-2</c:v>
                </c:pt>
                <c:pt idx="122">
                  <c:v>3.4020494958290515E-2</c:v>
                </c:pt>
                <c:pt idx="123">
                  <c:v>2.8150535087664741E-2</c:v>
                </c:pt>
                <c:pt idx="124">
                  <c:v>2.3510119882156122E-2</c:v>
                </c:pt>
                <c:pt idx="125">
                  <c:v>1.9199562347098187E-2</c:v>
                </c:pt>
                <c:pt idx="126">
                  <c:v>1.6230107678750771E-2</c:v>
                </c:pt>
                <c:pt idx="127">
                  <c:v>1.4590952010408165E-2</c:v>
                </c:pt>
                <c:pt idx="128">
                  <c:v>1.2960140409219001E-2</c:v>
                </c:pt>
                <c:pt idx="129">
                  <c:v>1.3653993908929962E-2</c:v>
                </c:pt>
                <c:pt idx="130">
                  <c:v>1.344051983186989E-2</c:v>
                </c:pt>
                <c:pt idx="131">
                  <c:v>1.1082799396383347E-2</c:v>
                </c:pt>
              </c:numCache>
            </c:numRef>
          </c:val>
          <c:smooth val="0"/>
          <c:extLst>
            <c:ext xmlns:c16="http://schemas.microsoft.com/office/drawing/2014/chart" uri="{C3380CC4-5D6E-409C-BE32-E72D297353CC}">
              <c16:uniqueId val="{00000000-1BBA-4D5A-8CF0-776695AEA180}"/>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314617040"/>
        <c:axId val="259536768"/>
      </c:lineChart>
      <c:catAx>
        <c:axId val="314617040"/>
        <c:scaling>
          <c:orientation val="minMax"/>
        </c:scaling>
        <c:delete val="0"/>
        <c:axPos val="b"/>
        <c:numFmt formatCode="0" sourceLinked="1"/>
        <c:majorTickMark val="none"/>
        <c:minorTickMark val="none"/>
        <c:tickLblPos val="low"/>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en-US"/>
          </a:p>
        </c:txPr>
        <c:crossAx val="259536768"/>
        <c:crosses val="autoZero"/>
        <c:auto val="1"/>
        <c:lblAlgn val="ctr"/>
        <c:lblOffset val="100"/>
        <c:tickLblSkip val="24"/>
        <c:tickMarkSkip val="12"/>
        <c:noMultiLvlLbl val="1"/>
      </c:catAx>
      <c:valAx>
        <c:axId val="259536768"/>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314617040"/>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The U.S. National Annual Unemployment Rate</a:t>
            </a:r>
          </a:p>
        </c:rich>
      </c:tx>
      <c:layout>
        <c:manualLayout>
          <c:xMode val="edge"/>
          <c:yMode val="edge"/>
          <c:x val="0.22406838528745551"/>
          <c:y val="4.2303188394640263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manualLayout>
          <c:layoutTarget val="inner"/>
          <c:xMode val="edge"/>
          <c:yMode val="edge"/>
          <c:x val="0.12316211843382591"/>
          <c:y val="0.27553476707709018"/>
          <c:w val="0.84944062129220144"/>
          <c:h val="0.47209432981830723"/>
        </c:manualLayout>
      </c:layout>
      <c:lineChart>
        <c:grouping val="standard"/>
        <c:varyColors val="0"/>
        <c:ser>
          <c:idx val="0"/>
          <c:order val="0"/>
          <c:tx>
            <c:strRef>
              <c:f>'1.1B - Uemploy'!$V$5</c:f>
              <c:strCache>
                <c:ptCount val="1"/>
                <c:pt idx="0">
                  <c:v>Unemployment Rate</c:v>
                </c:pt>
              </c:strCache>
            </c:strRef>
          </c:tx>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'1.1B - Uemploy'!$U$17:$U$34</c:f>
              <c:numCache>
                <c:formatCode>General</c:formatCod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numCache>
            </c:numRef>
          </c:cat>
          <c:val>
            <c:numRef>
              <c:f>'1.1B - Uemploy'!$W$17:$W$34</c:f>
              <c:numCache>
                <c:formatCode>General</c:formatCode>
                <c:ptCount val="18"/>
                <c:pt idx="0">
                  <c:v>5.8</c:v>
                </c:pt>
                <c:pt idx="1">
                  <c:v>9.3000000000000007</c:v>
                </c:pt>
                <c:pt idx="2">
                  <c:v>9.6</c:v>
                </c:pt>
                <c:pt idx="3">
                  <c:v>8.9</c:v>
                </c:pt>
                <c:pt idx="4">
                  <c:v>8.1</c:v>
                </c:pt>
                <c:pt idx="5">
                  <c:v>7.4</c:v>
                </c:pt>
                <c:pt idx="6">
                  <c:v>6.2</c:v>
                </c:pt>
                <c:pt idx="7">
                  <c:v>5.3</c:v>
                </c:pt>
                <c:pt idx="8">
                  <c:v>4.9000000000000004</c:v>
                </c:pt>
                <c:pt idx="9">
                  <c:v>4.4000000000000004</c:v>
                </c:pt>
                <c:pt idx="10">
                  <c:v>3.9</c:v>
                </c:pt>
                <c:pt idx="11">
                  <c:v>3.7</c:v>
                </c:pt>
                <c:pt idx="12">
                  <c:v>8.1</c:v>
                </c:pt>
                <c:pt idx="13">
                  <c:v>5.4</c:v>
                </c:pt>
                <c:pt idx="14">
                  <c:v>3.6</c:v>
                </c:pt>
                <c:pt idx="15">
                  <c:v>3.4</c:v>
                </c:pt>
                <c:pt idx="16" formatCode="0.0">
                  <c:v>3.7</c:v>
                </c:pt>
                <c:pt idx="17" formatCode="0.0">
                  <c:v>4.3</c:v>
                </c:pt>
              </c:numCache>
            </c:numRef>
          </c:val>
          <c:smooth val="0"/>
          <c:extLst>
            <c:ext xmlns:c16="http://schemas.microsoft.com/office/drawing/2014/chart" uri="{C3380CC4-5D6E-409C-BE32-E72D297353CC}">
              <c16:uniqueId val="{00000000-A6AD-488D-B50A-325A2D7E2EAA}"/>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425365263"/>
        <c:axId val="533313759"/>
      </c:lineChart>
      <c:catAx>
        <c:axId val="425365263"/>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lt1"/>
                    </a:solidFill>
                    <a:latin typeface="+mn-lt"/>
                    <a:ea typeface="+mn-ea"/>
                    <a:cs typeface="+mn-cs"/>
                  </a:defRPr>
                </a:pPr>
                <a:r>
                  <a:rPr lang="en-US"/>
                  <a:t>Time (Year)</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533313759"/>
        <c:crosses val="autoZero"/>
        <c:auto val="1"/>
        <c:lblAlgn val="ctr"/>
        <c:lblOffset val="100"/>
        <c:noMultiLvlLbl val="0"/>
      </c:catAx>
      <c:valAx>
        <c:axId val="533313759"/>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solidFill>
                  <a:latin typeface="+mn-lt"/>
                  <a:ea typeface="+mn-ea"/>
                  <a:cs typeface="+mn-cs"/>
                </a:defRPr>
              </a:pPr>
              <a:endParaRPr lang="en-US"/>
            </a:p>
          </c:txPr>
        </c:title>
        <c:numFmt formatCode="0" sourceLinked="0"/>
        <c:majorTickMark val="none"/>
        <c:minorTickMark val="none"/>
        <c:tickLblPos val="nextTo"/>
        <c:crossAx val="425365263"/>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lt1">
          <a:lumMod val="85000"/>
        </a:schemeClr>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Average Tariff Rate on all Imports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7.3623196090387685E-2"/>
          <c:y val="0.17084810295446873"/>
          <c:w val="0.90617478370759208"/>
          <c:h val="0.72888931087806419"/>
        </c:manualLayout>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'1.6 Tariffs'!$A$190:$A$207</c:f>
              <c:numCache>
                <c:formatCode>General</c:formatCode>
                <c:ptCount val="18"/>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numCache>
            </c:numRef>
          </c:cat>
          <c:val>
            <c:numRef>
              <c:f>'1.6 Tariffs'!$B$190:$B$207</c:f>
              <c:numCache>
                <c:formatCode>0.0</c:formatCode>
                <c:ptCount val="18"/>
                <c:pt idx="0">
                  <c:v>1.2</c:v>
                </c:pt>
                <c:pt idx="1">
                  <c:v>1.4</c:v>
                </c:pt>
                <c:pt idx="2">
                  <c:v>1.4</c:v>
                </c:pt>
                <c:pt idx="3">
                  <c:v>1.3</c:v>
                </c:pt>
                <c:pt idx="4">
                  <c:v>1.3</c:v>
                </c:pt>
                <c:pt idx="5">
                  <c:v>1.4</c:v>
                </c:pt>
                <c:pt idx="6">
                  <c:v>1.4</c:v>
                </c:pt>
                <c:pt idx="7">
                  <c:v>1.5</c:v>
                </c:pt>
                <c:pt idx="8">
                  <c:v>1.5</c:v>
                </c:pt>
                <c:pt idx="9">
                  <c:v>1.4</c:v>
                </c:pt>
                <c:pt idx="10">
                  <c:v>1.8</c:v>
                </c:pt>
                <c:pt idx="11">
                  <c:v>2.7</c:v>
                </c:pt>
                <c:pt idx="12">
                  <c:v>2.8</c:v>
                </c:pt>
                <c:pt idx="13">
                  <c:v>3</c:v>
                </c:pt>
                <c:pt idx="14">
                  <c:v>2.8</c:v>
                </c:pt>
                <c:pt idx="15">
                  <c:v>2.4</c:v>
                </c:pt>
                <c:pt idx="16">
                  <c:v>2.48</c:v>
                </c:pt>
                <c:pt idx="17">
                  <c:v>11.2</c:v>
                </c:pt>
              </c:numCache>
            </c:numRef>
          </c:val>
          <c:smooth val="0"/>
          <c:extLst>
            <c:ext xmlns:c16="http://schemas.microsoft.com/office/drawing/2014/chart" uri="{C3380CC4-5D6E-409C-BE32-E72D297353CC}">
              <c16:uniqueId val="{00000000-F4BB-4EB6-A36F-154457ADF880}"/>
            </c:ext>
          </c:extLst>
        </c:ser>
        <c:dLbls>
          <c:dLblPos val="ctr"/>
          <c:showLegendKey val="0"/>
          <c:showVal val="1"/>
          <c:showCatName val="0"/>
          <c:showSerName val="0"/>
          <c:showPercent val="0"/>
          <c:showBubbleSize val="0"/>
        </c:dLbls>
        <c:marker val="1"/>
        <c:smooth val="0"/>
        <c:axId val="1380990240"/>
        <c:axId val="1381009440"/>
      </c:lineChart>
      <c:catAx>
        <c:axId val="13809902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381009440"/>
        <c:crosses val="autoZero"/>
        <c:auto val="1"/>
        <c:lblAlgn val="ctr"/>
        <c:lblOffset val="100"/>
        <c:noMultiLvlLbl val="0"/>
      </c:catAx>
      <c:valAx>
        <c:axId val="13810094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crossAx val="13809902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FABNs and FHLB Combined</a:t>
            </a:r>
          </a:p>
          <a:p>
            <a:pPr>
              <a:defRPr/>
            </a:pPr>
            <a:r>
              <a:rPr lang="en-US"/>
              <a:t>(millions)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'2.3 FHLB, FABN'!$R$26</c:f>
              <c:strCache>
                <c:ptCount val="1"/>
                <c:pt idx="0">
                  <c:v>FHLB</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'2.3 FHLB, FABN'!$P$27:$P$34</c:f>
              <c:numCache>
                <c:formatCode>General</c:formatCode>
                <c:ptCount val="8"/>
                <c:pt idx="0">
                  <c:v>2018</c:v>
                </c:pt>
                <c:pt idx="1">
                  <c:v>2019</c:v>
                </c:pt>
                <c:pt idx="2">
                  <c:v>2020</c:v>
                </c:pt>
                <c:pt idx="3">
                  <c:v>2021</c:v>
                </c:pt>
                <c:pt idx="4">
                  <c:v>2022</c:v>
                </c:pt>
                <c:pt idx="5">
                  <c:v>2023</c:v>
                </c:pt>
                <c:pt idx="6">
                  <c:v>2024</c:v>
                </c:pt>
                <c:pt idx="7">
                  <c:v>2025</c:v>
                </c:pt>
              </c:numCache>
            </c:numRef>
          </c:cat>
          <c:val>
            <c:numRef>
              <c:f>'2.3 FHLB, FABN'!$R$27:$R$34</c:f>
              <c:numCache>
                <c:formatCode>_("$"* #,##0_);_("$"* \(#,##0\);_("$"* "-"??_);_(@_)</c:formatCode>
                <c:ptCount val="8"/>
                <c:pt idx="0">
                  <c:v>83992.345892000012</c:v>
                </c:pt>
                <c:pt idx="1">
                  <c:v>91501.299207999997</c:v>
                </c:pt>
                <c:pt idx="2">
                  <c:v>113249</c:v>
                </c:pt>
                <c:pt idx="3">
                  <c:v>117237</c:v>
                </c:pt>
                <c:pt idx="4">
                  <c:v>137112</c:v>
                </c:pt>
                <c:pt idx="5">
                  <c:v>142790</c:v>
                </c:pt>
                <c:pt idx="6">
                  <c:v>161138</c:v>
                </c:pt>
                <c:pt idx="7">
                  <c:v>177845</c:v>
                </c:pt>
              </c:numCache>
            </c:numRef>
          </c:val>
          <c:extLst>
            <c:ext xmlns:c16="http://schemas.microsoft.com/office/drawing/2014/chart" uri="{C3380CC4-5D6E-409C-BE32-E72D297353CC}">
              <c16:uniqueId val="{00000000-6766-4C8B-B0C8-9A1DA8612470}"/>
            </c:ext>
          </c:extLst>
        </c:ser>
        <c:ser>
          <c:idx val="1"/>
          <c:order val="1"/>
          <c:tx>
            <c:strRef>
              <c:f>'2.3 FHLB, FABN'!$Q$26</c:f>
              <c:strCache>
                <c:ptCount val="1"/>
                <c:pt idx="0">
                  <c:v>FABNs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'2.3 FHLB, FABN'!$P$27:$P$34</c:f>
              <c:numCache>
                <c:formatCode>General</c:formatCode>
                <c:ptCount val="8"/>
                <c:pt idx="0">
                  <c:v>2018</c:v>
                </c:pt>
                <c:pt idx="1">
                  <c:v>2019</c:v>
                </c:pt>
                <c:pt idx="2">
                  <c:v>2020</c:v>
                </c:pt>
                <c:pt idx="3">
                  <c:v>2021</c:v>
                </c:pt>
                <c:pt idx="4">
                  <c:v>2022</c:v>
                </c:pt>
                <c:pt idx="5">
                  <c:v>2023</c:v>
                </c:pt>
                <c:pt idx="6">
                  <c:v>2024</c:v>
                </c:pt>
                <c:pt idx="7">
                  <c:v>2025</c:v>
                </c:pt>
              </c:numCache>
            </c:numRef>
          </c:cat>
          <c:val>
            <c:numRef>
              <c:f>'2.3 FHLB, FABN'!$Q$27:$Q$34</c:f>
              <c:numCache>
                <c:formatCode>_("$"* #,##0_);_("$"* \(#,##0\);_("$"* "-"??_);_(@_)</c:formatCode>
                <c:ptCount val="8"/>
                <c:pt idx="0">
                  <c:v>87856.9</c:v>
                </c:pt>
                <c:pt idx="1">
                  <c:v>93866.6</c:v>
                </c:pt>
                <c:pt idx="2">
                  <c:v>114381.4</c:v>
                </c:pt>
                <c:pt idx="3">
                  <c:v>152740.29999999999</c:v>
                </c:pt>
                <c:pt idx="4">
                  <c:v>173726</c:v>
                </c:pt>
                <c:pt idx="5">
                  <c:v>184238</c:v>
                </c:pt>
                <c:pt idx="6">
                  <c:v>221161</c:v>
                </c:pt>
                <c:pt idx="7">
                  <c:v>280471.8</c:v>
                </c:pt>
              </c:numCache>
            </c:numRef>
          </c:val>
          <c:extLst>
            <c:ext xmlns:c16="http://schemas.microsoft.com/office/drawing/2014/chart" uri="{C3380CC4-5D6E-409C-BE32-E72D297353CC}">
              <c16:uniqueId val="{00000001-6766-4C8B-B0C8-9A1DA8612470}"/>
            </c:ext>
          </c:extLst>
        </c:ser>
        <c:ser>
          <c:idx val="2"/>
          <c:order val="2"/>
          <c:tx>
            <c:strRef>
              <c:f>'2.3 FHLB, FABN'!$S$26</c:f>
              <c:strCache>
                <c:ptCount val="1"/>
                <c:pt idx="0">
                  <c:v>Combined</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'2.3 FHLB, FABN'!$P$27:$P$34</c:f>
              <c:numCache>
                <c:formatCode>General</c:formatCode>
                <c:ptCount val="8"/>
                <c:pt idx="0">
                  <c:v>2018</c:v>
                </c:pt>
                <c:pt idx="1">
                  <c:v>2019</c:v>
                </c:pt>
                <c:pt idx="2">
                  <c:v>2020</c:v>
                </c:pt>
                <c:pt idx="3">
                  <c:v>2021</c:v>
                </c:pt>
                <c:pt idx="4">
                  <c:v>2022</c:v>
                </c:pt>
                <c:pt idx="5">
                  <c:v>2023</c:v>
                </c:pt>
                <c:pt idx="6">
                  <c:v>2024</c:v>
                </c:pt>
                <c:pt idx="7">
                  <c:v>2025</c:v>
                </c:pt>
              </c:numCache>
            </c:numRef>
          </c:cat>
          <c:val>
            <c:numRef>
              <c:f>'2.3 FHLB, FABN'!$S$27:$S$34</c:f>
              <c:numCache>
                <c:formatCode>_("$"* #,##0_);_("$"* \(#,##0\);_("$"* "-"??_);_(@_)</c:formatCode>
                <c:ptCount val="8"/>
                <c:pt idx="0">
                  <c:v>171849.24589200001</c:v>
                </c:pt>
                <c:pt idx="1">
                  <c:v>185367.89920799999</c:v>
                </c:pt>
                <c:pt idx="2">
                  <c:v>227630.4</c:v>
                </c:pt>
                <c:pt idx="3">
                  <c:v>269977.3</c:v>
                </c:pt>
                <c:pt idx="4">
                  <c:v>310838</c:v>
                </c:pt>
                <c:pt idx="5">
                  <c:v>327028</c:v>
                </c:pt>
                <c:pt idx="6">
                  <c:v>382299</c:v>
                </c:pt>
                <c:pt idx="7">
                  <c:v>458316.79999999999</c:v>
                </c:pt>
              </c:numCache>
            </c:numRef>
          </c:val>
          <c:extLst>
            <c:ext xmlns:c16="http://schemas.microsoft.com/office/drawing/2014/chart" uri="{C3380CC4-5D6E-409C-BE32-E72D297353CC}">
              <c16:uniqueId val="{00000002-6766-4C8B-B0C8-9A1DA8612470}"/>
            </c:ext>
          </c:extLst>
        </c:ser>
        <c:dLbls>
          <c:showLegendKey val="0"/>
          <c:showVal val="0"/>
          <c:showCatName val="0"/>
          <c:showSerName val="0"/>
          <c:showPercent val="0"/>
          <c:showBubbleSize val="0"/>
        </c:dLbls>
        <c:gapWidth val="100"/>
        <c:overlap val="-24"/>
        <c:axId val="1285486432"/>
        <c:axId val="1285469152"/>
      </c:barChart>
      <c:catAx>
        <c:axId val="1285486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5469152"/>
        <c:crosses val="autoZero"/>
        <c:auto val="1"/>
        <c:lblAlgn val="ctr"/>
        <c:lblOffset val="100"/>
        <c:noMultiLvlLbl val="0"/>
      </c:catAx>
      <c:valAx>
        <c:axId val="1285469152"/>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548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Total US Life and Annuity Ceded vs. Offshore Reserve Credits</a:t>
            </a:r>
          </a:p>
        </c:rich>
      </c:tx>
      <c:layout>
        <c:manualLayout>
          <c:xMode val="edge"/>
          <c:yMode val="edge"/>
          <c:x val="0.16791666666666666"/>
          <c:y val="2.295552021516733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'Risk 2.4 Reinsurance Interconn '!$H$34</c:f>
              <c:strCache>
                <c:ptCount val="1"/>
                <c:pt idx="0">
                  <c:v> Total Reserve Credit Ceded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'Risk 2.4 Reinsurance Interconn '!$G$35:$G$40</c:f>
              <c:numCache>
                <c:formatCode>General</c:formatCode>
                <c:ptCount val="6"/>
                <c:pt idx="0">
                  <c:v>2020</c:v>
                </c:pt>
                <c:pt idx="1">
                  <c:v>2021</c:v>
                </c:pt>
                <c:pt idx="2">
                  <c:v>2022</c:v>
                </c:pt>
                <c:pt idx="3">
                  <c:v>2023</c:v>
                </c:pt>
                <c:pt idx="4">
                  <c:v>2024</c:v>
                </c:pt>
                <c:pt idx="5">
                  <c:v>2025</c:v>
                </c:pt>
              </c:numCache>
            </c:numRef>
          </c:cat>
          <c:val>
            <c:numRef>
              <c:f>'Risk 2.4 Reinsurance Interconn '!$H$35:$H$40</c:f>
              <c:numCache>
                <c:formatCode>_("$"* #,##0_);_("$"* \(#,##0\);_("$"* "-"??_);_(@_)</c:formatCode>
                <c:ptCount val="6"/>
                <c:pt idx="0">
                  <c:v>977565299.31900001</c:v>
                </c:pt>
                <c:pt idx="1">
                  <c:v>1093842643.1559999</c:v>
                </c:pt>
                <c:pt idx="2">
                  <c:v>1202733112.006</c:v>
                </c:pt>
                <c:pt idx="3">
                  <c:v>1350670717.823</c:v>
                </c:pt>
                <c:pt idx="4">
                  <c:v>1467774167.0580001</c:v>
                </c:pt>
                <c:pt idx="5">
                  <c:v>1623236545</c:v>
                </c:pt>
              </c:numCache>
            </c:numRef>
          </c:val>
          <c:extLst>
            <c:ext xmlns:c16="http://schemas.microsoft.com/office/drawing/2014/chart" uri="{C3380CC4-5D6E-409C-BE32-E72D297353CC}">
              <c16:uniqueId val="{00000000-07CA-42CA-A2BE-4EABB69B70F5}"/>
            </c:ext>
          </c:extLst>
        </c:ser>
        <c:ser>
          <c:idx val="1"/>
          <c:order val="1"/>
          <c:tx>
            <c:strRef>
              <c:f>'Risk 2.4 Reinsurance Interconn '!$I$34</c:f>
              <c:strCache>
                <c:ptCount val="1"/>
                <c:pt idx="0">
                  <c:v> Total Reserve Credit Ceded OffShore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'Risk 2.4 Reinsurance Interconn '!$G$35:$G$40</c:f>
              <c:numCache>
                <c:formatCode>General</c:formatCode>
                <c:ptCount val="6"/>
                <c:pt idx="0">
                  <c:v>2020</c:v>
                </c:pt>
                <c:pt idx="1">
                  <c:v>2021</c:v>
                </c:pt>
                <c:pt idx="2">
                  <c:v>2022</c:v>
                </c:pt>
                <c:pt idx="3">
                  <c:v>2023</c:v>
                </c:pt>
                <c:pt idx="4">
                  <c:v>2024</c:v>
                </c:pt>
                <c:pt idx="5">
                  <c:v>2025</c:v>
                </c:pt>
              </c:numCache>
            </c:numRef>
          </c:cat>
          <c:val>
            <c:numRef>
              <c:f>'Risk 2.4 Reinsurance Interconn '!$I$35:$I$40</c:f>
              <c:numCache>
                <c:formatCode>_("$"* #,##0_);_("$"* \(#,##0\);_("$"* "-"??_);_(@_)</c:formatCode>
                <c:ptCount val="6"/>
                <c:pt idx="0">
                  <c:v>225476276.69999999</c:v>
                </c:pt>
                <c:pt idx="1">
                  <c:v>285986443.92900002</c:v>
                </c:pt>
                <c:pt idx="2">
                  <c:v>365008410.676</c:v>
                </c:pt>
                <c:pt idx="3">
                  <c:v>481217712.59299999</c:v>
                </c:pt>
                <c:pt idx="4">
                  <c:v>595149168.70299995</c:v>
                </c:pt>
                <c:pt idx="5">
                  <c:v>705126589.505</c:v>
                </c:pt>
              </c:numCache>
            </c:numRef>
          </c:val>
          <c:extLst>
            <c:ext xmlns:c16="http://schemas.microsoft.com/office/drawing/2014/chart" uri="{C3380CC4-5D6E-409C-BE32-E72D297353CC}">
              <c16:uniqueId val="{00000001-07CA-42CA-A2BE-4EABB69B70F5}"/>
            </c:ext>
          </c:extLst>
        </c:ser>
        <c:dLbls>
          <c:showLegendKey val="0"/>
          <c:showVal val="0"/>
          <c:showCatName val="0"/>
          <c:showSerName val="0"/>
          <c:showPercent val="0"/>
          <c:showBubbleSize val="0"/>
        </c:dLbls>
        <c:gapWidth val="269"/>
        <c:overlap val="-27"/>
        <c:axId val="286664208"/>
        <c:axId val="286671888"/>
      </c:barChart>
      <c:lineChart>
        <c:grouping val="standard"/>
        <c:varyColors val="0"/>
        <c:ser>
          <c:idx val="2"/>
          <c:order val="2"/>
          <c:tx>
            <c:strRef>
              <c:f>'Risk 2.4 Reinsurance Interconn '!$J$34</c:f>
              <c:strCache>
                <c:ptCount val="1"/>
                <c:pt idx="0">
                  <c:v> % of Total </c:v>
                </c:pt>
              </c:strCache>
            </c:strRef>
          </c:tx>
          <c:spPr>
            <a:ln w="31750" cap="rnd">
              <a:solidFill>
                <a:schemeClr val="accent3"/>
              </a:solidFill>
              <a:round/>
            </a:ln>
            <a:effectLst>
              <a:outerShdw blurRad="40000" dist="23000" dir="5400000" rotWithShape="0">
                <a:srgbClr val="000000">
                  <a:alpha val="35000"/>
                </a:srgbClr>
              </a:outerShdw>
            </a:effectLst>
          </c:spPr>
          <c:marker>
            <c:symbol val="none"/>
          </c:marker>
          <c:cat>
            <c:numRef>
              <c:f>'Risk 2.4 Reinsurance Interconn '!$G$35:$G$40</c:f>
              <c:numCache>
                <c:formatCode>General</c:formatCode>
                <c:ptCount val="6"/>
                <c:pt idx="0">
                  <c:v>2020</c:v>
                </c:pt>
                <c:pt idx="1">
                  <c:v>2021</c:v>
                </c:pt>
                <c:pt idx="2">
                  <c:v>2022</c:v>
                </c:pt>
                <c:pt idx="3">
                  <c:v>2023</c:v>
                </c:pt>
                <c:pt idx="4">
                  <c:v>2024</c:v>
                </c:pt>
                <c:pt idx="5">
                  <c:v>2025</c:v>
                </c:pt>
              </c:numCache>
            </c:numRef>
          </c:cat>
          <c:val>
            <c:numRef>
              <c:f>'Risk 2.4 Reinsurance Interconn '!$J$35:$J$40</c:f>
              <c:numCache>
                <c:formatCode>0.0%</c:formatCode>
                <c:ptCount val="6"/>
                <c:pt idx="0">
                  <c:v>0.2306508596991661</c:v>
                </c:pt>
                <c:pt idx="1">
                  <c:v>0.26145117464415185</c:v>
                </c:pt>
                <c:pt idx="2">
                  <c:v>0.30348246592065148</c:v>
                </c:pt>
                <c:pt idx="3">
                  <c:v>0.35628055472219222</c:v>
                </c:pt>
                <c:pt idx="4">
                  <c:v>0.40547734253690693</c:v>
                </c:pt>
                <c:pt idx="5">
                  <c:v>0.43439546237236792</c:v>
                </c:pt>
              </c:numCache>
            </c:numRef>
          </c:val>
          <c:smooth val="0"/>
          <c:extLst>
            <c:ext xmlns:c16="http://schemas.microsoft.com/office/drawing/2014/chart" uri="{C3380CC4-5D6E-409C-BE32-E72D297353CC}">
              <c16:uniqueId val="{00000002-07CA-42CA-A2BE-4EABB69B70F5}"/>
            </c:ext>
          </c:extLst>
        </c:ser>
        <c:dLbls>
          <c:showLegendKey val="0"/>
          <c:showVal val="0"/>
          <c:showCatName val="0"/>
          <c:showSerName val="0"/>
          <c:showPercent val="0"/>
          <c:showBubbleSize val="0"/>
        </c:dLbls>
        <c:marker val="1"/>
        <c:smooth val="0"/>
        <c:axId val="286669968"/>
        <c:axId val="286669008"/>
      </c:lineChart>
      <c:catAx>
        <c:axId val="2866642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86671888"/>
        <c:crossesAt val="200000"/>
        <c:auto val="1"/>
        <c:lblAlgn val="ctr"/>
        <c:lblOffset val="100"/>
        <c:noMultiLvlLbl val="0"/>
      </c:catAx>
      <c:valAx>
        <c:axId val="286671888"/>
        <c:scaling>
          <c:orientation val="minMax"/>
        </c:scaling>
        <c:delete val="0"/>
        <c:axPos val="l"/>
        <c:majorGridlines>
          <c:spPr>
            <a:ln w="9525" cap="flat" cmpd="sng" algn="ctr">
              <a:solidFill>
                <a:schemeClr val="tx2">
                  <a:lumMod val="15000"/>
                  <a:lumOff val="85000"/>
                </a:schemeClr>
              </a:soli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86664208"/>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dispUnitsLbl>
        </c:dispUnits>
      </c:valAx>
      <c:valAx>
        <c:axId val="286669008"/>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86669968"/>
        <c:crosses val="max"/>
        <c:crossBetween val="between"/>
      </c:valAx>
      <c:catAx>
        <c:axId val="286669968"/>
        <c:scaling>
          <c:orientation val="minMax"/>
        </c:scaling>
        <c:delete val="1"/>
        <c:axPos val="b"/>
        <c:numFmt formatCode="General" sourceLinked="1"/>
        <c:majorTickMark val="none"/>
        <c:minorTickMark val="none"/>
        <c:tickLblPos val="nextTo"/>
        <c:crossAx val="286669008"/>
        <c:crosses val="autoZero"/>
        <c:auto val="1"/>
        <c:lblAlgn val="ctr"/>
        <c:lblOffset val="100"/>
        <c:noMultiLvlLbl val="0"/>
      </c:catAx>
      <c:spPr>
        <a:noFill/>
        <a:ln>
          <a:noFill/>
        </a:ln>
        <a:effectLst/>
      </c:spPr>
    </c:plotArea>
    <c:legend>
      <c:legendPos val="b"/>
      <c:layout>
        <c:manualLayout>
          <c:xMode val="edge"/>
          <c:yMode val="edge"/>
          <c:x val="3.0679571303587051E-2"/>
          <c:y val="0.88474283800035192"/>
          <c:w val="0.95808530183727036"/>
          <c:h val="9.230164869991058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600"/>
              <a:t>Affiliated vs. Non-Affliliated Reserve Credit Taken</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'Risk 2.4 Reinsurance Interconn '!$J$6</c:f>
              <c:strCache>
                <c:ptCount val="1"/>
                <c:pt idx="0">
                  <c:v>  Affiliates  </c:v>
                </c:pt>
              </c:strCache>
            </c:strRef>
          </c:tx>
          <c:spPr>
            <a:solidFill>
              <a:schemeClr val="accent2"/>
            </a:solidFill>
            <a:ln>
              <a:noFill/>
            </a:ln>
            <a:effectLst/>
          </c:spPr>
          <c:invertIfNegative val="0"/>
          <c:dLbls>
            <c:dLbl>
              <c:idx val="0"/>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062-4052-B9AA-4DBDC30FCFEA}"/>
                </c:ext>
              </c:extLst>
            </c:dLbl>
            <c:dLbl>
              <c:idx val="1"/>
              <c:tx>
                <c:rich>
                  <a:bodyPr/>
                  <a:lstStyle/>
                  <a:p>
                    <a:r>
                      <a:rPr lang="en-US"/>
                      <a:t>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062-4052-B9AA-4DBDC30FCFEA}"/>
                </c:ext>
              </c:extLst>
            </c:dLbl>
            <c:dLbl>
              <c:idx val="2"/>
              <c:tx>
                <c:rich>
                  <a:bodyPr/>
                  <a:lstStyle/>
                  <a:p>
                    <a:r>
                      <a:rPr lang="en-US"/>
                      <a:t>53%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062-4052-B9AA-4DBDC30FCFEA}"/>
                </c:ext>
              </c:extLst>
            </c:dLbl>
            <c:dLbl>
              <c:idx val="3"/>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062-4052-B9AA-4DBDC30FCFEA}"/>
                </c:ext>
              </c:extLst>
            </c:dLbl>
            <c:dLbl>
              <c:idx val="4"/>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062-4052-B9AA-4DBDC30FCFEA}"/>
                </c:ext>
              </c:extLst>
            </c:dLbl>
            <c:dLbl>
              <c:idx val="5"/>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062-4052-B9AA-4DBDC30FCF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'Risk 2.4 Reinsurance Interconn '!$I$7:$I$12</c:f>
              <c:numCache>
                <c:formatCode>General</c:formatCode>
                <c:ptCount val="6"/>
                <c:pt idx="0">
                  <c:v>2020</c:v>
                </c:pt>
                <c:pt idx="1">
                  <c:v>2021</c:v>
                </c:pt>
                <c:pt idx="2">
                  <c:v>2022</c:v>
                </c:pt>
                <c:pt idx="3">
                  <c:v>2023</c:v>
                </c:pt>
                <c:pt idx="4">
                  <c:v>2024</c:v>
                </c:pt>
                <c:pt idx="5">
                  <c:v>2025</c:v>
                </c:pt>
              </c:numCache>
            </c:numRef>
          </c:cat>
          <c:val>
            <c:numRef>
              <c:f>'Risk 2.4 Reinsurance Interconn '!$J$7:$J$12</c:f>
              <c:numCache>
                <c:formatCode>_("$"* #,##0_);_("$"* \(#,##0\);_("$"* "-"??_);_(@_)</c:formatCode>
                <c:ptCount val="6"/>
                <c:pt idx="0">
                  <c:v>544480628</c:v>
                </c:pt>
                <c:pt idx="1">
                  <c:v>585942150</c:v>
                </c:pt>
                <c:pt idx="2">
                  <c:v>638399693</c:v>
                </c:pt>
                <c:pt idx="3">
                  <c:v>707845850</c:v>
                </c:pt>
                <c:pt idx="4">
                  <c:v>801911370</c:v>
                </c:pt>
                <c:pt idx="5" formatCode="_(* #,##0_);_(* \(#,##0\);_(* &quot;-&quot;??_);_(@_)">
                  <c:v>892719095</c:v>
                </c:pt>
              </c:numCache>
            </c:numRef>
          </c:val>
          <c:extLst>
            <c:ext xmlns:c16="http://schemas.microsoft.com/office/drawing/2014/chart" uri="{C3380CC4-5D6E-409C-BE32-E72D297353CC}">
              <c16:uniqueId val="{00000006-E062-4052-B9AA-4DBDC30FCFEA}"/>
            </c:ext>
          </c:extLst>
        </c:ser>
        <c:ser>
          <c:idx val="1"/>
          <c:order val="1"/>
          <c:tx>
            <c:strRef>
              <c:f>'Risk 2.4 Reinsurance Interconn '!$K$6</c:f>
              <c:strCache>
                <c:ptCount val="1"/>
                <c:pt idx="0">
                  <c:v>  Non-Affiliates  </c:v>
                </c:pt>
              </c:strCache>
            </c:strRef>
          </c:tx>
          <c:spPr>
            <a:solidFill>
              <a:srgbClr val="FF6600"/>
            </a:solidFill>
            <a:ln>
              <a:noFill/>
            </a:ln>
            <a:effectLst/>
          </c:spPr>
          <c:invertIfNegative val="0"/>
          <c:dLbls>
            <c:dLbl>
              <c:idx val="0"/>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062-4052-B9AA-4DBDC30FCFEA}"/>
                </c:ext>
              </c:extLst>
            </c:dLbl>
            <c:dLbl>
              <c:idx val="1"/>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062-4052-B9AA-4DBDC30FCFEA}"/>
                </c:ext>
              </c:extLst>
            </c:dLbl>
            <c:dLbl>
              <c:idx val="2"/>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062-4052-B9AA-4DBDC30FCFEA}"/>
                </c:ext>
              </c:extLst>
            </c:dLbl>
            <c:dLbl>
              <c:idx val="3"/>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062-4052-B9AA-4DBDC30FCFEA}"/>
                </c:ext>
              </c:extLst>
            </c:dLbl>
            <c:dLbl>
              <c:idx val="4"/>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E062-4052-B9AA-4DBDC30FCFEA}"/>
                </c:ext>
              </c:extLst>
            </c:dLbl>
            <c:dLbl>
              <c:idx val="5"/>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062-4052-B9AA-4DBDC30FCF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'Risk 2.4 Reinsurance Interconn '!$I$7:$I$12</c:f>
              <c:numCache>
                <c:formatCode>General</c:formatCode>
                <c:ptCount val="6"/>
                <c:pt idx="0">
                  <c:v>2020</c:v>
                </c:pt>
                <c:pt idx="1">
                  <c:v>2021</c:v>
                </c:pt>
                <c:pt idx="2">
                  <c:v>2022</c:v>
                </c:pt>
                <c:pt idx="3">
                  <c:v>2023</c:v>
                </c:pt>
                <c:pt idx="4">
                  <c:v>2024</c:v>
                </c:pt>
                <c:pt idx="5">
                  <c:v>2025</c:v>
                </c:pt>
              </c:numCache>
            </c:numRef>
          </c:cat>
          <c:val>
            <c:numRef>
              <c:f>'Risk 2.4 Reinsurance Interconn '!$K$7:$K$12</c:f>
              <c:numCache>
                <c:formatCode>_("$"* #,##0_);_("$"* \(#,##0\);_("$"* "-"??_);_(@_)</c:formatCode>
                <c:ptCount val="6"/>
                <c:pt idx="0">
                  <c:v>433084672</c:v>
                </c:pt>
                <c:pt idx="1">
                  <c:v>507900493</c:v>
                </c:pt>
                <c:pt idx="2">
                  <c:v>564333419</c:v>
                </c:pt>
                <c:pt idx="3">
                  <c:v>642824868</c:v>
                </c:pt>
                <c:pt idx="4">
                  <c:v>665862797</c:v>
                </c:pt>
                <c:pt idx="5" formatCode="_(* #,##0_);_(* \(#,##0\);_(* &quot;-&quot;??_);_(@_)">
                  <c:v>731815214</c:v>
                </c:pt>
              </c:numCache>
            </c:numRef>
          </c:val>
          <c:extLst>
            <c:ext xmlns:c16="http://schemas.microsoft.com/office/drawing/2014/chart" uri="{C3380CC4-5D6E-409C-BE32-E72D297353CC}">
              <c16:uniqueId val="{0000000D-E062-4052-B9AA-4DBDC30FCFEA}"/>
            </c:ext>
          </c:extLst>
        </c:ser>
        <c:dLbls>
          <c:showLegendKey val="0"/>
          <c:showVal val="0"/>
          <c:showCatName val="0"/>
          <c:showSerName val="0"/>
          <c:showPercent val="0"/>
          <c:showBubbleSize val="0"/>
        </c:dLbls>
        <c:gapWidth val="50"/>
        <c:overlap val="100"/>
        <c:axId val="1643793456"/>
        <c:axId val="1643794416"/>
      </c:barChart>
      <c:catAx>
        <c:axId val="1643793456"/>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794416"/>
        <c:crosses val="autoZero"/>
        <c:auto val="1"/>
        <c:lblAlgn val="ctr"/>
        <c:lblOffset val="100"/>
        <c:noMultiLvlLbl val="0"/>
      </c:catAx>
      <c:valAx>
        <c:axId val="1643794416"/>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793456"/>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0.02618</cdr:x>
      <cdr:y>0.94106</cdr:y>
    </cdr:from>
    <cdr:to>
      <cdr:x>0.5783</cdr:x>
      <cdr:y>0.99145</cdr:y>
    </cdr:to>
    <cdr:sp macro="" textlink="">
      <cdr:nvSpPr>
        <cdr:cNvPr id="2" name="TextBox 1">
          <a:extLst xmlns:a="http://schemas.openxmlformats.org/drawingml/2006/main">
            <a:ext uri="{FF2B5EF4-FFF2-40B4-BE49-F238E27FC236}">
              <a16:creationId xmlns:a16="http://schemas.microsoft.com/office/drawing/2014/main" id="{F607F64A-A7DA-41A9-9419-5D3FDF151616}"/>
            </a:ext>
          </a:extLst>
        </cdr:cNvPr>
        <cdr:cNvSpPr txBox="1"/>
      </cdr:nvSpPr>
      <cdr:spPr>
        <a:xfrm xmlns:a="http://schemas.openxmlformats.org/drawingml/2006/main">
          <a:off x="160074" y="3146232"/>
          <a:ext cx="3376241" cy="16846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Sources: Bureau of Economic Analysis;</a:t>
          </a:r>
          <a:r>
            <a:rPr lang="en-US" sz="1100" baseline="0"/>
            <a:t> </a:t>
          </a:r>
          <a:r>
            <a:rPr lang="en-US" sz="1100" i="1" baseline="0"/>
            <a:t>Consensus Forecasts-USA</a:t>
          </a:r>
          <a:endParaRPr lang="en-US" sz="1100" i="0" baseline="0"/>
        </a:p>
        <a:p xmlns:a="http://schemas.openxmlformats.org/drawingml/2006/main">
          <a:endParaRPr lang="en-US" sz="1100" baseline="0"/>
        </a:p>
      </cdr:txBody>
    </cdr:sp>
  </cdr:relSizeAnchor>
</c:userShapes>
</file>

<file path=word/drawings/drawing2.xml><?xml version="1.0" encoding="utf-8"?>
<c:userShapes xmlns:c="http://schemas.openxmlformats.org/drawingml/2006/chart">
  <cdr:relSizeAnchor xmlns:cdr="http://schemas.openxmlformats.org/drawingml/2006/chartDrawing">
    <cdr:from>
      <cdr:x>0.02062</cdr:x>
      <cdr:y>0.90771</cdr:y>
    </cdr:from>
    <cdr:to>
      <cdr:x>0.58956</cdr:x>
      <cdr:y>0.99586</cdr:y>
    </cdr:to>
    <cdr:sp macro="" textlink="">
      <cdr:nvSpPr>
        <cdr:cNvPr id="2" name="TextBox 1">
          <a:extLst xmlns:a="http://schemas.openxmlformats.org/drawingml/2006/main">
            <a:ext uri="{FF2B5EF4-FFF2-40B4-BE49-F238E27FC236}">
              <a16:creationId xmlns:a16="http://schemas.microsoft.com/office/drawing/2014/main" id="{3305B08D-8A5F-4907-9E1D-51DCB4D229F4}"/>
            </a:ext>
          </a:extLst>
        </cdr:cNvPr>
        <cdr:cNvSpPr txBox="1"/>
      </cdr:nvSpPr>
      <cdr:spPr>
        <a:xfrm xmlns:a="http://schemas.openxmlformats.org/drawingml/2006/main">
          <a:off x="112454" y="3935712"/>
          <a:ext cx="3102788" cy="382207"/>
        </a:xfrm>
        <a:prstGeom xmlns:a="http://schemas.openxmlformats.org/drawingml/2006/main" prst="rect">
          <a:avLst/>
        </a:prstGeom>
      </cdr:spPr>
      <cdr:txBody>
        <a:bodyPr xmlns:a="http://schemas.openxmlformats.org/drawingml/2006/main" vertOverflow="clip" wrap="none" rtlCol="0" anchor="ctr" anchorCtr="0"/>
        <a:lstStyle xmlns:a="http://schemas.openxmlformats.org/drawingml/2006/main"/>
        <a:p xmlns:a="http://schemas.openxmlformats.org/drawingml/2006/main">
          <a:r>
            <a:rPr lang="en-US" sz="900"/>
            <a:t>Source: U.S.</a:t>
          </a:r>
          <a:r>
            <a:rPr lang="en-US" sz="900" baseline="0"/>
            <a:t> Bureau of Labor Statistics</a:t>
          </a:r>
        </a:p>
        <a:p xmlns:a="http://schemas.openxmlformats.org/drawingml/2006/main">
          <a:r>
            <a:rPr lang="en-US" sz="900" baseline="0"/>
            <a:t>Note: Core CPI excludes volatile food and energy components</a:t>
          </a:r>
          <a:endParaRPr 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0.87152</cdr:y>
    </cdr:from>
    <cdr:to>
      <cdr:x>0.6332</cdr:x>
      <cdr:y>1</cdr:y>
    </cdr:to>
    <cdr:sp macro="" textlink="">
      <cdr:nvSpPr>
        <cdr:cNvPr id="2" name="TextBox 1">
          <a:extLst xmlns:a="http://schemas.openxmlformats.org/drawingml/2006/main">
            <a:ext uri="{FF2B5EF4-FFF2-40B4-BE49-F238E27FC236}">
              <a16:creationId xmlns:a16="http://schemas.microsoft.com/office/drawing/2014/main" id="{A03869FC-58A5-4904-8B68-B34633B3B1B0}"/>
            </a:ext>
          </a:extLst>
        </cdr:cNvPr>
        <cdr:cNvSpPr txBox="1"/>
      </cdr:nvSpPr>
      <cdr:spPr>
        <a:xfrm xmlns:a="http://schemas.openxmlformats.org/drawingml/2006/main">
          <a:off x="0" y="2886073"/>
          <a:ext cx="5858335" cy="425451"/>
        </a:xfrm>
        <a:prstGeom xmlns:a="http://schemas.openxmlformats.org/drawingml/2006/main" prst="rect">
          <a:avLst/>
        </a:prstGeom>
      </cdr:spPr>
      <cdr:txBody>
        <a:bodyPr xmlns:a="http://schemas.openxmlformats.org/drawingml/2006/main" vertOverflow="clip" wrap="none" rtlCol="0" anchor="ctr" anchorCtr="0"/>
        <a:lstStyle xmlns:a="http://schemas.openxmlformats.org/drawingml/2006/main"/>
        <a:p xmlns:a="http://schemas.openxmlformats.org/drawingml/2006/main">
          <a:r>
            <a:rPr lang="en-US" sz="1000"/>
            <a:t>Notes:</a:t>
          </a:r>
          <a:r>
            <a:rPr lang="en-US" sz="1000" baseline="0"/>
            <a:t> 10-Year Treasury is the Constant Maturity Rate</a:t>
          </a:r>
        </a:p>
        <a:p xmlns:a="http://schemas.openxmlformats.org/drawingml/2006/main">
          <a:r>
            <a:rPr lang="en-US" sz="1000" baseline="0"/>
            <a:t>AA Corporate is the ICE Bank of America AA Corporate Effective Yield</a:t>
          </a:r>
          <a:endParaRPr lang="en-US" sz="1000"/>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0.94487</cdr:y>
    </cdr:from>
    <cdr:to>
      <cdr:x>0.40901</cdr:x>
      <cdr:y>0.99554</cdr:y>
    </cdr:to>
    <cdr:sp macro="" textlink="">
      <cdr:nvSpPr>
        <cdr:cNvPr id="3" name="TextBox 1">
          <a:extLst xmlns:a="http://schemas.openxmlformats.org/drawingml/2006/main">
            <a:ext uri="{FF2B5EF4-FFF2-40B4-BE49-F238E27FC236}">
              <a16:creationId xmlns:a16="http://schemas.microsoft.com/office/drawing/2014/main" id="{46D935F7-31C6-4E74-A9A2-2355E9E424C9}"/>
            </a:ext>
          </a:extLst>
        </cdr:cNvPr>
        <cdr:cNvSpPr txBox="1"/>
      </cdr:nvSpPr>
      <cdr:spPr>
        <a:xfrm xmlns:a="http://schemas.openxmlformats.org/drawingml/2006/main">
          <a:off x="0" y="4733924"/>
          <a:ext cx="2572544" cy="2538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solidFill>
                <a:schemeClr val="bg2">
                  <a:lumMod val="25000"/>
                </a:schemeClr>
              </a:solidFill>
            </a:rPr>
            <a:t>Source: S&amp;P/Case-Shiller U.S. National Home Price Index</a:t>
          </a:r>
        </a:p>
      </cdr:txBody>
    </cdr:sp>
  </cdr:relSizeAnchor>
</c:userShapes>
</file>

<file path=word/drawings/drawing5.xml><?xml version="1.0" encoding="utf-8"?>
<c:userShapes xmlns:c="http://schemas.openxmlformats.org/drawingml/2006/chart">
  <cdr:relSizeAnchor xmlns:cdr="http://schemas.openxmlformats.org/drawingml/2006/chartDrawing">
    <cdr:from>
      <cdr:x>0.03889</cdr:x>
      <cdr:y>0.90278</cdr:y>
    </cdr:from>
    <cdr:to>
      <cdr:x>0.51944</cdr:x>
      <cdr:y>1</cdr:y>
    </cdr:to>
    <cdr:sp macro="" textlink="">
      <cdr:nvSpPr>
        <cdr:cNvPr id="2" name="TextBox 1">
          <a:extLst xmlns:a="http://schemas.openxmlformats.org/drawingml/2006/main">
            <a:ext uri="{FF2B5EF4-FFF2-40B4-BE49-F238E27FC236}">
              <a16:creationId xmlns:a16="http://schemas.microsoft.com/office/drawing/2014/main" id="{3E2CA302-F88A-BD4F-8965-C06E4CBADAC5}"/>
            </a:ext>
          </a:extLst>
        </cdr:cNvPr>
        <cdr:cNvSpPr txBox="1"/>
      </cdr:nvSpPr>
      <cdr:spPr>
        <a:xfrm xmlns:a="http://schemas.openxmlformats.org/drawingml/2006/main">
          <a:off x="177800" y="2476500"/>
          <a:ext cx="21971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solidFill>
                <a:schemeClr val="bg2">
                  <a:lumMod val="25000"/>
                </a:schemeClr>
              </a:solidFill>
            </a:rPr>
            <a:t>Source: U.S. Bureau</a:t>
          </a:r>
          <a:r>
            <a:rPr lang="en-US" sz="800" baseline="0">
              <a:solidFill>
                <a:schemeClr val="bg2">
                  <a:lumMod val="25000"/>
                </a:schemeClr>
              </a:solidFill>
            </a:rPr>
            <a:t> of Labor Statistics</a:t>
          </a:r>
          <a:endParaRPr lang="en-US" sz="800">
            <a:solidFill>
              <a:schemeClr val="bg2">
                <a:lumMod val="25000"/>
              </a:schemeClr>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cap="flat">
          <a:solidFill>
            <a:schemeClr val="tx1"/>
          </a:solidFill>
          <a:prstDash val="solid"/>
        </a:ln>
      </a:spPr>
      <a:bodyPr vert="horz" wrap="none" lIns="90000" tIns="45000" rIns="90000" bIns="45000" rtlCol="0" anchor="ctr" anchorCtr="1" compatLnSpc="0">
        <a:noAutofit/>
      </a:bodyPr>
      <a:lstStyle/>
    </a:spDef>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NAIC">
    <a:dk1>
      <a:sysClr val="windowText" lastClr="000000"/>
    </a:dk1>
    <a:lt1>
      <a:sysClr val="window" lastClr="FFFFFF"/>
    </a:lt1>
    <a:dk2>
      <a:srgbClr val="44546A"/>
    </a:dk2>
    <a:lt2>
      <a:srgbClr val="E7E6E6"/>
    </a:lt2>
    <a:accent1>
      <a:srgbClr val="0064A7"/>
    </a:accent1>
    <a:accent2>
      <a:srgbClr val="007CC1"/>
    </a:accent2>
    <a:accent3>
      <a:srgbClr val="76777B"/>
    </a:accent3>
    <a:accent4>
      <a:srgbClr val="3FAC49"/>
    </a:accent4>
    <a:accent5>
      <a:srgbClr val="F05A22"/>
    </a:accent5>
    <a:accent6>
      <a:srgbClr val="6E479C"/>
    </a:accent6>
    <a:hlink>
      <a:srgbClr val="0000D4"/>
    </a:hlink>
    <a:folHlink>
      <a:srgbClr val="0000D4"/>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728B1999680F4DAD5D7486EFC1F562" ma:contentTypeVersion="21" ma:contentTypeDescription="Create a new document." ma:contentTypeScope="" ma:versionID="95155aedca42399c11e994000c831818">
  <xsd:schema xmlns:xsd="http://www.w3.org/2001/XMLSchema" xmlns:xs="http://www.w3.org/2001/XMLSchema" xmlns:p="http://schemas.microsoft.com/office/2006/metadata/properties" xmlns:ns2="331b7ccd-8945-4f84-8693-dabc70b00f36" xmlns:ns3="16a41bf5-b078-4587-b93b-25f2d0f53eeb" xmlns:ns4="3c9e15a3-223f-4584-afb1-1dbe0b3878fa" targetNamespace="http://schemas.microsoft.com/office/2006/metadata/properties" ma:root="true" ma:fieldsID="3cfab8ad98accda69ee75bf366c812cf" ns2:_="" ns3:_="" ns4:_="">
    <xsd:import namespace="331b7ccd-8945-4f84-8693-dabc70b00f36"/>
    <xsd:import namespace="16a41bf5-b078-4587-b93b-25f2d0f53eeb"/>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WorkNotes" minOccurs="0"/>
                <xsd:element ref="ns2:FileNotes" minOccurs="0"/>
                <xsd:element ref="ns2:SubmissionType"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Compan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b7ccd-8945-4f84-8693-dabc70b00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WorkNotes" ma:index="14" nillable="true" ma:displayName="Work Notes" ma:description="This is a place to communicate amongst file users." ma:format="Dropdown" ma:internalName="WorkNotes">
      <xsd:simpleType>
        <xsd:restriction base="dms:Note">
          <xsd:maxLength value="255"/>
        </xsd:restriction>
      </xsd:simpleType>
    </xsd:element>
    <xsd:element name="FileNotes" ma:index="15" nillable="true" ma:displayName="File Notes" ma:format="Dropdown" ma:internalName="FileNotes">
      <xsd:simpleType>
        <xsd:restriction base="dms:Note">
          <xsd:maxLength value="255"/>
        </xsd:restriction>
      </xsd:simpleType>
    </xsd:element>
    <xsd:element name="SubmissionType" ma:index="16" nillable="true" ma:displayName="Submission Type" ma:format="Dropdown" ma:internalName="SubmissionType">
      <xsd:simpleType>
        <xsd:restriction base="dms:Choice">
          <xsd:enumeration value="Narrative"/>
          <xsd:enumeration value="Baseline"/>
          <xsd:enumeration value="Adverse"/>
          <xsd:enumeration value="What-If"/>
          <xsd:enumeration value="Interest"/>
          <xsd:enumeration value="Worsecase"/>
          <xsd:enumeration value="Other"/>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Company" ma:index="25" nillable="true" ma:displayName="Company" ma:format="Dropdown" ma:internalName="Company">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a41bf5-b078-4587-b93b-25f2d0f53ee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7762bd3-deed-4055-bb05-e194c0fe345b}" ma:internalName="TaxCatchAll" ma:showField="CatchAllData" ma:web="16a41bf5-b078-4587-b93b-25f2d0f53e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orkNotes xmlns="331b7ccd-8945-4f84-8693-dabc70b00f36" xsi:nil="true"/>
    <SubmissionType xmlns="331b7ccd-8945-4f84-8693-dabc70b00f36" xsi:nil="true"/>
    <SharedWithUsers xmlns="16a41bf5-b078-4587-b93b-25f2d0f53eeb">
      <UserInfo>
        <DisplayName>Romero, Miguel</DisplayName>
        <AccountId>70</AccountId>
        <AccountType/>
      </UserInfo>
      <UserInfo>
        <DisplayName>Nauheimer, Timothy</DisplayName>
        <AccountId>11</AccountId>
        <AccountType/>
      </UserInfo>
      <UserInfo>
        <DisplayName>Jenson, Bruce</DisplayName>
        <AccountId>85</AccountId>
        <AccountType/>
      </UserInfo>
      <UserInfo>
        <DisplayName>Ren, Jane</DisplayName>
        <AccountId>88</AccountId>
        <AccountType/>
      </UserInfo>
      <UserInfo>
        <DisplayName>Daveline, Dan</DisplayName>
        <AccountId>82</AccountId>
        <AccountType/>
      </UserInfo>
      <UserInfo>
        <DisplayName>Sells, Todd</DisplayName>
        <AccountId>14</AccountId>
        <AccountType/>
      </UserInfo>
      <UserInfo>
        <DisplayName>Kolchinsky, Eric</DisplayName>
        <AccountId>81</AccountId>
        <AccountType/>
      </UserInfo>
      <UserInfo>
        <DisplayName>Bruzzo, Eric</DisplayName>
        <AccountId>134</AccountId>
        <AccountType/>
      </UserInfo>
      <UserInfo>
        <DisplayName>Guzman, Aida</DisplayName>
        <AccountId>13</AccountId>
        <AccountType/>
      </UserInfo>
    </SharedWithUsers>
    <FileNotes xmlns="331b7ccd-8945-4f84-8693-dabc70b00f36" xsi:nil="true"/>
    <lcf76f155ced4ddcb4097134ff3c332f xmlns="331b7ccd-8945-4f84-8693-dabc70b00f36">
      <Terms xmlns="http://schemas.microsoft.com/office/infopath/2007/PartnerControls"/>
    </lcf76f155ced4ddcb4097134ff3c332f>
    <TaxCatchAll xmlns="3c9e15a3-223f-4584-afb1-1dbe0b3878fa" xsi:nil="true"/>
    <Company xmlns="331b7ccd-8945-4f84-8693-dabc70b00f36" xsi:nil="true"/>
  </documentManagement>
</p:properties>
</file>

<file path=customXml/itemProps1.xml><?xml version="1.0" encoding="utf-8"?>
<ds:datastoreItem xmlns:ds="http://schemas.openxmlformats.org/officeDocument/2006/customXml" ds:itemID="{605E646C-EAC5-4A66-AD45-0C195FB4B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b7ccd-8945-4f84-8693-dabc70b00f36"/>
    <ds:schemaRef ds:uri="16a41bf5-b078-4587-b93b-25f2d0f53eeb"/>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64E97-EDBC-4456-BEAD-D9E97519173D}">
  <ds:schemaRefs>
    <ds:schemaRef ds:uri="http://schemas.openxmlformats.org/officeDocument/2006/bibliography"/>
  </ds:schemaRefs>
</ds:datastoreItem>
</file>

<file path=customXml/itemProps3.xml><?xml version="1.0" encoding="utf-8"?>
<ds:datastoreItem xmlns:ds="http://schemas.openxmlformats.org/officeDocument/2006/customXml" ds:itemID="{F472BEDB-2C83-48DD-BE69-24B002958376}">
  <ds:schemaRefs>
    <ds:schemaRef ds:uri="http://schemas.microsoft.com/sharepoint/v3/contenttype/forms"/>
  </ds:schemaRefs>
</ds:datastoreItem>
</file>

<file path=customXml/itemProps4.xml><?xml version="1.0" encoding="utf-8"?>
<ds:datastoreItem xmlns:ds="http://schemas.openxmlformats.org/officeDocument/2006/customXml" ds:itemID="{AE6DE7E6-9817-4817-A7C4-E1AB71730484}">
  <ds:schemaRefs>
    <ds:schemaRef ds:uri="http://schemas.microsoft.com/office/2006/metadata/properties"/>
    <ds:schemaRef ds:uri="http://schemas.microsoft.com/office/infopath/2007/PartnerControls"/>
    <ds:schemaRef ds:uri="331b7ccd-8945-4f84-8693-dabc70b00f36"/>
    <ds:schemaRef ds:uri="16a41bf5-b078-4587-b93b-25f2d0f53eeb"/>
    <ds:schemaRef ds:uri="3c9e15a3-223f-4584-afb1-1dbe0b3878fa"/>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Normal.dotm</Template>
  <TotalTime>586</TotalTime>
  <Pages>1</Pages>
  <Words>7984</Words>
  <Characters>45512</Characters>
  <Application>Microsoft Office Word</Application>
  <DocSecurity>4</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Miguel</dc:creator>
  <cp:keywords/>
  <dc:description/>
  <cp:lastModifiedBy>Nauheimer, Timothy</cp:lastModifiedBy>
  <cp:revision>582</cp:revision>
  <cp:lastPrinted>2026-03-04T15:45:00Z</cp:lastPrinted>
  <dcterms:created xsi:type="dcterms:W3CDTF">2026-06-11T15:07:00Z</dcterms:created>
  <dcterms:modified xsi:type="dcterms:W3CDTF">2026-08-26T21:31:00Z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0x010100E9728B1999680F4DAD5D7486EFC1F562</vt:lpwstr>
  </property>
  <property fmtid="{D5CDD505-2E9C-101B-9397-08002B2CF9AE}" pid="3" name="MediaServiceImageTags">
    <vt:lpwstr/>
  </property>
  <property fmtid="{D5CDD505-2E9C-101B-9397-08002B2CF9AE}" pid="4" name="docLang">
    <vt:lpwstr>en</vt:lpwstr>
  </property>
</Properties>
</file>