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77777777" w:rsidR="00C45F92" w:rsidRPr="00B6688A" w:rsidRDefault="00C45F92">
      <w:pPr>
        <w:pStyle w:val="Title"/>
        <w:jc w:val="center"/>
        <w:rPr>
          <w:rFonts w:asciiTheme="majorHAnsi" w:hAnsiTheme="majorHAnsi" w:cstheme="majorHAnsi"/>
          <w:sz w:val="72"/>
          <w:szCs w:val="72"/>
        </w:rPr>
      </w:pPr>
    </w:p>
    <w:p w14:paraId="060651EE" w14:textId="436D8E6E"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July </w:t>
      </w:r>
      <w:r w:rsidR="008713BD">
        <w:rPr>
          <w:rFonts w:asciiTheme="majorHAnsi" w:hAnsiTheme="majorHAnsi" w:cstheme="majorHAnsi"/>
          <w:sz w:val="24"/>
          <w:szCs w:val="24"/>
        </w:rPr>
        <w:t>20</w:t>
      </w:r>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9726FC" w:rsidP="0052717F">
      <w:pPr>
        <w:jc w:val="both"/>
        <w:rPr>
          <w:rFonts w:asciiTheme="majorHAnsi" w:eastAsia="Calibri" w:hAnsiTheme="majorHAnsi" w:cstheme="majorHAnsi"/>
        </w:rPr>
      </w:pPr>
      <w:r>
        <w:rPr>
          <w:rFonts w:asciiTheme="majorHAnsi" w:hAnsiTheme="majorHAnsi" w:cstheme="majorHAnsi"/>
        </w:rPr>
        <w:pict w14:anchorId="20118614">
          <v:rect id="_x0000_i1026" style="width:0;height:1.5pt" o:hralign="center" o:hrstd="t" o:hr="t" fillcolor="#a0a0a0" stroked="f"/>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theme="majorHAnsi"/>
          <w:color w:val="auto"/>
          <w:sz w:val="24"/>
          <w:szCs w:val="24"/>
          <w:lang w:val="en"/>
        </w:rPr>
        <w:id w:val="562064603"/>
        <w:docPartObj>
          <w:docPartGallery w:val="Table of Contents"/>
          <w:docPartUnique/>
        </w:docPartObj>
      </w:sdtPr>
      <w:sdtEndPr>
        <w:rPr>
          <w:b/>
          <w:bCs/>
          <w:noProof/>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695E38E1" w14:textId="28F1A2D4" w:rsidR="00F96BC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6057840" w:history="1">
            <w:r w:rsidR="00F96BC7" w:rsidRPr="00C33A7C">
              <w:rPr>
                <w:rStyle w:val="Hyperlink"/>
                <w:rFonts w:asciiTheme="majorHAnsi" w:hAnsiTheme="majorHAnsi" w:cstheme="majorHAnsi"/>
                <w:noProof/>
              </w:rPr>
              <w:t>Executive Summary</w:t>
            </w:r>
            <w:r w:rsidR="00F96BC7">
              <w:rPr>
                <w:noProof/>
                <w:webHidden/>
              </w:rPr>
              <w:tab/>
            </w:r>
            <w:r w:rsidR="00F96BC7">
              <w:rPr>
                <w:noProof/>
                <w:webHidden/>
              </w:rPr>
              <w:fldChar w:fldCharType="begin"/>
            </w:r>
            <w:r w:rsidR="00F96BC7">
              <w:rPr>
                <w:noProof/>
                <w:webHidden/>
              </w:rPr>
              <w:instrText xml:space="preserve"> PAGEREF _Toc236057840 \h </w:instrText>
            </w:r>
            <w:r w:rsidR="00F96BC7">
              <w:rPr>
                <w:noProof/>
                <w:webHidden/>
              </w:rPr>
            </w:r>
            <w:r w:rsidR="00F96BC7">
              <w:rPr>
                <w:noProof/>
                <w:webHidden/>
              </w:rPr>
              <w:fldChar w:fldCharType="separate"/>
            </w:r>
            <w:r w:rsidR="00F96BC7">
              <w:rPr>
                <w:noProof/>
                <w:webHidden/>
              </w:rPr>
              <w:t>4</w:t>
            </w:r>
            <w:r w:rsidR="00F96BC7">
              <w:rPr>
                <w:noProof/>
                <w:webHidden/>
              </w:rPr>
              <w:fldChar w:fldCharType="end"/>
            </w:r>
          </w:hyperlink>
        </w:p>
        <w:p w14:paraId="5EB8F7D0" w14:textId="7D359442"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41" w:history="1">
            <w:r w:rsidRPr="00C33A7C">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6</w:t>
            </w:r>
            <w:r>
              <w:rPr>
                <w:noProof/>
                <w:webHidden/>
              </w:rPr>
              <w:fldChar w:fldCharType="end"/>
            </w:r>
          </w:hyperlink>
        </w:p>
        <w:p w14:paraId="7907CBDD" w14:textId="23A58676"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2"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6</w:t>
            </w:r>
            <w:r>
              <w:rPr>
                <w:noProof/>
                <w:webHidden/>
              </w:rPr>
              <w:fldChar w:fldCharType="end"/>
            </w:r>
          </w:hyperlink>
        </w:p>
        <w:p w14:paraId="3B24CD4E" w14:textId="233D6A03"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3" w:history="1">
            <w:r w:rsidRPr="00C33A7C">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6</w:t>
            </w:r>
            <w:r>
              <w:rPr>
                <w:noProof/>
                <w:webHidden/>
              </w:rPr>
              <w:fldChar w:fldCharType="end"/>
            </w:r>
          </w:hyperlink>
        </w:p>
        <w:p w14:paraId="0DE4F218" w14:textId="7EC4C94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4" w:history="1">
            <w:r w:rsidRPr="00C33A7C">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6</w:t>
            </w:r>
            <w:r>
              <w:rPr>
                <w:noProof/>
                <w:webHidden/>
              </w:rPr>
              <w:fldChar w:fldCharType="end"/>
            </w:r>
          </w:hyperlink>
        </w:p>
        <w:p w14:paraId="23284482" w14:textId="3E21221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5" w:history="1">
            <w:r w:rsidRPr="00C33A7C">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6</w:t>
            </w:r>
            <w:r>
              <w:rPr>
                <w:noProof/>
                <w:webHidden/>
              </w:rPr>
              <w:fldChar w:fldCharType="end"/>
            </w:r>
          </w:hyperlink>
        </w:p>
        <w:p w14:paraId="5AD8F522" w14:textId="0B1A5AD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6" w:history="1">
            <w:r w:rsidRPr="00C33A7C">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8</w:t>
            </w:r>
            <w:r>
              <w:rPr>
                <w:noProof/>
                <w:webHidden/>
              </w:rPr>
              <w:fldChar w:fldCharType="end"/>
            </w:r>
          </w:hyperlink>
        </w:p>
        <w:p w14:paraId="5041053F" w14:textId="28205E6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7" w:history="1">
            <w:r w:rsidRPr="00C33A7C">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10</w:t>
            </w:r>
            <w:r>
              <w:rPr>
                <w:noProof/>
                <w:webHidden/>
              </w:rPr>
              <w:fldChar w:fldCharType="end"/>
            </w:r>
          </w:hyperlink>
        </w:p>
        <w:p w14:paraId="6973314E" w14:textId="5B4C361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8" w:history="1">
            <w:r w:rsidRPr="00C33A7C">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12</w:t>
            </w:r>
            <w:r>
              <w:rPr>
                <w:noProof/>
                <w:webHidden/>
              </w:rPr>
              <w:fldChar w:fldCharType="end"/>
            </w:r>
          </w:hyperlink>
        </w:p>
        <w:p w14:paraId="03375B00" w14:textId="22C9956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9" w:history="1">
            <w:r w:rsidRPr="00C33A7C">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14</w:t>
            </w:r>
            <w:r>
              <w:rPr>
                <w:noProof/>
                <w:webHidden/>
              </w:rPr>
              <w:fldChar w:fldCharType="end"/>
            </w:r>
          </w:hyperlink>
        </w:p>
        <w:p w14:paraId="7DAAC46C" w14:textId="15F341A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0" w:history="1">
            <w:r w:rsidRPr="00C33A7C">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21</w:t>
            </w:r>
            <w:r>
              <w:rPr>
                <w:noProof/>
                <w:webHidden/>
              </w:rPr>
              <w:fldChar w:fldCharType="end"/>
            </w:r>
          </w:hyperlink>
        </w:p>
        <w:p w14:paraId="1B3E50A2" w14:textId="53FBE94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1" w:history="1">
            <w:r w:rsidRPr="00C33A7C">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21</w:t>
            </w:r>
            <w:r>
              <w:rPr>
                <w:noProof/>
                <w:webHidden/>
              </w:rPr>
              <w:fldChar w:fldCharType="end"/>
            </w:r>
          </w:hyperlink>
        </w:p>
        <w:p w14:paraId="40A828E6" w14:textId="442FA18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2" w:history="1">
            <w:r w:rsidRPr="00C33A7C">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23</w:t>
            </w:r>
            <w:r>
              <w:rPr>
                <w:noProof/>
                <w:webHidden/>
              </w:rPr>
              <w:fldChar w:fldCharType="end"/>
            </w:r>
          </w:hyperlink>
        </w:p>
        <w:p w14:paraId="0E35D56D" w14:textId="3971D770"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53" w:history="1">
            <w:r w:rsidRPr="00C33A7C">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34</w:t>
            </w:r>
            <w:r>
              <w:rPr>
                <w:noProof/>
                <w:webHidden/>
              </w:rPr>
              <w:fldChar w:fldCharType="end"/>
            </w:r>
          </w:hyperlink>
        </w:p>
        <w:p w14:paraId="42497038" w14:textId="6A5E321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4"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34</w:t>
            </w:r>
            <w:r>
              <w:rPr>
                <w:noProof/>
                <w:webHidden/>
              </w:rPr>
              <w:fldChar w:fldCharType="end"/>
            </w:r>
          </w:hyperlink>
        </w:p>
        <w:p w14:paraId="1662E1F9" w14:textId="3DCA2CE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5" w:history="1">
            <w:r w:rsidRPr="00C33A7C">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34</w:t>
            </w:r>
            <w:r>
              <w:rPr>
                <w:noProof/>
                <w:webHidden/>
              </w:rPr>
              <w:fldChar w:fldCharType="end"/>
            </w:r>
          </w:hyperlink>
        </w:p>
        <w:p w14:paraId="6A83C7D3" w14:textId="32E5E05E"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6" w:history="1">
            <w:r w:rsidRPr="00C33A7C">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35</w:t>
            </w:r>
            <w:r>
              <w:rPr>
                <w:noProof/>
                <w:webHidden/>
              </w:rPr>
              <w:fldChar w:fldCharType="end"/>
            </w:r>
          </w:hyperlink>
        </w:p>
        <w:p w14:paraId="5C95D699" w14:textId="3DBD4C5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7" w:history="1">
            <w:r w:rsidRPr="00C33A7C">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_Toc236057857 \h </w:instrText>
            </w:r>
            <w:r>
              <w:rPr>
                <w:noProof/>
                <w:webHidden/>
              </w:rPr>
            </w:r>
            <w:r>
              <w:rPr>
                <w:noProof/>
                <w:webHidden/>
              </w:rPr>
              <w:fldChar w:fldCharType="separate"/>
            </w:r>
            <w:r>
              <w:rPr>
                <w:noProof/>
                <w:webHidden/>
              </w:rPr>
              <w:t>36</w:t>
            </w:r>
            <w:r>
              <w:rPr>
                <w:noProof/>
                <w:webHidden/>
              </w:rPr>
              <w:fldChar w:fldCharType="end"/>
            </w:r>
          </w:hyperlink>
        </w:p>
        <w:p w14:paraId="7B568977" w14:textId="26F464E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8" w:history="1">
            <w:r w:rsidRPr="00C33A7C">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_Toc236057858 \h </w:instrText>
            </w:r>
            <w:r>
              <w:rPr>
                <w:noProof/>
                <w:webHidden/>
              </w:rPr>
            </w:r>
            <w:r>
              <w:rPr>
                <w:noProof/>
                <w:webHidden/>
              </w:rPr>
              <w:fldChar w:fldCharType="separate"/>
            </w:r>
            <w:r>
              <w:rPr>
                <w:noProof/>
                <w:webHidden/>
              </w:rPr>
              <w:t>36</w:t>
            </w:r>
            <w:r>
              <w:rPr>
                <w:noProof/>
                <w:webHidden/>
              </w:rPr>
              <w:fldChar w:fldCharType="end"/>
            </w:r>
          </w:hyperlink>
        </w:p>
        <w:p w14:paraId="41E48AEC" w14:textId="2B12B1B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9" w:history="1">
            <w:r w:rsidRPr="00C33A7C">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_Toc236057859 \h </w:instrText>
            </w:r>
            <w:r>
              <w:rPr>
                <w:noProof/>
                <w:webHidden/>
              </w:rPr>
            </w:r>
            <w:r>
              <w:rPr>
                <w:noProof/>
                <w:webHidden/>
              </w:rPr>
              <w:fldChar w:fldCharType="separate"/>
            </w:r>
            <w:r>
              <w:rPr>
                <w:noProof/>
                <w:webHidden/>
              </w:rPr>
              <w:t>36</w:t>
            </w:r>
            <w:r>
              <w:rPr>
                <w:noProof/>
                <w:webHidden/>
              </w:rPr>
              <w:fldChar w:fldCharType="end"/>
            </w:r>
          </w:hyperlink>
        </w:p>
        <w:p w14:paraId="77B260C3" w14:textId="4E3173D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0" w:history="1">
            <w:r w:rsidRPr="00C33A7C">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_Toc236057860 \h </w:instrText>
            </w:r>
            <w:r>
              <w:rPr>
                <w:noProof/>
                <w:webHidden/>
              </w:rPr>
            </w:r>
            <w:r>
              <w:rPr>
                <w:noProof/>
                <w:webHidden/>
              </w:rPr>
              <w:fldChar w:fldCharType="separate"/>
            </w:r>
            <w:r>
              <w:rPr>
                <w:noProof/>
                <w:webHidden/>
              </w:rPr>
              <w:t>37</w:t>
            </w:r>
            <w:r>
              <w:rPr>
                <w:noProof/>
                <w:webHidden/>
              </w:rPr>
              <w:fldChar w:fldCharType="end"/>
            </w:r>
          </w:hyperlink>
        </w:p>
        <w:p w14:paraId="113721A9" w14:textId="67D1E5D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1" w:history="1">
            <w:r w:rsidRPr="00C33A7C">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_Toc236057861 \h </w:instrText>
            </w:r>
            <w:r>
              <w:rPr>
                <w:noProof/>
                <w:webHidden/>
              </w:rPr>
            </w:r>
            <w:r>
              <w:rPr>
                <w:noProof/>
                <w:webHidden/>
              </w:rPr>
              <w:fldChar w:fldCharType="separate"/>
            </w:r>
            <w:r>
              <w:rPr>
                <w:noProof/>
                <w:webHidden/>
              </w:rPr>
              <w:t>38</w:t>
            </w:r>
            <w:r>
              <w:rPr>
                <w:noProof/>
                <w:webHidden/>
              </w:rPr>
              <w:fldChar w:fldCharType="end"/>
            </w:r>
          </w:hyperlink>
        </w:p>
        <w:p w14:paraId="0B131DF3" w14:textId="2740CAF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2" w:history="1">
            <w:r w:rsidRPr="00C33A7C">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_Toc236057862 \h </w:instrText>
            </w:r>
            <w:r>
              <w:rPr>
                <w:noProof/>
                <w:webHidden/>
              </w:rPr>
            </w:r>
            <w:r>
              <w:rPr>
                <w:noProof/>
                <w:webHidden/>
              </w:rPr>
              <w:fldChar w:fldCharType="separate"/>
            </w:r>
            <w:r>
              <w:rPr>
                <w:noProof/>
                <w:webHidden/>
              </w:rPr>
              <w:t>38</w:t>
            </w:r>
            <w:r>
              <w:rPr>
                <w:noProof/>
                <w:webHidden/>
              </w:rPr>
              <w:fldChar w:fldCharType="end"/>
            </w:r>
          </w:hyperlink>
        </w:p>
        <w:p w14:paraId="7770A6AD" w14:textId="2366DFC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3" w:history="1">
            <w:r w:rsidRPr="00C33A7C">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_Toc236057863 \h </w:instrText>
            </w:r>
            <w:r>
              <w:rPr>
                <w:noProof/>
                <w:webHidden/>
              </w:rPr>
            </w:r>
            <w:r>
              <w:rPr>
                <w:noProof/>
                <w:webHidden/>
              </w:rPr>
              <w:fldChar w:fldCharType="separate"/>
            </w:r>
            <w:r>
              <w:rPr>
                <w:noProof/>
                <w:webHidden/>
              </w:rPr>
              <w:t>39</w:t>
            </w:r>
            <w:r>
              <w:rPr>
                <w:noProof/>
                <w:webHidden/>
              </w:rPr>
              <w:fldChar w:fldCharType="end"/>
            </w:r>
          </w:hyperlink>
        </w:p>
        <w:p w14:paraId="37B72BEA" w14:textId="4707C3B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4" w:history="1">
            <w:r w:rsidRPr="00C33A7C">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_Toc236057864 \h </w:instrText>
            </w:r>
            <w:r>
              <w:rPr>
                <w:noProof/>
                <w:webHidden/>
              </w:rPr>
            </w:r>
            <w:r>
              <w:rPr>
                <w:noProof/>
                <w:webHidden/>
              </w:rPr>
              <w:fldChar w:fldCharType="separate"/>
            </w:r>
            <w:r>
              <w:rPr>
                <w:noProof/>
                <w:webHidden/>
              </w:rPr>
              <w:t>41</w:t>
            </w:r>
            <w:r>
              <w:rPr>
                <w:noProof/>
                <w:webHidden/>
              </w:rPr>
              <w:fldChar w:fldCharType="end"/>
            </w:r>
          </w:hyperlink>
        </w:p>
        <w:p w14:paraId="091C8D99" w14:textId="0B1AAE5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5" w:history="1">
            <w:r w:rsidRPr="00C33A7C">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_Toc236057865 \h </w:instrText>
            </w:r>
            <w:r>
              <w:rPr>
                <w:noProof/>
                <w:webHidden/>
              </w:rPr>
            </w:r>
            <w:r>
              <w:rPr>
                <w:noProof/>
                <w:webHidden/>
              </w:rPr>
              <w:fldChar w:fldCharType="separate"/>
            </w:r>
            <w:r>
              <w:rPr>
                <w:noProof/>
                <w:webHidden/>
              </w:rPr>
              <w:t>42</w:t>
            </w:r>
            <w:r>
              <w:rPr>
                <w:noProof/>
                <w:webHidden/>
              </w:rPr>
              <w:fldChar w:fldCharType="end"/>
            </w:r>
          </w:hyperlink>
        </w:p>
        <w:p w14:paraId="2770D50A" w14:textId="041F2471"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6" w:history="1">
            <w:r w:rsidRPr="00C33A7C">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_Toc236057866 \h </w:instrText>
            </w:r>
            <w:r>
              <w:rPr>
                <w:noProof/>
                <w:webHidden/>
              </w:rPr>
            </w:r>
            <w:r>
              <w:rPr>
                <w:noProof/>
                <w:webHidden/>
              </w:rPr>
              <w:fldChar w:fldCharType="separate"/>
            </w:r>
            <w:r>
              <w:rPr>
                <w:noProof/>
                <w:webHidden/>
              </w:rPr>
              <w:t>43</w:t>
            </w:r>
            <w:r>
              <w:rPr>
                <w:noProof/>
                <w:webHidden/>
              </w:rPr>
              <w:fldChar w:fldCharType="end"/>
            </w:r>
          </w:hyperlink>
        </w:p>
        <w:p w14:paraId="2EA9ABCA" w14:textId="6E1E0B90"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7" w:history="1">
            <w:r w:rsidRPr="00C33A7C">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_Toc236057867 \h </w:instrText>
            </w:r>
            <w:r>
              <w:rPr>
                <w:noProof/>
                <w:webHidden/>
              </w:rPr>
            </w:r>
            <w:r>
              <w:rPr>
                <w:noProof/>
                <w:webHidden/>
              </w:rPr>
              <w:fldChar w:fldCharType="separate"/>
            </w:r>
            <w:r>
              <w:rPr>
                <w:noProof/>
                <w:webHidden/>
              </w:rPr>
              <w:t>43</w:t>
            </w:r>
            <w:r>
              <w:rPr>
                <w:noProof/>
                <w:webHidden/>
              </w:rPr>
              <w:fldChar w:fldCharType="end"/>
            </w:r>
          </w:hyperlink>
        </w:p>
        <w:p w14:paraId="3E301EFA" w14:textId="6D30B0C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8" w:history="1">
            <w:r w:rsidRPr="00C33A7C">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_Toc236057868 \h </w:instrText>
            </w:r>
            <w:r>
              <w:rPr>
                <w:noProof/>
                <w:webHidden/>
              </w:rPr>
            </w:r>
            <w:r>
              <w:rPr>
                <w:noProof/>
                <w:webHidden/>
              </w:rPr>
              <w:fldChar w:fldCharType="separate"/>
            </w:r>
            <w:r>
              <w:rPr>
                <w:noProof/>
                <w:webHidden/>
              </w:rPr>
              <w:t>43</w:t>
            </w:r>
            <w:r>
              <w:rPr>
                <w:noProof/>
                <w:webHidden/>
              </w:rPr>
              <w:fldChar w:fldCharType="end"/>
            </w:r>
          </w:hyperlink>
        </w:p>
        <w:p w14:paraId="5721384F" w14:textId="7B031BC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9" w:history="1">
            <w:r w:rsidRPr="00C33A7C">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_Toc236057869 \h </w:instrText>
            </w:r>
            <w:r>
              <w:rPr>
                <w:noProof/>
                <w:webHidden/>
              </w:rPr>
            </w:r>
            <w:r>
              <w:rPr>
                <w:noProof/>
                <w:webHidden/>
              </w:rPr>
              <w:fldChar w:fldCharType="separate"/>
            </w:r>
            <w:r>
              <w:rPr>
                <w:noProof/>
                <w:webHidden/>
              </w:rPr>
              <w:t>45</w:t>
            </w:r>
            <w:r>
              <w:rPr>
                <w:noProof/>
                <w:webHidden/>
              </w:rPr>
              <w:fldChar w:fldCharType="end"/>
            </w:r>
          </w:hyperlink>
        </w:p>
        <w:p w14:paraId="307A0039" w14:textId="669EC81B"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70" w:history="1">
            <w:r w:rsidRPr="00C33A7C">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_Toc236057870 \h </w:instrText>
            </w:r>
            <w:r>
              <w:rPr>
                <w:noProof/>
                <w:webHidden/>
              </w:rPr>
            </w:r>
            <w:r>
              <w:rPr>
                <w:noProof/>
                <w:webHidden/>
              </w:rPr>
              <w:fldChar w:fldCharType="separate"/>
            </w:r>
            <w:r>
              <w:rPr>
                <w:noProof/>
                <w:webHidden/>
              </w:rPr>
              <w:t>46</w:t>
            </w:r>
            <w:r>
              <w:rPr>
                <w:noProof/>
                <w:webHidden/>
              </w:rPr>
              <w:fldChar w:fldCharType="end"/>
            </w:r>
          </w:hyperlink>
        </w:p>
        <w:p w14:paraId="53675629" w14:textId="79E9E4D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1"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_Toc236057871 \h </w:instrText>
            </w:r>
            <w:r>
              <w:rPr>
                <w:noProof/>
                <w:webHidden/>
              </w:rPr>
            </w:r>
            <w:r>
              <w:rPr>
                <w:noProof/>
                <w:webHidden/>
              </w:rPr>
              <w:fldChar w:fldCharType="separate"/>
            </w:r>
            <w:r>
              <w:rPr>
                <w:noProof/>
                <w:webHidden/>
              </w:rPr>
              <w:t>46</w:t>
            </w:r>
            <w:r>
              <w:rPr>
                <w:noProof/>
                <w:webHidden/>
              </w:rPr>
              <w:fldChar w:fldCharType="end"/>
            </w:r>
          </w:hyperlink>
        </w:p>
        <w:p w14:paraId="3E61395D" w14:textId="17C9FB9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2" w:history="1">
            <w:r w:rsidRPr="00C33A7C">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_Toc236057872 \h </w:instrText>
            </w:r>
            <w:r>
              <w:rPr>
                <w:noProof/>
                <w:webHidden/>
              </w:rPr>
            </w:r>
            <w:r>
              <w:rPr>
                <w:noProof/>
                <w:webHidden/>
              </w:rPr>
              <w:fldChar w:fldCharType="separate"/>
            </w:r>
            <w:r>
              <w:rPr>
                <w:noProof/>
                <w:webHidden/>
              </w:rPr>
              <w:t>46</w:t>
            </w:r>
            <w:r>
              <w:rPr>
                <w:noProof/>
                <w:webHidden/>
              </w:rPr>
              <w:fldChar w:fldCharType="end"/>
            </w:r>
          </w:hyperlink>
        </w:p>
        <w:p w14:paraId="32E26FCA" w14:textId="60E5D32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3"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_Toc236057873 \h </w:instrText>
            </w:r>
            <w:r>
              <w:rPr>
                <w:noProof/>
                <w:webHidden/>
              </w:rPr>
            </w:r>
            <w:r>
              <w:rPr>
                <w:noProof/>
                <w:webHidden/>
              </w:rPr>
              <w:fldChar w:fldCharType="separate"/>
            </w:r>
            <w:r>
              <w:rPr>
                <w:noProof/>
                <w:webHidden/>
              </w:rPr>
              <w:t>46</w:t>
            </w:r>
            <w:r>
              <w:rPr>
                <w:noProof/>
                <w:webHidden/>
              </w:rPr>
              <w:fldChar w:fldCharType="end"/>
            </w:r>
          </w:hyperlink>
        </w:p>
        <w:p w14:paraId="33E76B68" w14:textId="0AE4649E"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4"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_Toc236057874 \h </w:instrText>
            </w:r>
            <w:r>
              <w:rPr>
                <w:noProof/>
                <w:webHidden/>
              </w:rPr>
            </w:r>
            <w:r>
              <w:rPr>
                <w:noProof/>
                <w:webHidden/>
              </w:rPr>
              <w:fldChar w:fldCharType="separate"/>
            </w:r>
            <w:r>
              <w:rPr>
                <w:noProof/>
                <w:webHidden/>
              </w:rPr>
              <w:t>46</w:t>
            </w:r>
            <w:r>
              <w:rPr>
                <w:noProof/>
                <w:webHidden/>
              </w:rPr>
              <w:fldChar w:fldCharType="end"/>
            </w:r>
          </w:hyperlink>
        </w:p>
        <w:p w14:paraId="50103226" w14:textId="25C2FBE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5"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_Toc236057875 \h </w:instrText>
            </w:r>
            <w:r>
              <w:rPr>
                <w:noProof/>
                <w:webHidden/>
              </w:rPr>
            </w:r>
            <w:r>
              <w:rPr>
                <w:noProof/>
                <w:webHidden/>
              </w:rPr>
              <w:fldChar w:fldCharType="separate"/>
            </w:r>
            <w:r>
              <w:rPr>
                <w:noProof/>
                <w:webHidden/>
              </w:rPr>
              <w:t>49</w:t>
            </w:r>
            <w:r>
              <w:rPr>
                <w:noProof/>
                <w:webHidden/>
              </w:rPr>
              <w:fldChar w:fldCharType="end"/>
            </w:r>
          </w:hyperlink>
        </w:p>
        <w:p w14:paraId="1860AC95" w14:textId="0686B56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6" w:history="1">
            <w:r w:rsidRPr="00C33A7C">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_Toc236057876 \h </w:instrText>
            </w:r>
            <w:r>
              <w:rPr>
                <w:noProof/>
                <w:webHidden/>
              </w:rPr>
            </w:r>
            <w:r>
              <w:rPr>
                <w:noProof/>
                <w:webHidden/>
              </w:rPr>
              <w:fldChar w:fldCharType="separate"/>
            </w:r>
            <w:r>
              <w:rPr>
                <w:noProof/>
                <w:webHidden/>
              </w:rPr>
              <w:t>52</w:t>
            </w:r>
            <w:r>
              <w:rPr>
                <w:noProof/>
                <w:webHidden/>
              </w:rPr>
              <w:fldChar w:fldCharType="end"/>
            </w:r>
          </w:hyperlink>
        </w:p>
        <w:p w14:paraId="4FC97C43" w14:textId="55566255"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7"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_Toc236057877 \h </w:instrText>
            </w:r>
            <w:r>
              <w:rPr>
                <w:noProof/>
                <w:webHidden/>
              </w:rPr>
            </w:r>
            <w:r>
              <w:rPr>
                <w:noProof/>
                <w:webHidden/>
              </w:rPr>
              <w:fldChar w:fldCharType="separate"/>
            </w:r>
            <w:r>
              <w:rPr>
                <w:noProof/>
                <w:webHidden/>
              </w:rPr>
              <w:t>57</w:t>
            </w:r>
            <w:r>
              <w:rPr>
                <w:noProof/>
                <w:webHidden/>
              </w:rPr>
              <w:fldChar w:fldCharType="end"/>
            </w:r>
          </w:hyperlink>
        </w:p>
        <w:p w14:paraId="7FB0EFA7" w14:textId="27183B2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8" w:history="1">
            <w:r w:rsidRPr="00C33A7C">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_Toc236057878 \h </w:instrText>
            </w:r>
            <w:r>
              <w:rPr>
                <w:noProof/>
                <w:webHidden/>
              </w:rPr>
            </w:r>
            <w:r>
              <w:rPr>
                <w:noProof/>
                <w:webHidden/>
              </w:rPr>
              <w:fldChar w:fldCharType="separate"/>
            </w:r>
            <w:r>
              <w:rPr>
                <w:noProof/>
                <w:webHidden/>
              </w:rPr>
              <w:t>60</w:t>
            </w:r>
            <w:r>
              <w:rPr>
                <w:noProof/>
                <w:webHidden/>
              </w:rPr>
              <w:fldChar w:fldCharType="end"/>
            </w:r>
          </w:hyperlink>
        </w:p>
        <w:p w14:paraId="41E6C74A" w14:textId="687C16A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9"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_Toc236057879 \h </w:instrText>
            </w:r>
            <w:r>
              <w:rPr>
                <w:noProof/>
                <w:webHidden/>
              </w:rPr>
            </w:r>
            <w:r>
              <w:rPr>
                <w:noProof/>
                <w:webHidden/>
              </w:rPr>
              <w:fldChar w:fldCharType="separate"/>
            </w:r>
            <w:r>
              <w:rPr>
                <w:noProof/>
                <w:webHidden/>
              </w:rPr>
              <w:t>60</w:t>
            </w:r>
            <w:r>
              <w:rPr>
                <w:noProof/>
                <w:webHidden/>
              </w:rPr>
              <w:fldChar w:fldCharType="end"/>
            </w:r>
          </w:hyperlink>
        </w:p>
        <w:p w14:paraId="4D7831D5" w14:textId="4BBF096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0"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_Toc236057880 \h </w:instrText>
            </w:r>
            <w:r>
              <w:rPr>
                <w:noProof/>
                <w:webHidden/>
              </w:rPr>
            </w:r>
            <w:r>
              <w:rPr>
                <w:noProof/>
                <w:webHidden/>
              </w:rPr>
              <w:fldChar w:fldCharType="separate"/>
            </w:r>
            <w:r>
              <w:rPr>
                <w:noProof/>
                <w:webHidden/>
              </w:rPr>
              <w:t>61</w:t>
            </w:r>
            <w:r>
              <w:rPr>
                <w:noProof/>
                <w:webHidden/>
              </w:rPr>
              <w:fldChar w:fldCharType="end"/>
            </w:r>
          </w:hyperlink>
        </w:p>
        <w:p w14:paraId="171C8AF4" w14:textId="755CDF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1"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_Toc236057881 \h </w:instrText>
            </w:r>
            <w:r>
              <w:rPr>
                <w:noProof/>
                <w:webHidden/>
              </w:rPr>
            </w:r>
            <w:r>
              <w:rPr>
                <w:noProof/>
                <w:webHidden/>
              </w:rPr>
              <w:fldChar w:fldCharType="separate"/>
            </w:r>
            <w:r>
              <w:rPr>
                <w:noProof/>
                <w:webHidden/>
              </w:rPr>
              <w:t>62</w:t>
            </w:r>
            <w:r>
              <w:rPr>
                <w:noProof/>
                <w:webHidden/>
              </w:rPr>
              <w:fldChar w:fldCharType="end"/>
            </w:r>
          </w:hyperlink>
        </w:p>
        <w:p w14:paraId="3D0B6C90" w14:textId="50E4055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2"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_Toc236057882 \h </w:instrText>
            </w:r>
            <w:r>
              <w:rPr>
                <w:noProof/>
                <w:webHidden/>
              </w:rPr>
            </w:r>
            <w:r>
              <w:rPr>
                <w:noProof/>
                <w:webHidden/>
              </w:rPr>
              <w:fldChar w:fldCharType="separate"/>
            </w:r>
            <w:r>
              <w:rPr>
                <w:noProof/>
                <w:webHidden/>
              </w:rPr>
              <w:t>63</w:t>
            </w:r>
            <w:r>
              <w:rPr>
                <w:noProof/>
                <w:webHidden/>
              </w:rPr>
              <w:fldChar w:fldCharType="end"/>
            </w:r>
          </w:hyperlink>
        </w:p>
        <w:p w14:paraId="7A509372" w14:textId="0240EB6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3" w:history="1">
            <w:r w:rsidRPr="00C33A7C">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_Toc236057883 \h </w:instrText>
            </w:r>
            <w:r>
              <w:rPr>
                <w:noProof/>
                <w:webHidden/>
              </w:rPr>
            </w:r>
            <w:r>
              <w:rPr>
                <w:noProof/>
                <w:webHidden/>
              </w:rPr>
              <w:fldChar w:fldCharType="separate"/>
            </w:r>
            <w:r>
              <w:rPr>
                <w:noProof/>
                <w:webHidden/>
              </w:rPr>
              <w:t>66</w:t>
            </w:r>
            <w:r>
              <w:rPr>
                <w:noProof/>
                <w:webHidden/>
              </w:rPr>
              <w:fldChar w:fldCharType="end"/>
            </w:r>
          </w:hyperlink>
        </w:p>
        <w:p w14:paraId="00357308" w14:textId="07F65B7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4"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_Toc236057884 \h </w:instrText>
            </w:r>
            <w:r>
              <w:rPr>
                <w:noProof/>
                <w:webHidden/>
              </w:rPr>
            </w:r>
            <w:r>
              <w:rPr>
                <w:noProof/>
                <w:webHidden/>
              </w:rPr>
              <w:fldChar w:fldCharType="separate"/>
            </w:r>
            <w:r>
              <w:rPr>
                <w:noProof/>
                <w:webHidden/>
              </w:rPr>
              <w:t>68</w:t>
            </w:r>
            <w:r>
              <w:rPr>
                <w:noProof/>
                <w:webHidden/>
              </w:rPr>
              <w:fldChar w:fldCharType="end"/>
            </w:r>
          </w:hyperlink>
        </w:p>
        <w:p w14:paraId="1D8A9BB4" w14:textId="60CFA24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85" w:history="1">
            <w:r w:rsidRPr="00C33A7C">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_Toc236057885 \h </w:instrText>
            </w:r>
            <w:r>
              <w:rPr>
                <w:noProof/>
                <w:webHidden/>
              </w:rPr>
            </w:r>
            <w:r>
              <w:rPr>
                <w:noProof/>
                <w:webHidden/>
              </w:rPr>
              <w:fldChar w:fldCharType="separate"/>
            </w:r>
            <w:r>
              <w:rPr>
                <w:noProof/>
                <w:webHidden/>
              </w:rPr>
              <w:t>69</w:t>
            </w:r>
            <w:r>
              <w:rPr>
                <w:noProof/>
                <w:webHidden/>
              </w:rPr>
              <w:fldChar w:fldCharType="end"/>
            </w:r>
          </w:hyperlink>
        </w:p>
        <w:p w14:paraId="6983F8CB" w14:textId="73107DD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6"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_Toc236057886 \h </w:instrText>
            </w:r>
            <w:r>
              <w:rPr>
                <w:noProof/>
                <w:webHidden/>
              </w:rPr>
            </w:r>
            <w:r>
              <w:rPr>
                <w:noProof/>
                <w:webHidden/>
              </w:rPr>
              <w:fldChar w:fldCharType="separate"/>
            </w:r>
            <w:r>
              <w:rPr>
                <w:noProof/>
                <w:webHidden/>
              </w:rPr>
              <w:t>69</w:t>
            </w:r>
            <w:r>
              <w:rPr>
                <w:noProof/>
                <w:webHidden/>
              </w:rPr>
              <w:fldChar w:fldCharType="end"/>
            </w:r>
          </w:hyperlink>
        </w:p>
        <w:p w14:paraId="06EC7903" w14:textId="078A33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7"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_Toc236057887 \h </w:instrText>
            </w:r>
            <w:r>
              <w:rPr>
                <w:noProof/>
                <w:webHidden/>
              </w:rPr>
            </w:r>
            <w:r>
              <w:rPr>
                <w:noProof/>
                <w:webHidden/>
              </w:rPr>
              <w:fldChar w:fldCharType="separate"/>
            </w:r>
            <w:r>
              <w:rPr>
                <w:noProof/>
                <w:webHidden/>
              </w:rPr>
              <w:t>70</w:t>
            </w:r>
            <w:r>
              <w:rPr>
                <w:noProof/>
                <w:webHidden/>
              </w:rPr>
              <w:fldChar w:fldCharType="end"/>
            </w:r>
          </w:hyperlink>
        </w:p>
        <w:p w14:paraId="38EB25D5" w14:textId="30F93B7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8" w:history="1">
            <w:r w:rsidRPr="00C33A7C">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_Toc236057888 \h </w:instrText>
            </w:r>
            <w:r>
              <w:rPr>
                <w:noProof/>
                <w:webHidden/>
              </w:rPr>
            </w:r>
            <w:r>
              <w:rPr>
                <w:noProof/>
                <w:webHidden/>
              </w:rPr>
              <w:fldChar w:fldCharType="separate"/>
            </w:r>
            <w:r>
              <w:rPr>
                <w:noProof/>
                <w:webHidden/>
              </w:rPr>
              <w:t>79</w:t>
            </w:r>
            <w:r>
              <w:rPr>
                <w:noProof/>
                <w:webHidden/>
              </w:rPr>
              <w:fldChar w:fldCharType="end"/>
            </w:r>
          </w:hyperlink>
        </w:p>
        <w:p w14:paraId="301729A2" w14:textId="60864B96"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9" w:history="1">
            <w:r w:rsidRPr="00C33A7C">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_Toc236057889 \h </w:instrText>
            </w:r>
            <w:r>
              <w:rPr>
                <w:noProof/>
                <w:webHidden/>
              </w:rPr>
            </w:r>
            <w:r>
              <w:rPr>
                <w:noProof/>
                <w:webHidden/>
              </w:rPr>
              <w:fldChar w:fldCharType="separate"/>
            </w:r>
            <w:r>
              <w:rPr>
                <w:noProof/>
                <w:webHidden/>
              </w:rPr>
              <w:t>82</w:t>
            </w:r>
            <w:r>
              <w:rPr>
                <w:noProof/>
                <w:webHidden/>
              </w:rPr>
              <w:fldChar w:fldCharType="end"/>
            </w:r>
          </w:hyperlink>
        </w:p>
        <w:p w14:paraId="03A4E9BF" w14:textId="18D25A1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0"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_Toc236057890 \h </w:instrText>
            </w:r>
            <w:r>
              <w:rPr>
                <w:noProof/>
                <w:webHidden/>
              </w:rPr>
            </w:r>
            <w:r>
              <w:rPr>
                <w:noProof/>
                <w:webHidden/>
              </w:rPr>
              <w:fldChar w:fldCharType="separate"/>
            </w:r>
            <w:r>
              <w:rPr>
                <w:noProof/>
                <w:webHidden/>
              </w:rPr>
              <w:t>85</w:t>
            </w:r>
            <w:r>
              <w:rPr>
                <w:noProof/>
                <w:webHidden/>
              </w:rPr>
              <w:fldChar w:fldCharType="end"/>
            </w:r>
          </w:hyperlink>
        </w:p>
        <w:p w14:paraId="68A7F936" w14:textId="38308D2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1" w:history="1">
            <w:r w:rsidRPr="00C33A7C">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_Toc236057891 \h </w:instrText>
            </w:r>
            <w:r>
              <w:rPr>
                <w:noProof/>
                <w:webHidden/>
              </w:rPr>
            </w:r>
            <w:r>
              <w:rPr>
                <w:noProof/>
                <w:webHidden/>
              </w:rPr>
              <w:fldChar w:fldCharType="separate"/>
            </w:r>
            <w:r>
              <w:rPr>
                <w:noProof/>
                <w:webHidden/>
              </w:rPr>
              <w:t>86</w:t>
            </w:r>
            <w:r>
              <w:rPr>
                <w:noProof/>
                <w:webHidden/>
              </w:rPr>
              <w:fldChar w:fldCharType="end"/>
            </w:r>
          </w:hyperlink>
        </w:p>
        <w:p w14:paraId="0F1068A2" w14:textId="70D7A0F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2"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_Toc236057892 \h </w:instrText>
            </w:r>
            <w:r>
              <w:rPr>
                <w:noProof/>
                <w:webHidden/>
              </w:rPr>
            </w:r>
            <w:r>
              <w:rPr>
                <w:noProof/>
                <w:webHidden/>
              </w:rPr>
              <w:fldChar w:fldCharType="separate"/>
            </w:r>
            <w:r>
              <w:rPr>
                <w:noProof/>
                <w:webHidden/>
              </w:rPr>
              <w:t>86</w:t>
            </w:r>
            <w:r>
              <w:rPr>
                <w:noProof/>
                <w:webHidden/>
              </w:rPr>
              <w:fldChar w:fldCharType="end"/>
            </w:r>
          </w:hyperlink>
        </w:p>
        <w:p w14:paraId="038AC46E" w14:textId="15F4DA3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3"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_Toc236057893 \h </w:instrText>
            </w:r>
            <w:r>
              <w:rPr>
                <w:noProof/>
                <w:webHidden/>
              </w:rPr>
            </w:r>
            <w:r>
              <w:rPr>
                <w:noProof/>
                <w:webHidden/>
              </w:rPr>
              <w:fldChar w:fldCharType="separate"/>
            </w:r>
            <w:r>
              <w:rPr>
                <w:noProof/>
                <w:webHidden/>
              </w:rPr>
              <w:t>87</w:t>
            </w:r>
            <w:r>
              <w:rPr>
                <w:noProof/>
                <w:webHidden/>
              </w:rPr>
              <w:fldChar w:fldCharType="end"/>
            </w:r>
          </w:hyperlink>
        </w:p>
        <w:p w14:paraId="7D9E5E90" w14:textId="429D9C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4" w:history="1">
            <w:r w:rsidRPr="00C33A7C">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_Toc236057894 \h </w:instrText>
            </w:r>
            <w:r>
              <w:rPr>
                <w:noProof/>
                <w:webHidden/>
              </w:rPr>
            </w:r>
            <w:r>
              <w:rPr>
                <w:noProof/>
                <w:webHidden/>
              </w:rPr>
              <w:fldChar w:fldCharType="separate"/>
            </w:r>
            <w:r>
              <w:rPr>
                <w:noProof/>
                <w:webHidden/>
              </w:rPr>
              <w:t>88</w:t>
            </w:r>
            <w:r>
              <w:rPr>
                <w:noProof/>
                <w:webHidden/>
              </w:rPr>
              <w:fldChar w:fldCharType="end"/>
            </w:r>
          </w:hyperlink>
        </w:p>
        <w:p w14:paraId="3F9EB9C4" w14:textId="3E63CE2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5"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_Toc236057895 \h </w:instrText>
            </w:r>
            <w:r>
              <w:rPr>
                <w:noProof/>
                <w:webHidden/>
              </w:rPr>
            </w:r>
            <w:r>
              <w:rPr>
                <w:noProof/>
                <w:webHidden/>
              </w:rPr>
              <w:fldChar w:fldCharType="separate"/>
            </w:r>
            <w:r>
              <w:rPr>
                <w:noProof/>
                <w:webHidden/>
              </w:rPr>
              <w:t>88</w:t>
            </w:r>
            <w:r>
              <w:rPr>
                <w:noProof/>
                <w:webHidden/>
              </w:rPr>
              <w:fldChar w:fldCharType="end"/>
            </w:r>
          </w:hyperlink>
        </w:p>
        <w:p w14:paraId="47496CFE" w14:textId="02B3D5D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6"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_Toc236057896 \h </w:instrText>
            </w:r>
            <w:r>
              <w:rPr>
                <w:noProof/>
                <w:webHidden/>
              </w:rPr>
            </w:r>
            <w:r>
              <w:rPr>
                <w:noProof/>
                <w:webHidden/>
              </w:rPr>
              <w:fldChar w:fldCharType="separate"/>
            </w:r>
            <w:r>
              <w:rPr>
                <w:noProof/>
                <w:webHidden/>
              </w:rPr>
              <w:t>89</w:t>
            </w:r>
            <w:r>
              <w:rPr>
                <w:noProof/>
                <w:webHidden/>
              </w:rPr>
              <w:fldChar w:fldCharType="end"/>
            </w:r>
          </w:hyperlink>
        </w:p>
        <w:p w14:paraId="66E72F7A" w14:textId="7578EE6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7"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_Toc236057897 \h </w:instrText>
            </w:r>
            <w:r>
              <w:rPr>
                <w:noProof/>
                <w:webHidden/>
              </w:rPr>
            </w:r>
            <w:r>
              <w:rPr>
                <w:noProof/>
                <w:webHidden/>
              </w:rPr>
              <w:fldChar w:fldCharType="separate"/>
            </w:r>
            <w:r>
              <w:rPr>
                <w:noProof/>
                <w:webHidden/>
              </w:rPr>
              <w:t>91</w:t>
            </w:r>
            <w:r>
              <w:rPr>
                <w:noProof/>
                <w:webHidden/>
              </w:rPr>
              <w:fldChar w:fldCharType="end"/>
            </w:r>
          </w:hyperlink>
        </w:p>
        <w:p w14:paraId="4E15480A" w14:textId="3F96995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8"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_Toc236057898 \h </w:instrText>
            </w:r>
            <w:r>
              <w:rPr>
                <w:noProof/>
                <w:webHidden/>
              </w:rPr>
            </w:r>
            <w:r>
              <w:rPr>
                <w:noProof/>
                <w:webHidden/>
              </w:rPr>
              <w:fldChar w:fldCharType="separate"/>
            </w:r>
            <w:r>
              <w:rPr>
                <w:noProof/>
                <w:webHidden/>
              </w:rPr>
              <w:t>92</w:t>
            </w:r>
            <w:r>
              <w:rPr>
                <w:noProof/>
                <w:webHidden/>
              </w:rPr>
              <w:fldChar w:fldCharType="end"/>
            </w:r>
          </w:hyperlink>
        </w:p>
        <w:p w14:paraId="217996FA" w14:textId="3DD57CF1"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99" w:history="1">
            <w:r w:rsidRPr="00C33A7C">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_Toc236057899 \h </w:instrText>
            </w:r>
            <w:r>
              <w:rPr>
                <w:noProof/>
                <w:webHidden/>
              </w:rPr>
            </w:r>
            <w:r>
              <w:rPr>
                <w:noProof/>
                <w:webHidden/>
              </w:rPr>
              <w:fldChar w:fldCharType="separate"/>
            </w:r>
            <w:r>
              <w:rPr>
                <w:noProof/>
                <w:webHidden/>
              </w:rPr>
              <w:t>94</w:t>
            </w:r>
            <w:r>
              <w:rPr>
                <w:noProof/>
                <w:webHidden/>
              </w:rPr>
              <w:fldChar w:fldCharType="end"/>
            </w:r>
          </w:hyperlink>
        </w:p>
        <w:p w14:paraId="50A1CB83" w14:textId="6FB6AE1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0"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_Toc236057900 \h </w:instrText>
            </w:r>
            <w:r>
              <w:rPr>
                <w:noProof/>
                <w:webHidden/>
              </w:rPr>
            </w:r>
            <w:r>
              <w:rPr>
                <w:noProof/>
                <w:webHidden/>
              </w:rPr>
              <w:fldChar w:fldCharType="separate"/>
            </w:r>
            <w:r>
              <w:rPr>
                <w:noProof/>
                <w:webHidden/>
              </w:rPr>
              <w:t>94</w:t>
            </w:r>
            <w:r>
              <w:rPr>
                <w:noProof/>
                <w:webHidden/>
              </w:rPr>
              <w:fldChar w:fldCharType="end"/>
            </w:r>
          </w:hyperlink>
        </w:p>
        <w:p w14:paraId="6A09407F" w14:textId="5EC5E09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1" w:history="1">
            <w:r w:rsidRPr="00C33A7C">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_Toc236057901 \h </w:instrText>
            </w:r>
            <w:r>
              <w:rPr>
                <w:noProof/>
                <w:webHidden/>
              </w:rPr>
            </w:r>
            <w:r>
              <w:rPr>
                <w:noProof/>
                <w:webHidden/>
              </w:rPr>
              <w:fldChar w:fldCharType="separate"/>
            </w:r>
            <w:r>
              <w:rPr>
                <w:noProof/>
                <w:webHidden/>
              </w:rPr>
              <w:t>94</w:t>
            </w:r>
            <w:r>
              <w:rPr>
                <w:noProof/>
                <w:webHidden/>
              </w:rPr>
              <w:fldChar w:fldCharType="end"/>
            </w:r>
          </w:hyperlink>
        </w:p>
        <w:p w14:paraId="7FFC3527" w14:textId="5F309EC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2"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_Toc236057902 \h </w:instrText>
            </w:r>
            <w:r>
              <w:rPr>
                <w:noProof/>
                <w:webHidden/>
              </w:rPr>
            </w:r>
            <w:r>
              <w:rPr>
                <w:noProof/>
                <w:webHidden/>
              </w:rPr>
              <w:fldChar w:fldCharType="separate"/>
            </w:r>
            <w:r>
              <w:rPr>
                <w:noProof/>
                <w:webHidden/>
              </w:rPr>
              <w:t>94</w:t>
            </w:r>
            <w:r>
              <w:rPr>
                <w:noProof/>
                <w:webHidden/>
              </w:rPr>
              <w:fldChar w:fldCharType="end"/>
            </w:r>
          </w:hyperlink>
        </w:p>
        <w:p w14:paraId="09902463" w14:textId="7A478EBC"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3" w:history="1">
            <w:r w:rsidRPr="00C33A7C">
              <w:rPr>
                <w:rStyle w:val="Hyperlink"/>
                <w:rFonts w:asciiTheme="majorHAnsi" w:hAnsiTheme="majorHAnsi" w:cstheme="majorHAnsi"/>
                <w:noProof/>
              </w:rPr>
              <w:t>Section C: Extreme Heat—California</w:t>
            </w:r>
            <w:r>
              <w:rPr>
                <w:noProof/>
                <w:webHidden/>
              </w:rPr>
              <w:tab/>
            </w:r>
            <w:r>
              <w:rPr>
                <w:noProof/>
                <w:webHidden/>
              </w:rPr>
              <w:fldChar w:fldCharType="begin"/>
            </w:r>
            <w:r>
              <w:rPr>
                <w:noProof/>
                <w:webHidden/>
              </w:rPr>
              <w:instrText xml:space="preserve"> PAGEREF _Toc236057903 \h </w:instrText>
            </w:r>
            <w:r>
              <w:rPr>
                <w:noProof/>
                <w:webHidden/>
              </w:rPr>
            </w:r>
            <w:r>
              <w:rPr>
                <w:noProof/>
                <w:webHidden/>
              </w:rPr>
              <w:fldChar w:fldCharType="separate"/>
            </w:r>
            <w:r>
              <w:rPr>
                <w:noProof/>
                <w:webHidden/>
              </w:rPr>
              <w:t>97</w:t>
            </w:r>
            <w:r>
              <w:rPr>
                <w:noProof/>
                <w:webHidden/>
              </w:rPr>
              <w:fldChar w:fldCharType="end"/>
            </w:r>
          </w:hyperlink>
        </w:p>
        <w:p w14:paraId="79D0B052" w14:textId="5A9C3D1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4"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_Toc236057904 \h </w:instrText>
            </w:r>
            <w:r>
              <w:rPr>
                <w:noProof/>
                <w:webHidden/>
              </w:rPr>
            </w:r>
            <w:r>
              <w:rPr>
                <w:noProof/>
                <w:webHidden/>
              </w:rPr>
              <w:fldChar w:fldCharType="separate"/>
            </w:r>
            <w:r>
              <w:rPr>
                <w:noProof/>
                <w:webHidden/>
              </w:rPr>
              <w:t>97</w:t>
            </w:r>
            <w:r>
              <w:rPr>
                <w:noProof/>
                <w:webHidden/>
              </w:rPr>
              <w:fldChar w:fldCharType="end"/>
            </w:r>
          </w:hyperlink>
        </w:p>
        <w:p w14:paraId="56092922" w14:textId="7A289556"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05" w:history="1">
            <w:r w:rsidRPr="00C33A7C">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_Toc236057905 \h </w:instrText>
            </w:r>
            <w:r>
              <w:rPr>
                <w:noProof/>
                <w:webHidden/>
              </w:rPr>
            </w:r>
            <w:r>
              <w:rPr>
                <w:noProof/>
                <w:webHidden/>
              </w:rPr>
              <w:fldChar w:fldCharType="separate"/>
            </w:r>
            <w:r>
              <w:rPr>
                <w:noProof/>
                <w:webHidden/>
              </w:rPr>
              <w:t>101</w:t>
            </w:r>
            <w:r>
              <w:rPr>
                <w:noProof/>
                <w:webHidden/>
              </w:rPr>
              <w:fldChar w:fldCharType="end"/>
            </w:r>
          </w:hyperlink>
        </w:p>
        <w:p w14:paraId="387BD432" w14:textId="5252666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6"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_Toc236057906 \h </w:instrText>
            </w:r>
            <w:r>
              <w:rPr>
                <w:noProof/>
                <w:webHidden/>
              </w:rPr>
            </w:r>
            <w:r>
              <w:rPr>
                <w:noProof/>
                <w:webHidden/>
              </w:rPr>
              <w:fldChar w:fldCharType="separate"/>
            </w:r>
            <w:r>
              <w:rPr>
                <w:noProof/>
                <w:webHidden/>
              </w:rPr>
              <w:t>101</w:t>
            </w:r>
            <w:r>
              <w:rPr>
                <w:noProof/>
                <w:webHidden/>
              </w:rPr>
              <w:fldChar w:fldCharType="end"/>
            </w:r>
          </w:hyperlink>
        </w:p>
        <w:p w14:paraId="018849A6" w14:textId="448D84E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7" w:history="1">
            <w:r w:rsidRPr="00C33A7C">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_Toc236057907 \h </w:instrText>
            </w:r>
            <w:r>
              <w:rPr>
                <w:noProof/>
                <w:webHidden/>
              </w:rPr>
            </w:r>
            <w:r>
              <w:rPr>
                <w:noProof/>
                <w:webHidden/>
              </w:rPr>
              <w:fldChar w:fldCharType="separate"/>
            </w:r>
            <w:r>
              <w:rPr>
                <w:noProof/>
                <w:webHidden/>
              </w:rPr>
              <w:t>101</w:t>
            </w:r>
            <w:r>
              <w:rPr>
                <w:noProof/>
                <w:webHidden/>
              </w:rPr>
              <w:fldChar w:fldCharType="end"/>
            </w:r>
          </w:hyperlink>
        </w:p>
        <w:p w14:paraId="647E23B8" w14:textId="517D39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8" w:history="1">
            <w:r w:rsidRPr="00C33A7C">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_Toc236057908 \h </w:instrText>
            </w:r>
            <w:r>
              <w:rPr>
                <w:noProof/>
                <w:webHidden/>
              </w:rPr>
            </w:r>
            <w:r>
              <w:rPr>
                <w:noProof/>
                <w:webHidden/>
              </w:rPr>
              <w:fldChar w:fldCharType="separate"/>
            </w:r>
            <w:r>
              <w:rPr>
                <w:noProof/>
                <w:webHidden/>
              </w:rPr>
              <w:t>104</w:t>
            </w:r>
            <w:r>
              <w:rPr>
                <w:noProof/>
                <w:webHidden/>
              </w:rPr>
              <w:fldChar w:fldCharType="end"/>
            </w:r>
          </w:hyperlink>
        </w:p>
        <w:p w14:paraId="562D2F72" w14:textId="22DCB5C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9" w:history="1">
            <w:r w:rsidRPr="00C33A7C">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_Toc236057909 \h </w:instrText>
            </w:r>
            <w:r>
              <w:rPr>
                <w:noProof/>
                <w:webHidden/>
              </w:rPr>
            </w:r>
            <w:r>
              <w:rPr>
                <w:noProof/>
                <w:webHidden/>
              </w:rPr>
              <w:fldChar w:fldCharType="separate"/>
            </w:r>
            <w:r>
              <w:rPr>
                <w:noProof/>
                <w:webHidden/>
              </w:rPr>
              <w:t>105</w:t>
            </w:r>
            <w:r>
              <w:rPr>
                <w:noProof/>
                <w:webHidden/>
              </w:rPr>
              <w:fldChar w:fldCharType="end"/>
            </w:r>
          </w:hyperlink>
        </w:p>
        <w:p w14:paraId="1E821969" w14:textId="4B8A0C7F"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0" w:history="1">
            <w:r w:rsidRPr="00C33A7C">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_Toc236057910 \h </w:instrText>
            </w:r>
            <w:r>
              <w:rPr>
                <w:noProof/>
                <w:webHidden/>
              </w:rPr>
            </w:r>
            <w:r>
              <w:rPr>
                <w:noProof/>
                <w:webHidden/>
              </w:rPr>
              <w:fldChar w:fldCharType="separate"/>
            </w:r>
            <w:r>
              <w:rPr>
                <w:noProof/>
                <w:webHidden/>
              </w:rPr>
              <w:t>107</w:t>
            </w:r>
            <w:r>
              <w:rPr>
                <w:noProof/>
                <w:webHidden/>
              </w:rPr>
              <w:fldChar w:fldCharType="end"/>
            </w:r>
          </w:hyperlink>
        </w:p>
        <w:p w14:paraId="00158154" w14:textId="5ED1387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1" w:history="1">
            <w:r w:rsidRPr="00C33A7C">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_Toc236057911 \h </w:instrText>
            </w:r>
            <w:r>
              <w:rPr>
                <w:noProof/>
                <w:webHidden/>
              </w:rPr>
            </w:r>
            <w:r>
              <w:rPr>
                <w:noProof/>
                <w:webHidden/>
              </w:rPr>
              <w:fldChar w:fldCharType="separate"/>
            </w:r>
            <w:r>
              <w:rPr>
                <w:noProof/>
                <w:webHidden/>
              </w:rPr>
              <w:t>109</w:t>
            </w:r>
            <w:r>
              <w:rPr>
                <w:noProof/>
                <w:webHidden/>
              </w:rPr>
              <w:fldChar w:fldCharType="end"/>
            </w:r>
          </w:hyperlink>
        </w:p>
        <w:p w14:paraId="540F1F1F" w14:textId="43D4D689"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2" w:history="1">
            <w:r w:rsidRPr="00C33A7C">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_Toc236057912 \h </w:instrText>
            </w:r>
            <w:r>
              <w:rPr>
                <w:noProof/>
                <w:webHidden/>
              </w:rPr>
            </w:r>
            <w:r>
              <w:rPr>
                <w:noProof/>
                <w:webHidden/>
              </w:rPr>
              <w:fldChar w:fldCharType="separate"/>
            </w:r>
            <w:r>
              <w:rPr>
                <w:noProof/>
                <w:webHidden/>
              </w:rPr>
              <w:t>111</w:t>
            </w:r>
            <w:r>
              <w:rPr>
                <w:noProof/>
                <w:webHidden/>
              </w:rPr>
              <w:fldChar w:fldCharType="end"/>
            </w:r>
          </w:hyperlink>
        </w:p>
        <w:p w14:paraId="6329DD86" w14:textId="7668D08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3" w:history="1">
            <w:r w:rsidRPr="00C33A7C">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_Toc236057913 \h </w:instrText>
            </w:r>
            <w:r>
              <w:rPr>
                <w:noProof/>
                <w:webHidden/>
              </w:rPr>
            </w:r>
            <w:r>
              <w:rPr>
                <w:noProof/>
                <w:webHidden/>
              </w:rPr>
              <w:fldChar w:fldCharType="separate"/>
            </w:r>
            <w:r>
              <w:rPr>
                <w:noProof/>
                <w:webHidden/>
              </w:rPr>
              <w:t>111</w:t>
            </w:r>
            <w:r>
              <w:rPr>
                <w:noProof/>
                <w:webHidden/>
              </w:rPr>
              <w:fldChar w:fldCharType="end"/>
            </w:r>
          </w:hyperlink>
        </w:p>
        <w:p w14:paraId="58244F6B" w14:textId="43ECEF24"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4" w:history="1">
            <w:r w:rsidRPr="00C33A7C">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_Toc236057914 \h </w:instrText>
            </w:r>
            <w:r>
              <w:rPr>
                <w:noProof/>
                <w:webHidden/>
              </w:rPr>
            </w:r>
            <w:r>
              <w:rPr>
                <w:noProof/>
                <w:webHidden/>
              </w:rPr>
              <w:fldChar w:fldCharType="separate"/>
            </w:r>
            <w:r>
              <w:rPr>
                <w:noProof/>
                <w:webHidden/>
              </w:rPr>
              <w:t>119</w:t>
            </w:r>
            <w:r>
              <w:rPr>
                <w:noProof/>
                <w:webHidden/>
              </w:rPr>
              <w:fldChar w:fldCharType="end"/>
            </w:r>
          </w:hyperlink>
        </w:p>
        <w:p w14:paraId="0407B1BD" w14:textId="39064FF7"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5" w:history="1">
            <w:r w:rsidRPr="00C33A7C">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_Toc236057915 \h </w:instrText>
            </w:r>
            <w:r>
              <w:rPr>
                <w:noProof/>
                <w:webHidden/>
              </w:rPr>
            </w:r>
            <w:r>
              <w:rPr>
                <w:noProof/>
                <w:webHidden/>
              </w:rPr>
              <w:fldChar w:fldCharType="separate"/>
            </w:r>
            <w:r>
              <w:rPr>
                <w:noProof/>
                <w:webHidden/>
              </w:rPr>
              <w:t>123</w:t>
            </w:r>
            <w:r>
              <w:rPr>
                <w:noProof/>
                <w:webHidden/>
              </w:rPr>
              <w:fldChar w:fldCharType="end"/>
            </w:r>
          </w:hyperlink>
        </w:p>
        <w:p w14:paraId="7713914E" w14:textId="363A486C"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9726FC" w:rsidP="00456121">
      <w:pPr>
        <w:jc w:val="both"/>
        <w:rPr>
          <w:rFonts w:asciiTheme="majorHAnsi" w:eastAsia="Calibri" w:hAnsiTheme="majorHAnsi" w:cstheme="majorHAnsi"/>
        </w:rPr>
      </w:pPr>
      <w:r>
        <w:rPr>
          <w:rFonts w:asciiTheme="majorHAnsi" w:hAnsiTheme="majorHAnsi" w:cstheme="majorHAnsi"/>
        </w:rPr>
        <w:pict w14:anchorId="7BA15CB0">
          <v:rect id="_x0000_i1027" style="width:0;height:1.5pt" o:hralign="center" o:hrstd="t" o:hr="t" fillcolor="#a0a0a0" stroked="f"/>
        </w:pict>
      </w:r>
    </w:p>
    <w:p w14:paraId="47ED4A92" w14:textId="31B9C8FC" w:rsidR="00FB1243" w:rsidRPr="00B6688A" w:rsidRDefault="007413BF" w:rsidP="00AE6CB9">
      <w:pPr>
        <w:pStyle w:val="Heading1"/>
        <w:rPr>
          <w:rFonts w:asciiTheme="majorHAnsi" w:hAnsiTheme="majorHAnsi" w:cstheme="majorHAnsi"/>
        </w:rPr>
      </w:pPr>
      <w:bookmarkStart w:id="0" w:name="_Toc236057840"/>
      <w:r w:rsidRPr="00B6688A">
        <w:rPr>
          <w:rFonts w:asciiTheme="majorHAnsi" w:hAnsiTheme="majorHAnsi" w:cstheme="majorHAnsi"/>
        </w:rPr>
        <w:lastRenderedPageBreak/>
        <w:t>Executive Summary</w:t>
      </w:r>
      <w:bookmarkEnd w:id="0"/>
    </w:p>
    <w:p w14:paraId="47ED4A93" w14:textId="00C21E7F" w:rsidR="00FB1243" w:rsidRPr="00B6688A" w:rsidRDefault="007413BF" w:rsidP="00B4444E">
      <w:pPr>
        <w:jc w:val="both"/>
        <w:rPr>
          <w:rFonts w:asciiTheme="majorHAnsi" w:hAnsiTheme="majorHAnsi" w:cstheme="majorHAnsi"/>
        </w:rPr>
      </w:pPr>
      <w:r w:rsidRPr="0009640B">
        <w:rPr>
          <w:rFonts w:asciiTheme="majorHAnsi" w:hAnsiTheme="majorHAnsi" w:cstheme="majorHAnsi"/>
        </w:rPr>
        <w:t xml:space="preserve">The </w:t>
      </w:r>
      <w:r w:rsidR="00175A9C" w:rsidRPr="0022323C">
        <w:rPr>
          <w:rFonts w:asciiTheme="majorHAnsi" w:hAnsiTheme="majorHAnsi" w:cstheme="majorHAnsi"/>
          <w:i/>
          <w:iCs/>
        </w:rPr>
        <w:t>Affordability and Availability of Homeowners Insurance Playbook</w:t>
      </w:r>
      <w:r w:rsidR="00175A9C">
        <w:rPr>
          <w:rFonts w:asciiTheme="majorHAnsi" w:hAnsiTheme="majorHAnsi" w:cstheme="majorHAnsi"/>
        </w:rPr>
        <w:t xml:space="preserve"> </w:t>
      </w:r>
      <w:r w:rsidR="00AE00F3">
        <w:rPr>
          <w:rFonts w:asciiTheme="majorHAnsi" w:hAnsiTheme="majorHAnsi" w:cstheme="majorHAnsi"/>
        </w:rPr>
        <w:t xml:space="preserve">(Playbook) </w:t>
      </w:r>
      <w:r w:rsidRPr="00B6688A">
        <w:rPr>
          <w:rFonts w:asciiTheme="majorHAnsi" w:hAnsiTheme="majorHAnsi" w:cstheme="majorHAnsi"/>
        </w:rPr>
        <w:t xml:space="preserve">serves as a resource for state insurance regulators to address the growing </w:t>
      </w:r>
      <w:r w:rsidR="000D3703">
        <w:rPr>
          <w:rFonts w:asciiTheme="majorHAnsi" w:hAnsiTheme="majorHAnsi" w:cstheme="majorHAnsi"/>
        </w:rPr>
        <w:t xml:space="preserve">affordability and availability challenges impacting </w:t>
      </w:r>
      <w:r w:rsidRPr="00B6688A">
        <w:rPr>
          <w:rFonts w:asciiTheme="majorHAnsi" w:hAnsiTheme="majorHAnsi" w:cstheme="majorHAnsi"/>
        </w:rPr>
        <w:t xml:space="preserve">homeowners insurance. </w:t>
      </w:r>
      <w:r w:rsidR="000D3703">
        <w:rPr>
          <w:rFonts w:asciiTheme="majorHAnsi" w:hAnsiTheme="majorHAnsi" w:cstheme="majorHAnsi"/>
        </w:rPr>
        <w:t xml:space="preserve">The </w:t>
      </w:r>
      <w:r w:rsidR="00AE00F3">
        <w:rPr>
          <w:rFonts w:asciiTheme="majorHAnsi" w:hAnsiTheme="majorHAnsi" w:cstheme="majorHAnsi"/>
        </w:rPr>
        <w:t>P</w:t>
      </w:r>
      <w:r w:rsidR="000D3703">
        <w:rPr>
          <w:rFonts w:asciiTheme="majorHAnsi" w:hAnsiTheme="majorHAnsi" w:cstheme="majorHAnsi"/>
        </w:rPr>
        <w:t>laybook</w:t>
      </w:r>
      <w:r w:rsidRPr="00B6688A">
        <w:rPr>
          <w:rFonts w:asciiTheme="majorHAnsi" w:hAnsiTheme="majorHAnsi" w:cstheme="majorHAnsi"/>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00B4444E">
      <w:pPr>
        <w:jc w:val="both"/>
        <w:rPr>
          <w:rFonts w:asciiTheme="majorHAnsi" w:hAnsiTheme="majorHAnsi" w:cstheme="majorHAnsi"/>
        </w:rPr>
      </w:pPr>
      <w:r w:rsidRPr="00B6688A">
        <w:rPr>
          <w:rFonts w:asciiTheme="majorHAnsi" w:hAnsiTheme="majorHAnsi" w:cstheme="majorHAnsi"/>
        </w:rPr>
        <w:t xml:space="preserve">Together, these sections provide a framework for understanding how current market pressures have developed </w:t>
      </w:r>
      <w:r w:rsidRPr="00EE42F0">
        <w:rPr>
          <w:rFonts w:asciiTheme="majorHAnsi" w:hAnsiTheme="majorHAnsi" w:cstheme="majorHAnsi"/>
        </w:rPr>
        <w:t xml:space="preserve">and </w:t>
      </w:r>
      <w:r w:rsidR="00377FB4" w:rsidRPr="00EE42F0">
        <w:rPr>
          <w:rFonts w:asciiTheme="majorHAnsi" w:hAnsiTheme="majorHAnsi" w:cstheme="majorHAnsi"/>
        </w:rPr>
        <w:t xml:space="preserve">the range of tools regulators may evaluate in response. </w:t>
      </w:r>
    </w:p>
    <w:p w14:paraId="47ED4A98" w14:textId="6BE481DF"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The availability and affordability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the United States have become </w:t>
      </w:r>
      <w:r w:rsidR="008E5798">
        <w:rPr>
          <w:rFonts w:asciiTheme="majorHAnsi" w:eastAsia="Calibri" w:hAnsiTheme="majorHAnsi" w:cstheme="majorHAnsi"/>
        </w:rPr>
        <w:t xml:space="preserve">a </w:t>
      </w:r>
      <w:r w:rsidRPr="00B6688A">
        <w:rPr>
          <w:rFonts w:asciiTheme="majorHAnsi" w:eastAsia="Calibri" w:hAnsiTheme="majorHAnsi" w:cstheme="majorHAnsi"/>
        </w:rPr>
        <w:t>pressing challenge, shaped by the convergence of rising catastrophe losses, inflation</w:t>
      </w:r>
      <w:r w:rsidRPr="00B6688A">
        <w:rPr>
          <w:rFonts w:ascii="Cambria Math" w:eastAsia="Cambria Math" w:hAnsi="Cambria Math" w:cs="Cambria Math"/>
        </w:rPr>
        <w:t>‑</w:t>
      </w:r>
      <w:r w:rsidRPr="00B6688A">
        <w:rPr>
          <w:rFonts w:asciiTheme="majorHAnsi" w:eastAsia="Calibri" w:hAnsiTheme="majorHAnsi" w:cstheme="majorHAnsi"/>
        </w:rPr>
        <w:t xml:space="preserve">driven rebuilding costs, and shifting insurer risk management strategies. Over the past decade, repeated </w:t>
      </w:r>
      <w:r w:rsidR="00042FE5"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escalating construction expenses, and tightening underwriting practices have driven premiums sharply upward while simultaneously narrowing coverage options. As insurers adjust their willingness to write coverage in certain regions and modify policy terms by increasing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depreciation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adjustments, households assume a larger share of the financial responsibility for potential losses. These dynamics not only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strain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but also reverberate with potential consequences for housing markets, mortgage accessibility, rental affordability, and local economies.</w:t>
      </w:r>
    </w:p>
    <w:p w14:paraId="47ED4A9A" w14:textId="688D8FC6" w:rsidR="00FB1243"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This 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emerging, assessing how affordability and availability challenges are leaving households exposed to losses, and implementing strategies to fill those gaps before they undermine financial security and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By actively monitoring market conditions and adapting regulatory frameworks,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tool for safeguarding policyholders, enabling homeownership, and supporting broader economic stability.</w:t>
      </w:r>
    </w:p>
    <w:p w14:paraId="1F2F2518" w14:textId="77777777" w:rsidR="00E27C30" w:rsidRPr="00EE42F0" w:rsidRDefault="00E27C30" w:rsidP="00E27C30">
      <w:pPr>
        <w:jc w:val="both"/>
        <w:rPr>
          <w:kern w:val="2"/>
          <w:lang w:val="en-US"/>
          <w14:ligatures w14:val="standardContextual"/>
        </w:rPr>
      </w:pPr>
      <w:r w:rsidRPr="00EE42F0">
        <w:rPr>
          <w:rFonts w:ascii="Calibri" w:hAnsi="Calibri" w:cs="Calibri"/>
        </w:rPr>
        <w:lastRenderedPageBreak/>
        <w:t>The Playbook is intended to be used as a menu of policy options and implementation considerations, not as a set of recommendations or endorsements of any particular approach.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may be updated as additional states add their information, homeowners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5C47328D" w:rsidR="00FB1243" w:rsidRPr="00432DC2" w:rsidRDefault="00F351F6" w:rsidP="00B4444E">
      <w:pPr>
        <w:jc w:val="both"/>
        <w:rPr>
          <w:rFonts w:asciiTheme="majorHAnsi" w:eastAsia="Calibri" w:hAnsiTheme="majorHAnsi" w:cstheme="majorHAnsi"/>
        </w:rPr>
      </w:pPr>
      <w:r w:rsidRPr="00432DC2">
        <w:rPr>
          <w:rFonts w:asciiTheme="majorHAnsi" w:eastAsia="Calibri" w:hAnsiTheme="majorHAnsi" w:cstheme="majorHAnsi"/>
        </w:rPr>
        <w:t>As insurance markets continue to adjust</w:t>
      </w:r>
      <w:r w:rsidR="005E2846" w:rsidRPr="00432DC2">
        <w:rPr>
          <w:rFonts w:asciiTheme="majorHAnsi" w:eastAsia="Calibri" w:hAnsiTheme="majorHAnsi" w:cstheme="majorHAnsi"/>
        </w:rPr>
        <w:t xml:space="preserve"> </w:t>
      </w:r>
      <w:r w:rsidRPr="00432DC2">
        <w:rPr>
          <w:rFonts w:asciiTheme="majorHAnsi" w:eastAsia="Calibri" w:hAnsiTheme="majorHAnsi" w:cstheme="majorHAnsi"/>
        </w:rPr>
        <w:t>and as capacity has begun to recover in some</w:t>
      </w:r>
      <w:r w:rsidR="009640C0" w:rsidRPr="00432DC2">
        <w:rPr>
          <w:rFonts w:asciiTheme="majorHAnsi" w:eastAsia="Calibri" w:hAnsiTheme="majorHAnsi" w:cstheme="majorHAnsi"/>
        </w:rPr>
        <w:t xml:space="preserve"> areas</w:t>
      </w:r>
      <w:r w:rsidR="005E2846" w:rsidRPr="00432DC2">
        <w:rPr>
          <w:rFonts w:asciiTheme="majorHAnsi" w:eastAsia="Calibri" w:hAnsiTheme="majorHAnsi" w:cstheme="majorHAnsi"/>
        </w:rPr>
        <w:t xml:space="preserve">, </w:t>
      </w:r>
      <w:r w:rsidR="00DD31CD" w:rsidRPr="00432DC2">
        <w:rPr>
          <w:rFonts w:asciiTheme="majorHAnsi" w:eastAsia="Calibri" w:hAnsiTheme="majorHAnsi" w:cstheme="majorHAnsi"/>
        </w:rPr>
        <w:t xml:space="preserve">regulators are monitoring how rising </w:t>
      </w:r>
      <w:r w:rsidR="004D7AD8" w:rsidRPr="00432DC2">
        <w:rPr>
          <w:rFonts w:asciiTheme="majorHAnsi" w:eastAsia="Calibri" w:hAnsiTheme="majorHAnsi" w:cstheme="majorHAnsi"/>
        </w:rPr>
        <w:t>premiums</w:t>
      </w:r>
      <w:r w:rsidR="00D16D62" w:rsidRPr="00432DC2">
        <w:rPr>
          <w:rFonts w:asciiTheme="majorHAnsi" w:eastAsia="Calibri" w:hAnsiTheme="majorHAnsi" w:cstheme="majorHAnsi"/>
        </w:rPr>
        <w:t xml:space="preserve"> and changing underwriting practices affect consumer</w:t>
      </w:r>
      <w:r w:rsidR="00E60711" w:rsidRPr="00432DC2">
        <w:rPr>
          <w:rFonts w:asciiTheme="majorHAnsi" w:eastAsia="Calibri" w:hAnsiTheme="majorHAnsi" w:cstheme="majorHAnsi"/>
        </w:rPr>
        <w:t xml:space="preserve">s’ </w:t>
      </w:r>
      <w:r w:rsidRPr="00432DC2">
        <w:rPr>
          <w:rFonts w:asciiTheme="majorHAnsi" w:eastAsia="Calibri" w:hAnsiTheme="majorHAnsi" w:cstheme="majorHAnsi"/>
        </w:rPr>
        <w:t xml:space="preserve">access </w:t>
      </w:r>
      <w:r w:rsidR="003B1259" w:rsidRPr="00432DC2">
        <w:rPr>
          <w:rFonts w:asciiTheme="majorHAnsi" w:eastAsia="Calibri" w:hAnsiTheme="majorHAnsi" w:cstheme="majorHAnsi"/>
        </w:rPr>
        <w:t xml:space="preserve">to </w:t>
      </w:r>
      <w:r w:rsidRPr="00432DC2">
        <w:rPr>
          <w:rFonts w:asciiTheme="majorHAnsi" w:eastAsia="Calibri" w:hAnsiTheme="majorHAnsi" w:cstheme="majorHAnsi"/>
        </w:rPr>
        <w:t xml:space="preserve">meaningful insurance coverage that is affordable to buy and to use. The repercussions this </w:t>
      </w:r>
      <w:r w:rsidR="00AE00F3" w:rsidRPr="00432DC2">
        <w:rPr>
          <w:rFonts w:asciiTheme="majorHAnsi" w:eastAsia="Calibri" w:hAnsiTheme="majorHAnsi" w:cstheme="majorHAnsi"/>
        </w:rPr>
        <w:t>P</w:t>
      </w:r>
      <w:r w:rsidRPr="00432DC2">
        <w:rPr>
          <w:rFonts w:asciiTheme="majorHAnsi" w:eastAsia="Calibri" w:hAnsiTheme="majorHAnsi" w:cstheme="majorHAnsi"/>
        </w:rPr>
        <w:t xml:space="preserve">laybook seeks to address are: dramatically increasing </w:t>
      </w:r>
      <w:r w:rsidR="005A5B0A" w:rsidRPr="00432DC2">
        <w:rPr>
          <w:rFonts w:asciiTheme="majorHAnsi" w:eastAsia="Calibri" w:hAnsiTheme="majorHAnsi" w:cstheme="majorHAnsi"/>
        </w:rPr>
        <w:t xml:space="preserve">premiums </w:t>
      </w:r>
      <w:r w:rsidRPr="00432DC2">
        <w:rPr>
          <w:rFonts w:asciiTheme="majorHAnsi" w:eastAsia="Calibri" w:hAnsiTheme="majorHAnsi" w:cstheme="majorHAnsi"/>
        </w:rPr>
        <w:t>nationwide</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and </w:t>
      </w:r>
      <w:r w:rsidR="005A5B0A" w:rsidRPr="00432DC2">
        <w:rPr>
          <w:rFonts w:asciiTheme="majorHAnsi" w:eastAsia="Calibri" w:hAnsiTheme="majorHAnsi" w:cstheme="majorHAnsi"/>
        </w:rPr>
        <w:t xml:space="preserve">how </w:t>
      </w:r>
      <w:r w:rsidRPr="00432DC2">
        <w:rPr>
          <w:rFonts w:asciiTheme="majorHAnsi" w:eastAsia="Calibri" w:hAnsiTheme="majorHAnsi" w:cstheme="majorHAnsi"/>
        </w:rPr>
        <w:t xml:space="preserve">many </w:t>
      </w:r>
      <w:r w:rsidR="005A5B0A" w:rsidRPr="00432DC2">
        <w:rPr>
          <w:rFonts w:asciiTheme="majorHAnsi" w:eastAsia="Calibri" w:hAnsiTheme="majorHAnsi" w:cstheme="majorHAnsi"/>
        </w:rPr>
        <w:t>property/casualty (</w:t>
      </w:r>
      <w:r w:rsidRPr="00432DC2">
        <w:rPr>
          <w:rFonts w:asciiTheme="majorHAnsi" w:eastAsia="Calibri" w:hAnsiTheme="majorHAnsi" w:cstheme="majorHAnsi"/>
        </w:rPr>
        <w:t>P</w:t>
      </w:r>
      <w:r w:rsidR="005A5B0A" w:rsidRPr="00432DC2">
        <w:rPr>
          <w:rFonts w:asciiTheme="majorHAnsi" w:eastAsia="Calibri" w:hAnsiTheme="majorHAnsi" w:cstheme="majorHAnsi"/>
        </w:rPr>
        <w:t>/</w:t>
      </w:r>
      <w:r w:rsidRPr="00432DC2">
        <w:rPr>
          <w:rFonts w:asciiTheme="majorHAnsi" w:eastAsia="Calibri" w:hAnsiTheme="majorHAnsi" w:cstheme="majorHAnsi"/>
        </w:rPr>
        <w:t>C</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companies are writing fewer new homeowners insurance</w:t>
      </w:r>
      <w:r w:rsidR="00870578" w:rsidRPr="00432DC2">
        <w:rPr>
          <w:rFonts w:asciiTheme="majorHAnsi" w:eastAsia="Calibri" w:hAnsiTheme="majorHAnsi" w:cstheme="majorHAnsi"/>
        </w:rPr>
        <w:fldChar w:fldCharType="begin"/>
      </w:r>
      <w:r w:rsidR="00870578" w:rsidRPr="00432DC2">
        <w:rPr>
          <w:rFonts w:asciiTheme="majorHAnsi" w:eastAsia="Calibri" w:hAnsiTheme="majorHAnsi" w:cstheme="majorHAnsi"/>
        </w:rPr>
        <w:instrText xml:space="preserve"> XE "</w:instrText>
      </w:r>
      <w:r w:rsidR="00870578" w:rsidRPr="00432DC2">
        <w:rPr>
          <w:rFonts w:asciiTheme="majorHAnsi" w:hAnsiTheme="majorHAnsi" w:cstheme="majorHAnsi"/>
        </w:rPr>
        <w:instrText>Homeowners insurance"</w:instrText>
      </w:r>
      <w:r w:rsidR="00870578" w:rsidRPr="00432DC2">
        <w:rPr>
          <w:rFonts w:asciiTheme="majorHAnsi" w:eastAsia="Calibri" w:hAnsiTheme="majorHAnsi" w:cstheme="majorHAnsi"/>
        </w:rPr>
        <w:instrText xml:space="preserve"> </w:instrText>
      </w:r>
      <w:r w:rsidR="00870578" w:rsidRPr="00432DC2">
        <w:rPr>
          <w:rFonts w:asciiTheme="majorHAnsi" w:eastAsia="Calibri" w:hAnsiTheme="majorHAnsi" w:cstheme="majorHAnsi"/>
        </w:rPr>
        <w:fldChar w:fldCharType="end"/>
      </w:r>
      <w:r w:rsidRPr="00432DC2">
        <w:rPr>
          <w:rFonts w:asciiTheme="majorHAnsi" w:eastAsia="Calibri" w:hAnsiTheme="majorHAnsi" w:cstheme="majorHAnsi"/>
        </w:rPr>
        <w:t xml:space="preserve"> policies. Often, </w:t>
      </w:r>
      <w:r w:rsidR="005A5B0A" w:rsidRPr="00432DC2">
        <w:rPr>
          <w:rFonts w:asciiTheme="majorHAnsi" w:eastAsia="Calibri" w:hAnsiTheme="majorHAnsi" w:cstheme="majorHAnsi"/>
        </w:rPr>
        <w:t>this results in</w:t>
      </w:r>
      <w:r w:rsidRPr="00432DC2">
        <w:rPr>
          <w:rFonts w:asciiTheme="majorHAnsi" w:eastAsia="Calibri" w:hAnsiTheme="majorHAnsi" w:cstheme="majorHAnsi"/>
        </w:rPr>
        <w:t xml:space="preserve"> consumers </w:t>
      </w:r>
      <w:r w:rsidR="005A5B0A" w:rsidRPr="00432DC2">
        <w:rPr>
          <w:rFonts w:asciiTheme="majorHAnsi" w:eastAsia="Calibri" w:hAnsiTheme="majorHAnsi" w:cstheme="majorHAnsi"/>
        </w:rPr>
        <w:t>being unable to</w:t>
      </w:r>
      <w:r w:rsidRPr="00432DC2">
        <w:rPr>
          <w:rFonts w:asciiTheme="majorHAnsi" w:eastAsia="Calibri" w:hAnsiTheme="majorHAnsi" w:cstheme="majorHAnsi"/>
        </w:rPr>
        <w:t xml:space="preserve"> get insurance coverage at an affordable price.</w:t>
      </w:r>
    </w:p>
    <w:p w14:paraId="47ED4A9C" w14:textId="281016A9"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 xml:space="preserve">By considering the full range of market drivers, policy tools, and tradeoffs outlined in this </w:t>
      </w:r>
      <w:r w:rsidR="00AE00F3">
        <w:rPr>
          <w:rFonts w:asciiTheme="majorHAnsi" w:eastAsia="Calibri" w:hAnsiTheme="majorHAnsi" w:cstheme="majorHAnsi"/>
        </w:rPr>
        <w:t>P</w:t>
      </w:r>
      <w:r w:rsidRPr="00B6688A">
        <w:rPr>
          <w:rFonts w:asciiTheme="majorHAnsi" w:eastAsia="Calibri" w:hAnsiTheme="majorHAnsi" w:cstheme="majorHAnsi"/>
        </w:rPr>
        <w:t>laybook,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and sustainable risk-management tool that financially safeguards policyholders and supports homeownership,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 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77777777" w:rsidR="00E35F51" w:rsidRPr="00B6688A" w:rsidRDefault="009726FC" w:rsidP="00E35F51">
      <w:pPr>
        <w:jc w:val="both"/>
        <w:rPr>
          <w:rFonts w:asciiTheme="majorHAnsi" w:eastAsia="Calibri" w:hAnsiTheme="majorHAnsi" w:cstheme="majorHAnsi"/>
        </w:rPr>
      </w:pPr>
      <w:r>
        <w:rPr>
          <w:rFonts w:asciiTheme="majorHAnsi" w:hAnsiTheme="majorHAnsi" w:cstheme="majorHAnsi"/>
        </w:rPr>
        <w:pict w14:anchorId="659102DB">
          <v:rect id="_x0000_i1028" style="width:0;height:1.5pt" o:hralign="center" o:bullet="t" o:hrstd="t" o:hr="t" fillcolor="#a0a0a0" stroked="f"/>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1" w:name="_Toc236057841"/>
      <w:r w:rsidRPr="00B6688A">
        <w:rPr>
          <w:rFonts w:asciiTheme="majorHAnsi" w:hAnsiTheme="majorHAnsi" w:cstheme="majorHAnsi"/>
        </w:rPr>
        <w:lastRenderedPageBreak/>
        <w:t>Part 1: Direct Consumer Impact, Macro Trends, and Factors Increasing Existing Risks</w:t>
      </w:r>
      <w:bookmarkEnd w:id="1"/>
    </w:p>
    <w:p w14:paraId="47ED4AA1" w14:textId="2164EFA0" w:rsidR="00FB1243" w:rsidRPr="00B6688A" w:rsidRDefault="007413BF" w:rsidP="004D2526">
      <w:pPr>
        <w:pStyle w:val="Heading2"/>
        <w:rPr>
          <w:rFonts w:asciiTheme="majorHAnsi" w:hAnsiTheme="majorHAnsi" w:cstheme="majorHAnsi"/>
        </w:rPr>
      </w:pPr>
      <w:bookmarkStart w:id="2" w:name="_32y61mn5aoql" w:colFirst="0" w:colLast="0"/>
      <w:bookmarkStart w:id="3" w:name="_Toc236057842"/>
      <w:bookmarkEnd w:id="2"/>
      <w:r w:rsidRPr="00B6688A">
        <w:rPr>
          <w:rFonts w:asciiTheme="majorHAnsi" w:hAnsiTheme="majorHAnsi" w:cstheme="majorHAnsi"/>
        </w:rPr>
        <w:t>Section A: Overview</w:t>
      </w:r>
      <w:bookmarkEnd w:id="3"/>
    </w:p>
    <w:p w14:paraId="47ED4AA2" w14:textId="19EF287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Part 1 offers a foundational overview of the key issues influencing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across the United States. It focuses on </w:t>
      </w:r>
      <w:r w:rsidR="005B5A92" w:rsidRPr="00B6688A">
        <w:rPr>
          <w:rFonts w:asciiTheme="majorHAnsi" w:eastAsia="Calibri" w:hAnsiTheme="majorHAnsi" w:cstheme="majorHAnsi"/>
        </w:rPr>
        <w:t>broad macroeconomic and environmental factors, such as natural disasters, disposable income, and economic shifts, that drive</w:t>
      </w:r>
      <w:r w:rsidRPr="00B6688A">
        <w:rPr>
          <w:rFonts w:asciiTheme="majorHAnsi" w:eastAsia="Calibri" w:hAnsiTheme="majorHAnsi" w:cstheme="majorHAnsi"/>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Pr>
          <w:rFonts w:asciiTheme="majorHAnsi" w:eastAsia="Calibri" w:hAnsiTheme="majorHAnsi" w:cstheme="majorHAnsi"/>
        </w:rPr>
        <w:t>P</w:t>
      </w:r>
      <w:r w:rsidRPr="00B6688A">
        <w:rPr>
          <w:rFonts w:asciiTheme="majorHAnsi" w:eastAsia="Calibri" w:hAnsiTheme="majorHAnsi" w:cstheme="majorHAnsi"/>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promoting competition among insurers.</w:t>
      </w:r>
    </w:p>
    <w:p w14:paraId="47ED4AA3" w14:textId="14595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For those new to the insurance industry, you can find additional background information on how the insurance industry works using these </w:t>
      </w:r>
      <w:r w:rsidR="00D66D9D">
        <w:rPr>
          <w:rFonts w:asciiTheme="majorHAnsi" w:eastAsia="Calibri" w:hAnsiTheme="majorHAnsi" w:cstheme="majorHAnsi"/>
        </w:rPr>
        <w:t>resources</w:t>
      </w:r>
      <w:r w:rsidRPr="00B6688A">
        <w:rPr>
          <w:rFonts w:asciiTheme="majorHAnsi" w:eastAsia="Calibri" w:hAnsiTheme="majorHAnsi" w:cstheme="majorHAnsi"/>
        </w:rPr>
        <w:t>:</w:t>
      </w:r>
    </w:p>
    <w:p w14:paraId="47ED4AA4" w14:textId="4D8794DA" w:rsidR="00FB1243" w:rsidRPr="00B6688A" w:rsidRDefault="008F2C80">
      <w:pPr>
        <w:jc w:val="both"/>
        <w:rPr>
          <w:rFonts w:asciiTheme="majorHAnsi" w:eastAsia="Calibri" w:hAnsiTheme="majorHAnsi" w:cstheme="majorHAnsi"/>
        </w:rPr>
      </w:pPr>
      <w:hyperlink r:id="rId11"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12"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4" w:name="_Toc236057843"/>
      <w:r w:rsidRPr="00B6688A">
        <w:rPr>
          <w:rFonts w:asciiTheme="majorHAnsi" w:hAnsiTheme="majorHAnsi" w:cstheme="majorHAnsi"/>
        </w:rPr>
        <w:t>Section B: Macro-Factors and Emerging Risks Impacting Availability and Affordability</w:t>
      </w:r>
      <w:bookmarkEnd w:id="4"/>
    </w:p>
    <w:p w14:paraId="47ED4AA8" w14:textId="77777777" w:rsidR="00FB1243" w:rsidRPr="00B6688A" w:rsidRDefault="007413BF">
      <w:pPr>
        <w:pStyle w:val="Heading3"/>
        <w:rPr>
          <w:rFonts w:asciiTheme="majorHAnsi" w:hAnsiTheme="majorHAnsi" w:cstheme="majorHAnsi"/>
        </w:rPr>
      </w:pPr>
      <w:bookmarkStart w:id="5" w:name="_t5zto7z0k1a9" w:colFirst="0" w:colLast="0"/>
      <w:bookmarkStart w:id="6" w:name="_Toc236057844"/>
      <w:bookmarkEnd w:id="5"/>
      <w:r w:rsidRPr="00B6688A">
        <w:rPr>
          <w:rFonts w:asciiTheme="majorHAnsi" w:hAnsiTheme="majorHAnsi" w:cstheme="majorHAnsi"/>
        </w:rPr>
        <w:t>How Insurance Market Regulatory Structure Shapes Insurance Solutions</w:t>
      </w:r>
      <w:bookmarkEnd w:id="6"/>
    </w:p>
    <w:p w14:paraId="47ED4AA9" w14:textId="3A2DA8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oversee insurance companies, including their financial stability and risk-based rate-setting, while ensuring consumers have access to affordable coverage. States adopt different methods for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(such as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versus file-and-use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file-and-use"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review timelines, and other considerations. As risk models continue to advance, insurance regulators are increasingly focused on proactive strategies to predict and manage emerging risks. As </w:t>
      </w:r>
      <w:r w:rsidR="00BD125C">
        <w:rPr>
          <w:rFonts w:asciiTheme="majorHAnsi" w:eastAsia="Calibri" w:hAnsiTheme="majorHAnsi" w:cstheme="majorHAnsi"/>
        </w:rPr>
        <w:t xml:space="preserve">will be </w:t>
      </w:r>
      <w:r w:rsidRPr="00B6688A">
        <w:rPr>
          <w:rFonts w:asciiTheme="majorHAnsi" w:eastAsia="Calibri" w:hAnsiTheme="majorHAnsi" w:cstheme="majorHAnsi"/>
        </w:rPr>
        <w:t xml:space="preserve">discussed in </w:t>
      </w:r>
      <w:r w:rsidR="00822608">
        <w:rPr>
          <w:rFonts w:asciiTheme="majorHAnsi" w:eastAsia="Calibri" w:hAnsiTheme="majorHAnsi" w:cstheme="majorHAnsi"/>
        </w:rPr>
        <w:t>p</w:t>
      </w:r>
      <w:r w:rsidRPr="00B6688A">
        <w:rPr>
          <w:rFonts w:asciiTheme="majorHAnsi" w:eastAsia="Calibri" w:hAnsiTheme="majorHAnsi" w:cstheme="majorHAnsi"/>
        </w:rPr>
        <w:t>arts 3</w:t>
      </w:r>
      <w:r w:rsidR="00D3540B">
        <w:rPr>
          <w:rFonts w:asciiTheme="majorHAnsi" w:eastAsia="Calibri" w:hAnsiTheme="majorHAnsi" w:cstheme="majorHAnsi"/>
        </w:rPr>
        <w:t xml:space="preserve"> and </w:t>
      </w:r>
      <w:r w:rsidRPr="00B6688A">
        <w:rPr>
          <w:rFonts w:asciiTheme="majorHAnsi" w:eastAsia="Calibri" w:hAnsiTheme="majorHAnsi" w:cstheme="majorHAnsi"/>
        </w:rPr>
        <w:t xml:space="preserve">4 of this </w:t>
      </w:r>
      <w:r w:rsidR="00AE00F3">
        <w:rPr>
          <w:rFonts w:asciiTheme="majorHAnsi" w:eastAsia="Calibri" w:hAnsiTheme="majorHAnsi" w:cstheme="majorHAnsi"/>
        </w:rPr>
        <w:t>P</w:t>
      </w:r>
      <w:r w:rsidRPr="00B6688A">
        <w:rPr>
          <w:rFonts w:asciiTheme="majorHAnsi" w:eastAsia="Calibri" w:hAnsiTheme="majorHAnsi" w:cstheme="majorHAnsi"/>
        </w:rPr>
        <w:t>laybook, state regulators have used their authority to improve the affordability and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7" w:name="_c64tz8uwumo9" w:colFirst="0" w:colLast="0"/>
      <w:bookmarkStart w:id="8" w:name="_Toc236057845"/>
      <w:bookmarkEnd w:id="7"/>
      <w:r w:rsidRPr="00B6688A">
        <w:rPr>
          <w:rFonts w:asciiTheme="majorHAnsi" w:hAnsiTheme="majorHAnsi" w:cstheme="majorHAnsi"/>
        </w:rPr>
        <w:t>Reinsurance</w:t>
      </w:r>
      <w:bookmarkEnd w:id="8"/>
    </w:p>
    <w:p w14:paraId="47ED4AAB" w14:textId="4B0C0A7F" w:rsidR="00FB1243" w:rsidRPr="00B6688A"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 xml:space="preserve">Reinsurance is primarily a risk-transfer tool that helps an insurance company manage and protect its capital, which is essential to solvency and growth in the primary market. As a result, reinsurers help cover catastrophic losses, absorb shocks </w:t>
      </w:r>
      <w:r w:rsidR="004C5BBF" w:rsidRPr="00B6688A">
        <w:rPr>
          <w:rFonts w:asciiTheme="majorHAnsi" w:eastAsia="Calibri" w:hAnsiTheme="majorHAnsi" w:cstheme="majorHAnsi"/>
        </w:rPr>
        <w:t xml:space="preserve">to the system, and support the stability and </w:t>
      </w:r>
      <w:r w:rsidR="004C5BBF" w:rsidRPr="00B6688A">
        <w:rPr>
          <w:rFonts w:asciiTheme="majorHAnsi" w:eastAsia="Calibri" w:hAnsiTheme="majorHAnsi" w:cstheme="majorHAnsi"/>
        </w:rPr>
        <w:lastRenderedPageBreak/>
        <w:t xml:space="preserve">capacity of the insurance market, </w:t>
      </w:r>
      <w:r w:rsidR="006B3EC2" w:rsidRPr="00B6688A">
        <w:rPr>
          <w:rFonts w:asciiTheme="majorHAnsi" w:eastAsia="Calibri" w:hAnsiTheme="majorHAnsi" w:cstheme="majorHAnsi"/>
        </w:rPr>
        <w:t>thereby affecting</w:t>
      </w:r>
      <w:r w:rsidRPr="00B6688A">
        <w:rPr>
          <w:rFonts w:asciiTheme="majorHAnsi" w:eastAsia="Calibri" w:hAnsiTheme="majorHAnsi" w:cstheme="majorHAnsi"/>
        </w:rPr>
        <w:t xml:space="preserve"> </w:t>
      </w:r>
      <w:r w:rsidR="005B5A92" w:rsidRPr="00B6688A">
        <w:rPr>
          <w:rFonts w:asciiTheme="majorHAnsi" w:eastAsia="Calibri" w:hAnsiTheme="majorHAnsi" w:cstheme="majorHAnsi"/>
        </w:rPr>
        <w:t xml:space="preserve">the availability and affordability of insurance </w:t>
      </w:r>
      <w:r w:rsidRPr="00B6688A">
        <w:rPr>
          <w:rFonts w:asciiTheme="majorHAnsi" w:eastAsia="Calibri" w:hAnsiTheme="majorHAnsi" w:cstheme="majorHAnsi"/>
        </w:rPr>
        <w:t xml:space="preserve">for consumers. Reinsurers share in insurers' risks. As such, reinsurers </w:t>
      </w:r>
      <w:r w:rsidR="00BD125C">
        <w:rPr>
          <w:rFonts w:asciiTheme="majorHAnsi" w:eastAsia="Calibri" w:hAnsiTheme="majorHAnsi" w:cstheme="majorHAnsi"/>
        </w:rPr>
        <w:t>enable</w:t>
      </w:r>
      <w:r w:rsidRPr="00B6688A">
        <w:rPr>
          <w:rFonts w:asciiTheme="majorHAnsi" w:eastAsia="Calibri" w:hAnsiTheme="majorHAnsi" w:cstheme="majorHAnsi"/>
        </w:rPr>
        <w:t xml:space="preserve"> insurers to take on more </w:t>
      </w:r>
      <w:r w:rsidR="006B3EC2" w:rsidRPr="00B6688A">
        <w:rPr>
          <w:rFonts w:asciiTheme="majorHAnsi" w:eastAsia="Calibri" w:hAnsiTheme="majorHAnsi" w:cstheme="majorHAnsi"/>
        </w:rPr>
        <w:t>risk</w:t>
      </w:r>
      <w:r w:rsidRPr="00B6688A">
        <w:rPr>
          <w:rFonts w:asciiTheme="majorHAnsi" w:eastAsia="Calibri" w:hAnsiTheme="majorHAnsi" w:cstheme="majorHAnsi"/>
        </w:rPr>
        <w:t xml:space="preserve"> and provide insurance across broader product lines and geographic regions, including </w:t>
      </w:r>
      <w:r w:rsidR="006B3EC2" w:rsidRPr="00B6688A">
        <w:rPr>
          <w:rFonts w:asciiTheme="majorHAnsi" w:eastAsia="Calibri" w:hAnsiTheme="majorHAnsi" w:cstheme="majorHAnsi"/>
        </w:rPr>
        <w:t>high-risk</w:t>
      </w:r>
      <w:r w:rsidRPr="00B6688A">
        <w:rPr>
          <w:rFonts w:asciiTheme="majorHAnsi" w:eastAsia="Calibri" w:hAnsiTheme="majorHAnsi" w:cstheme="majorHAnsi"/>
        </w:rPr>
        <w:t xml:space="preserve"> regions. Reinsurance layers are often complemented by alternative capital or insurance-linked securities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Insurance-linked securities"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(i.e.</w:t>
      </w:r>
      <w:r w:rsidR="006B3EC2" w:rsidRPr="00B6688A">
        <w:rPr>
          <w:rFonts w:asciiTheme="majorHAnsi" w:eastAsia="Calibri" w:hAnsiTheme="majorHAnsi" w:cstheme="majorHAnsi"/>
        </w:rPr>
        <w:t>,</w:t>
      </w:r>
      <w:r w:rsidRPr="00B6688A">
        <w:rPr>
          <w:rFonts w:asciiTheme="majorHAnsi" w:eastAsia="Calibri" w:hAnsiTheme="majorHAnsi" w:cstheme="majorHAnsi"/>
        </w:rPr>
        <w:t xml:space="preserve"> catastrophe bonds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bonds"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in limited circumstances, government-backed risk pools and markets of last resort. Such backstops are complementary tools for targeted markets and not full substitutes for private market capacity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or robust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xml:space="preserve"> investments.</w:t>
      </w:r>
      <w:r w:rsidRPr="00B6688A">
        <w:rPr>
          <w:rFonts w:asciiTheme="majorHAnsi" w:eastAsia="Calibri" w:hAnsiTheme="majorHAnsi" w:cstheme="majorHAnsi"/>
        </w:rPr>
        <w:t xml:space="preserve"> </w:t>
      </w:r>
    </w:p>
    <w:p w14:paraId="47ED4AAC" w14:textId="79F11DBC" w:rsidR="00FB1243" w:rsidRPr="00B6688A" w:rsidRDefault="00301872">
      <w:pPr>
        <w:jc w:val="both"/>
        <w:rPr>
          <w:rFonts w:asciiTheme="majorHAnsi" w:eastAsia="Calibri" w:hAnsiTheme="majorHAnsi" w:cstheme="majorHAnsi"/>
          <w:highlight w:val="white"/>
          <w:lang w:val="en-US"/>
        </w:rPr>
      </w:pPr>
      <w:r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working paper, Benjamin J. Keys and Philip Mulder identify the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rates as the main 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reinsurance costs doubled between 2018 and 2023</w:t>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2"/>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Pr="00B6688A">
        <w:rPr>
          <w:rFonts w:asciiTheme="majorHAnsi" w:eastAsia="Calibri" w:hAnsiTheme="majorHAnsi" w:cstheme="majorHAnsi"/>
        </w:rPr>
        <w:t xml:space="preserve"> them to reprice or reduce their offerings.</w:t>
      </w:r>
      <w:r w:rsidRPr="00B6688A">
        <w:rPr>
          <w:rFonts w:asciiTheme="majorHAnsi" w:eastAsia="Calibri" w:hAnsiTheme="majorHAnsi" w:cstheme="majorHAnsi"/>
          <w:vertAlign w:val="superscript"/>
        </w:rPr>
        <w:footnoteReference w:id="3"/>
      </w:r>
      <w:r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Pr="00B6688A">
        <w:rPr>
          <w:rFonts w:asciiTheme="majorHAnsi" w:eastAsia="Calibri" w:hAnsiTheme="majorHAnsi" w:cstheme="majorHAnsi"/>
          <w:vertAlign w:val="superscript"/>
        </w:rPr>
        <w:footnoteReference w:id="4"/>
      </w:r>
    </w:p>
    <w:p w14:paraId="47ED4AAD" w14:textId="60AC78DE" w:rsidR="00FB1243" w:rsidRPr="00B6688A" w:rsidRDefault="007413BF">
      <w:pPr>
        <w:jc w:val="both"/>
        <w:rPr>
          <w:rFonts w:asciiTheme="majorHAnsi" w:eastAsia="Calibri" w:hAnsiTheme="majorHAnsi" w:cstheme="majorHAnsi"/>
          <w:vertAlign w:val="superscript"/>
        </w:rPr>
      </w:pPr>
      <w:r w:rsidRPr="00B6688A">
        <w:rPr>
          <w:rFonts w:asciiTheme="majorHAnsi" w:eastAsia="Calibri" w:hAnsiTheme="majorHAnsi" w:cstheme="majorHAnsi"/>
        </w:rPr>
        <w:t>In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has shown signs of </w:t>
      </w:r>
      <w:r w:rsidRPr="00702B45">
        <w:rPr>
          <w:rFonts w:asciiTheme="majorHAnsi" w:eastAsia="Calibri" w:hAnsiTheme="majorHAnsi" w:cstheme="majorHAnsi"/>
        </w:rPr>
        <w:t>greater stability. According to</w:t>
      </w:r>
      <w:r w:rsidR="003313A6" w:rsidRPr="00702B45">
        <w:rPr>
          <w:rFonts w:asciiTheme="majorHAnsi" w:eastAsia="Calibri" w:hAnsiTheme="majorHAnsi" w:cstheme="majorHAnsi"/>
        </w:rPr>
        <w:t xml:space="preserve"> Aon's </w:t>
      </w:r>
      <w:r w:rsidR="00BB7DE5" w:rsidRPr="00702B45">
        <w:rPr>
          <w:rFonts w:asciiTheme="majorHAnsi" w:eastAsia="Calibri" w:hAnsiTheme="majorHAnsi" w:cstheme="majorHAnsi"/>
        </w:rPr>
        <w:t xml:space="preserve">2025 </w:t>
      </w:r>
      <w:r w:rsidR="003313A6" w:rsidRPr="00702B45">
        <w:rPr>
          <w:rFonts w:asciiTheme="majorHAnsi" w:eastAsia="Calibri" w:hAnsiTheme="majorHAnsi" w:cstheme="majorHAnsi"/>
        </w:rPr>
        <w:t>Reinsurance Market Dynamics report</w:t>
      </w:r>
      <w:r w:rsidRPr="00702B45">
        <w:rPr>
          <w:rFonts w:asciiTheme="majorHAnsi" w:eastAsia="Calibri" w:hAnsiTheme="majorHAnsi" w:cstheme="majorHAnsi"/>
        </w:rPr>
        <w:t>, “while pricing continued</w:t>
      </w:r>
      <w:r w:rsidRPr="00B6688A">
        <w:rPr>
          <w:rFonts w:asciiTheme="majorHAnsi" w:eastAsia="Calibri" w:hAnsiTheme="majorHAnsi" w:cstheme="majorHAnsi"/>
        </w:rPr>
        <w:t xml:space="preserve"> to moderate overall, there was significant variation in renewal outcomes as reinsurers differentiated by loss experience and performance.”</w:t>
      </w:r>
      <w:r w:rsidR="002F7F55" w:rsidRPr="00B6688A">
        <w:rPr>
          <w:rStyle w:val="FootnoteReference"/>
          <w:rFonts w:asciiTheme="majorHAnsi" w:eastAsia="Calibri" w:hAnsiTheme="majorHAnsi" w:cstheme="majorHAnsi"/>
        </w:rPr>
        <w:footnoteReference w:id="5"/>
      </w:r>
      <w:r w:rsidRPr="00B6688A">
        <w:rPr>
          <w:rFonts w:asciiTheme="majorHAnsi" w:eastAsia="Calibri" w:hAnsiTheme="majorHAnsi" w:cstheme="majorHAnsi"/>
        </w:rPr>
        <w:t xml:space="preserve"> Additionally, Moody's indicated that overall “pricing for property reinsurance is declining as the supply/demand balance shifts toward reinsurance buyers.”</w:t>
      </w:r>
      <w:r w:rsidR="00E224D3" w:rsidRPr="00B6688A">
        <w:rPr>
          <w:rStyle w:val="FootnoteReference"/>
          <w:rFonts w:asciiTheme="majorHAnsi" w:eastAsia="Calibri" w:hAnsiTheme="majorHAnsi" w:cstheme="majorHAnsi"/>
        </w:rPr>
        <w:footnoteReference w:id="6"/>
      </w:r>
    </w:p>
    <w:p w14:paraId="47ED4AAE" w14:textId="77777777" w:rsidR="00FB1243" w:rsidRPr="00B6688A" w:rsidRDefault="007413BF">
      <w:pPr>
        <w:pStyle w:val="Heading3"/>
        <w:rPr>
          <w:rFonts w:asciiTheme="majorHAnsi" w:hAnsiTheme="majorHAnsi" w:cstheme="majorHAnsi"/>
        </w:rPr>
      </w:pPr>
      <w:bookmarkStart w:id="9" w:name="_nqslzqozvp6e" w:colFirst="0" w:colLast="0"/>
      <w:bookmarkStart w:id="10" w:name="_Toc236057846"/>
      <w:bookmarkEnd w:id="9"/>
      <w:r w:rsidRPr="00B6688A">
        <w:rPr>
          <w:rFonts w:asciiTheme="majorHAnsi" w:hAnsiTheme="majorHAnsi" w:cstheme="majorHAnsi"/>
        </w:rPr>
        <w:lastRenderedPageBreak/>
        <w:t>Natural Catastrophes and Their Impact on Affordability and Availability</w:t>
      </w:r>
      <w:bookmarkEnd w:id="10"/>
    </w:p>
    <w:p w14:paraId="47ED4AAF" w14:textId="10C14C35" w:rsidR="00FB1243" w:rsidRPr="00B6688A" w:rsidRDefault="007413BF">
      <w:pPr>
        <w:jc w:val="both"/>
        <w:rPr>
          <w:rFonts w:asciiTheme="majorHAnsi" w:eastAsia="Calibri" w:hAnsiTheme="majorHAnsi" w:cstheme="majorHAnsi"/>
          <w:color w:val="363636"/>
          <w:highlight w:val="white"/>
        </w:rPr>
      </w:pPr>
      <w:r w:rsidRPr="00B6688A">
        <w:rPr>
          <w:rFonts w:asciiTheme="majorHAnsi" w:eastAsia="Calibri" w:hAnsiTheme="majorHAnsi" w:cstheme="majorHAnsi"/>
        </w:rPr>
        <w:t>A significant factor contributing to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is increasingly frequent and severe weather events.</w:t>
      </w:r>
      <w:r w:rsidRPr="00B6688A">
        <w:rPr>
          <w:rFonts w:asciiTheme="majorHAnsi" w:eastAsia="Calibri" w:hAnsiTheme="majorHAnsi" w:cstheme="majorHAnsi"/>
          <w:vertAlign w:val="superscript"/>
        </w:rPr>
        <w:footnoteReference w:id="7"/>
      </w:r>
      <w:r w:rsidRPr="00B6688A">
        <w:rPr>
          <w:rFonts w:asciiTheme="majorHAnsi" w:eastAsia="Calibri" w:hAnsiTheme="majorHAnsi" w:cstheme="majorHAnsi"/>
          <w:highlight w:val="white"/>
        </w:rPr>
        <w:t xml:space="preserve"> According to the National Oceanic and Atmospheric </w:t>
      </w:r>
      <w:r w:rsidR="00AE29CD" w:rsidRPr="00B6688A">
        <w:rPr>
          <w:rFonts w:asciiTheme="majorHAnsi" w:eastAsia="Calibri" w:hAnsiTheme="majorHAnsi" w:cstheme="majorHAnsi"/>
          <w:highlight w:val="white"/>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00B6688A">
        <w:rPr>
          <w:rFonts w:asciiTheme="majorHAnsi" w:eastAsia="Calibri" w:hAnsiTheme="majorHAnsi" w:cstheme="majorHAnsi"/>
          <w:highlight w:val="white"/>
        </w:rPr>
        <w:t>), 2024 saw 27 weather and climate disasters that caused at least $1 billion in damage</w:t>
      </w:r>
      <w:r w:rsidRPr="00B6688A">
        <w:rPr>
          <w:rFonts w:asciiTheme="majorHAnsi" w:eastAsia="Calibri" w:hAnsiTheme="majorHAnsi" w:cstheme="majorHAnsi"/>
          <w:highlight w:val="white"/>
        </w:rPr>
        <w:t>. 2023 was the only year to outpace this amount with 28 events</w:t>
      </w:r>
      <w:r w:rsidRPr="00B6688A">
        <w:rPr>
          <w:rFonts w:asciiTheme="majorHAnsi" w:eastAsia="Calibri" w:hAnsiTheme="majorHAnsi" w:cstheme="majorHAnsi"/>
          <w:color w:val="363636"/>
          <w:highlight w:val="white"/>
        </w:rPr>
        <w:t>.</w:t>
      </w:r>
      <w:r w:rsidRPr="00B6688A">
        <w:rPr>
          <w:rFonts w:asciiTheme="majorHAnsi" w:eastAsia="Calibri" w:hAnsiTheme="majorHAnsi" w:cstheme="majorHAnsi"/>
          <w:color w:val="363636"/>
          <w:highlight w:val="white"/>
          <w:vertAlign w:val="superscript"/>
        </w:rPr>
        <w:footnoteReference w:id="8"/>
      </w:r>
      <w:r w:rsidRPr="00B6688A">
        <w:rPr>
          <w:rFonts w:asciiTheme="majorHAnsi" w:eastAsia="Calibri" w:hAnsiTheme="majorHAnsi" w:cstheme="majorHAnsi"/>
          <w:color w:val="363636"/>
          <w:highlight w:val="white"/>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3"/>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highlight w:val="white"/>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rPr>
        <w:t xml:space="preserve"> Rising sea levels amplify coastal flooding and storm surges.</w:t>
      </w:r>
      <w:r w:rsidRPr="00B6688A">
        <w:rPr>
          <w:rFonts w:asciiTheme="majorHAnsi" w:eastAsia="Calibri" w:hAnsiTheme="majorHAnsi" w:cstheme="majorHAnsi"/>
          <w:vertAlign w:val="superscript"/>
        </w:rPr>
        <w:footnoteReference w:id="9"/>
      </w:r>
    </w:p>
    <w:p w14:paraId="47ED4AB2" w14:textId="6596084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Homeowners rely on their property insurance to help them recover from damage caused by such disasters. However, the increase in </w:t>
      </w:r>
      <w:r w:rsidR="004F05E4" w:rsidRPr="00B6688A">
        <w:rPr>
          <w:rFonts w:asciiTheme="majorHAnsi" w:eastAsia="Calibri" w:hAnsiTheme="majorHAnsi" w:cstheme="majorHAnsi"/>
        </w:rPr>
        <w:t>the frequency and severity of climate-related disasters, combined with other cost drivers, has prompted</w:t>
      </w:r>
      <w:r w:rsidRPr="00B6688A">
        <w:rPr>
          <w:rFonts w:asciiTheme="majorHAnsi" w:eastAsia="Calibri" w:hAnsiTheme="majorHAnsi" w:cstheme="majorHAnsi"/>
        </w:rPr>
        <w:t xml:space="preserve"> insurers to reassess their portfolios and take steps to manage their risk exposure. Insurers manage their risk by raising consumers’ premiums, </w:t>
      </w:r>
      <w:r w:rsidRPr="00B6688A">
        <w:rPr>
          <w:rFonts w:asciiTheme="majorHAnsi" w:eastAsia="Calibri" w:hAnsiTheme="majorHAnsi" w:cstheme="majorHAnsi"/>
        </w:rPr>
        <w:lastRenderedPageBreak/>
        <w:t>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reducing </w:t>
      </w:r>
      <w:r w:rsidR="002B56F1" w:rsidRPr="00B6688A">
        <w:rPr>
          <w:rFonts w:asciiTheme="majorHAnsi" w:eastAsia="Calibri" w:hAnsiTheme="majorHAnsi" w:cstheme="majorHAnsi"/>
        </w:rPr>
        <w:t>new business</w:t>
      </w:r>
      <w:r w:rsidRPr="00B6688A">
        <w:rPr>
          <w:rFonts w:asciiTheme="majorHAnsi" w:eastAsia="Calibri" w:hAnsiTheme="majorHAnsi" w:cstheme="majorHAnsi"/>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some combination of these strategies. According to the Consumer Federation of America</w:t>
      </w:r>
      <w:r w:rsidR="003B1B8F">
        <w:rPr>
          <w:rFonts w:asciiTheme="majorHAnsi" w:eastAsia="Calibri" w:hAnsiTheme="majorHAnsi" w:cstheme="majorHAnsi"/>
        </w:rPr>
        <w:t xml:space="preserve"> (CFA)</w:t>
      </w:r>
      <w:r w:rsidRPr="00B6688A">
        <w:rPr>
          <w:rFonts w:asciiTheme="majorHAnsi" w:eastAsia="Calibri" w:hAnsiTheme="majorHAnsi" w:cstheme="majorHAnsi"/>
        </w:rPr>
        <w:t xml:space="preserve">, homeowners </w:t>
      </w:r>
      <w:r w:rsidR="002836B7">
        <w:rPr>
          <w:rFonts w:asciiTheme="majorHAnsi" w:eastAsia="Calibri" w:hAnsiTheme="majorHAnsi" w:cstheme="majorHAnsi"/>
        </w:rPr>
        <w:t xml:space="preserve">insurance </w:t>
      </w:r>
      <w:r w:rsidRPr="00B6688A">
        <w:rPr>
          <w:rFonts w:asciiTheme="majorHAnsi" w:eastAsia="Calibri" w:hAnsiTheme="majorHAnsi" w:cstheme="majorHAnsi"/>
        </w:rPr>
        <w:t>premiums increased 24% between 2021 and 2024.</w:t>
      </w:r>
      <w:r w:rsidRPr="00B6688A">
        <w:rPr>
          <w:rFonts w:asciiTheme="majorHAnsi" w:eastAsia="Calibri" w:hAnsiTheme="majorHAnsi" w:cstheme="majorHAnsi"/>
          <w:vertAlign w:val="superscript"/>
        </w:rPr>
        <w:footnoteReference w:id="10"/>
      </w:r>
      <w:r w:rsidRPr="00B6688A">
        <w:rPr>
          <w:rFonts w:asciiTheme="majorHAnsi" w:eastAsia="Calibri" w:hAnsiTheme="majorHAnsi" w:cstheme="majorHAnsi"/>
        </w:rPr>
        <w:t xml:space="preserve"> At the same time, consumers may </w:t>
      </w:r>
      <w:r w:rsidR="00F90B39" w:rsidRPr="00B6688A">
        <w:rPr>
          <w:rFonts w:asciiTheme="majorHAnsi" w:eastAsia="Calibri" w:hAnsiTheme="majorHAnsi" w:cstheme="majorHAnsi"/>
        </w:rPr>
        <w:t>hesitate to file claims due to the risk</w:t>
      </w:r>
      <w:r w:rsidRPr="00B6688A">
        <w:rPr>
          <w:rFonts w:asciiTheme="majorHAnsi" w:eastAsia="Calibri" w:hAnsiTheme="majorHAnsi" w:cstheme="majorHAnsi"/>
        </w:rPr>
        <w:t xml:space="preserve"> of nonrenewal.</w:t>
      </w:r>
      <w:r w:rsidRPr="00B6688A">
        <w:rPr>
          <w:rFonts w:asciiTheme="majorHAnsi" w:eastAsia="Calibri" w:hAnsiTheme="majorHAnsi" w:cstheme="majorHAnsi"/>
          <w:vertAlign w:val="superscript"/>
        </w:rPr>
        <w:footnoteReference w:id="11"/>
      </w:r>
      <w:r w:rsidRPr="00B6688A">
        <w:rPr>
          <w:rFonts w:asciiTheme="majorHAnsi" w:eastAsia="Calibri" w:hAnsiTheme="majorHAnsi" w:cstheme="majorHAnsi"/>
        </w:rPr>
        <w:t xml:space="preserve"> </w:t>
      </w:r>
    </w:p>
    <w:p w14:paraId="47ED4AB3" w14:textId="47C9B7C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Deloitte concluded in its 2026 Global Insurance Outlook that weather events are making it more expensive for insurers to buy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that unrelenting, high-intensity, climate-fueled events are costing insurers billions of dollars.</w:t>
      </w:r>
      <w:r w:rsidRPr="00B6688A">
        <w:rPr>
          <w:rFonts w:asciiTheme="majorHAnsi" w:eastAsia="Calibri" w:hAnsiTheme="majorHAnsi" w:cstheme="majorHAnsi"/>
          <w:vertAlign w:val="superscript"/>
        </w:rPr>
        <w:footnoteReference w:id="12"/>
      </w:r>
      <w:r w:rsidRPr="00B6688A">
        <w:rPr>
          <w:rFonts w:asciiTheme="majorHAnsi" w:eastAsia="Calibri" w:hAnsiTheme="majorHAnsi" w:cstheme="majorHAnsi"/>
        </w:rPr>
        <w:t xml:space="preserve"> </w:t>
      </w:r>
    </w:p>
    <w:p w14:paraId="47ED4AB4" w14:textId="77777777" w:rsidR="00FB1243" w:rsidRPr="00B6688A" w:rsidRDefault="007413BF">
      <w:pPr>
        <w:pStyle w:val="Heading4"/>
        <w:rPr>
          <w:rFonts w:asciiTheme="majorHAnsi" w:hAnsiTheme="majorHAnsi" w:cstheme="majorHAnsi"/>
        </w:rPr>
      </w:pPr>
      <w:bookmarkStart w:id="11" w:name="_6w3rb311uo8r" w:colFirst="0" w:colLast="0"/>
      <w:bookmarkEnd w:id="11"/>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
      </w:r>
      <w:r w:rsidRPr="00B6688A">
        <w:rPr>
          <w:rFonts w:asciiTheme="majorHAnsi" w:eastAsia="Calibri" w:hAnsiTheme="majorHAnsi" w:cstheme="majorHAnsi"/>
        </w:rPr>
        <w:t xml:space="preserve"> For example, in 1990, about 13% of new homes were built in places at high risk of fire. By 2020, that number had more than doubled to 31%.</w:t>
      </w:r>
      <w:r w:rsidRPr="00B6688A">
        <w:rPr>
          <w:rFonts w:asciiTheme="majorHAnsi" w:eastAsia="Calibri" w:hAnsiTheme="majorHAnsi" w:cstheme="majorHAnsi"/>
          <w:vertAlign w:val="superscript"/>
        </w:rPr>
        <w:footnoteReference w:id="14"/>
      </w:r>
      <w:r w:rsidRPr="00B6688A">
        <w:rPr>
          <w:rFonts w:asciiTheme="majorHAnsi" w:eastAsia="Calibri" w:hAnsiTheme="majorHAnsi" w:cstheme="majorHAnsi"/>
        </w:rPr>
        <w:t xml:space="preserve"> This pattern is reflected in the growing number of homes located within wildfire perimeters across the contiguous United States. Both housing growth and expanding burned area have contributed to this increase, with nearly half of the additional homes built after 1990 within the 2010s fire perimeters.</w:t>
      </w:r>
      <w:r w:rsidRPr="00B6688A">
        <w:rPr>
          <w:rFonts w:asciiTheme="majorHAnsi" w:eastAsia="Calibri" w:hAnsiTheme="majorHAnsi" w:cstheme="majorHAnsi"/>
          <w:vertAlign w:val="superscript"/>
        </w:rPr>
        <w:footnoteReference w:id="15"/>
      </w:r>
      <w:r w:rsidRPr="00B6688A">
        <w:rPr>
          <w:rFonts w:asciiTheme="majorHAnsi" w:eastAsia="Calibri" w:hAnsiTheme="majorHAnsi" w:cstheme="majorHAnsi"/>
        </w:rPr>
        <w:t xml:space="preserve"> Development in high-risk areas concentrates risk for insurers and has negatively impacted insurance availability and affordability.</w:t>
      </w:r>
      <w:r w:rsidRPr="00B6688A">
        <w:rPr>
          <w:rFonts w:asciiTheme="majorHAnsi" w:eastAsia="Calibri" w:hAnsiTheme="majorHAnsi" w:cstheme="majorHAnsi"/>
          <w:vertAlign w:val="superscript"/>
        </w:rPr>
        <w:footnoteReference w:id="16"/>
      </w:r>
    </w:p>
    <w:p w14:paraId="47ED4AB6" w14:textId="77777777" w:rsidR="00FB1243" w:rsidRPr="00B6688A" w:rsidRDefault="007413BF">
      <w:pPr>
        <w:pStyle w:val="Heading3"/>
        <w:rPr>
          <w:rFonts w:asciiTheme="majorHAnsi" w:hAnsiTheme="majorHAnsi" w:cstheme="majorHAnsi"/>
        </w:rPr>
      </w:pPr>
      <w:bookmarkStart w:id="12" w:name="_9jxhg1yoxspp" w:colFirst="0" w:colLast="0"/>
      <w:bookmarkStart w:id="13" w:name="_Toc236057847"/>
      <w:bookmarkEnd w:id="12"/>
      <w:r w:rsidRPr="00B6688A">
        <w:rPr>
          <w:rFonts w:asciiTheme="majorHAnsi" w:hAnsiTheme="majorHAnsi" w:cstheme="majorHAnsi"/>
        </w:rPr>
        <w:lastRenderedPageBreak/>
        <w:t>Data Transparency and Its Impact on Availability and Affordability</w:t>
      </w:r>
      <w:bookmarkEnd w:id="13"/>
    </w:p>
    <w:p w14:paraId="47ED4AB7" w14:textId="77777777" w:rsidR="00FB1243" w:rsidRPr="00B6688A" w:rsidRDefault="007413BF">
      <w:pPr>
        <w:pStyle w:val="Heading4"/>
        <w:rPr>
          <w:rFonts w:asciiTheme="majorHAnsi" w:hAnsiTheme="majorHAnsi" w:cstheme="majorHAnsi"/>
        </w:rPr>
      </w:pPr>
      <w:bookmarkStart w:id="14" w:name="_v2h21szuty6" w:colFirst="0" w:colLast="0"/>
      <w:bookmarkEnd w:id="14"/>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measure based on distance to fire stations and water sources. It was transparent, consistent, and relatively straightforward for regulators to review. </w:t>
      </w:r>
    </w:p>
    <w:p w14:paraId="47ED4AB9" w14:textId="16D20A14" w:rsidR="00FB1243" w:rsidRPr="00B6688A" w:rsidRDefault="007413BF">
      <w:pPr>
        <w:spacing w:before="240" w:after="240"/>
        <w:jc w:val="both"/>
        <w:rPr>
          <w:rFonts w:asciiTheme="majorHAnsi" w:eastAsia="Calibri" w:hAnsiTheme="majorHAnsi" w:cstheme="majorHAnsi"/>
          <w:color w:val="FF0000"/>
        </w:rPr>
      </w:pPr>
      <w:r w:rsidRPr="00B6688A">
        <w:rPr>
          <w:rFonts w:asciiTheme="majorHAnsi" w:eastAsia="Calibri" w:hAnsiTheme="majorHAnsi" w:cstheme="majorHAnsi"/>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transformed the rating landscape, introducing more forward-looking approaches to risk assessment. Third-party vendors offer sophisticated models that account for vegetation 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patterns</w:t>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and other property-specific characteristics. Unlike the ISO scores, these models are generally proprietary. Insurers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aerial photography to assess the combustibility of individual properties. The 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protection classes are defined, </w:t>
      </w:r>
      <w:r w:rsidR="008B3C53">
        <w:rPr>
          <w:rFonts w:asciiTheme="majorHAnsi" w:eastAsia="Calibri" w:hAnsiTheme="majorHAnsi" w:cstheme="majorHAnsi"/>
        </w:rPr>
        <w:t>resulting in</w:t>
      </w:r>
      <w:r w:rsidRPr="00B6688A">
        <w:rPr>
          <w:rFonts w:asciiTheme="majorHAnsi" w:eastAsia="Calibri" w:hAnsiTheme="majorHAnsi" w:cstheme="majorHAnsi"/>
        </w:rPr>
        <w:t xml:space="preserve"> differences in risk classifications.</w:t>
      </w:r>
      <w:r w:rsidRPr="00B6688A">
        <w:rPr>
          <w:rFonts w:asciiTheme="majorHAnsi" w:eastAsia="Calibri" w:hAnsiTheme="majorHAnsi" w:cstheme="majorHAnsi"/>
          <w:vertAlign w:val="superscript"/>
        </w:rPr>
        <w:footnoteReference w:id="17"/>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18"/>
      </w:r>
      <w:r w:rsidRPr="00B6688A">
        <w:rPr>
          <w:rFonts w:asciiTheme="majorHAnsi" w:eastAsia="Calibri" w:hAnsiTheme="majorHAnsi" w:cstheme="majorHAnsi"/>
        </w:rPr>
        <w:t xml:space="preserve"> </w:t>
      </w:r>
    </w:p>
    <w:p w14:paraId="47ED4ABA" w14:textId="54A5EB74"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variation </w:t>
      </w:r>
      <w:r w:rsidR="00476E9A" w:rsidRPr="00B6688A">
        <w:rPr>
          <w:rFonts w:asciiTheme="majorHAnsi" w:eastAsia="Calibri" w:hAnsiTheme="majorHAnsi" w:cstheme="majorHAnsi"/>
        </w:rPr>
        <w:t>complicates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risk. </w:t>
      </w:r>
    </w:p>
    <w:p w14:paraId="47ED4ABB" w14:textId="2142975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There may also be situations where homeowner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476E9A" w:rsidRPr="00B6688A">
        <w:rPr>
          <w:rFonts w:asciiTheme="majorHAnsi" w:eastAsia="Calibri" w:hAnsiTheme="majorHAnsi" w:cstheme="majorHAnsi"/>
        </w:rPr>
        <w:t>,</w:t>
      </w:r>
      <w:r w:rsidRPr="00B6688A">
        <w:rPr>
          <w:rFonts w:asciiTheme="majorHAnsi" w:eastAsia="Calibri" w:hAnsiTheme="majorHAnsi" w:cstheme="majorHAnsi"/>
        </w:rPr>
        <w:t xml:space="preserve"> such as clearing brush or hardening a roof, are reflected differently across insurers’ underwriting or pricing approaches.</w:t>
      </w:r>
      <w:r w:rsidRPr="00B6688A">
        <w:rPr>
          <w:rFonts w:asciiTheme="majorHAnsi" w:eastAsia="Calibri" w:hAnsiTheme="majorHAnsi" w:cstheme="majorHAnsi"/>
          <w:vertAlign w:val="superscript"/>
        </w:rPr>
        <w:footnoteReference w:id="19"/>
      </w:r>
      <w:r w:rsidRPr="00B6688A">
        <w:rPr>
          <w:rFonts w:asciiTheme="majorHAnsi" w:eastAsia="Calibri" w:hAnsiTheme="majorHAnsi" w:cstheme="majorHAnsi"/>
        </w:rPr>
        <w:t xml:space="preserve"> This lack of standardization could discourage homeowners from </w:t>
      </w:r>
      <w:r w:rsidR="00476E9A" w:rsidRPr="00B6688A">
        <w:rPr>
          <w:rFonts w:asciiTheme="majorHAnsi" w:eastAsia="Calibri" w:hAnsiTheme="majorHAnsi" w:cstheme="majorHAnsi"/>
        </w:rPr>
        <w:t>making mitigation improvements</w:t>
      </w:r>
      <w:r w:rsidRPr="00B6688A">
        <w:rPr>
          <w:rFonts w:asciiTheme="majorHAnsi" w:eastAsia="Calibri" w:hAnsiTheme="majorHAnsi" w:cstheme="majorHAnsi"/>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15" w:name="_7facx7gl4lxp" w:colFirst="0" w:colLast="0"/>
      <w:bookmarkEnd w:id="15"/>
      <w:r w:rsidRPr="00B6688A">
        <w:rPr>
          <w:rFonts w:asciiTheme="majorHAnsi" w:hAnsiTheme="majorHAnsi" w:cstheme="majorHAnsi"/>
        </w:rPr>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47ED4ABE" w14:textId="7CE8C158"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 xml:space="preserve">Flood mapping in the United States has historically been a federal enterprise. Since the passage of the National Flood Insurance Act of 1968, </w:t>
      </w:r>
      <w:r w:rsidR="00582631">
        <w:rPr>
          <w:rFonts w:asciiTheme="majorHAnsi" w:eastAsia="Calibri" w:hAnsiTheme="majorHAnsi" w:cstheme="majorHAnsi"/>
        </w:rPr>
        <w:t xml:space="preserve">the </w:t>
      </w:r>
      <w:r w:rsidR="001E7056" w:rsidRPr="001E7056">
        <w:rPr>
          <w:rFonts w:asciiTheme="majorHAnsi" w:eastAsia="Calibri" w:hAnsiTheme="majorHAnsi" w:cstheme="majorHAnsi"/>
        </w:rPr>
        <w:t>Federal Emergency Management Agency</w:t>
      </w:r>
      <w:r w:rsidR="00582631">
        <w:rPr>
          <w:rFonts w:asciiTheme="majorHAnsi" w:eastAsia="Calibri" w:hAnsiTheme="majorHAnsi" w:cstheme="majorHAnsi"/>
        </w:rPr>
        <w:t xml:space="preserve"> (</w:t>
      </w:r>
      <w:r w:rsidRPr="00B6688A">
        <w:rPr>
          <w:rFonts w:asciiTheme="majorHAnsi" w:eastAsia="Calibri" w:hAnsiTheme="majorHAnsi" w:cstheme="majorHAnsi"/>
        </w:rPr>
        <w:t>FEMA</w:t>
      </w:r>
      <w:r w:rsidR="0058263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served as the primary source of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data</w:t>
      </w:r>
      <w:r w:rsidR="00582631">
        <w:rPr>
          <w:rFonts w:asciiTheme="majorHAnsi" w:eastAsia="Calibri" w:hAnsiTheme="majorHAnsi" w:cstheme="majorHAnsi"/>
        </w:rPr>
        <w:t>.</w:t>
      </w:r>
      <w:r w:rsidRPr="00B6688A">
        <w:rPr>
          <w:rFonts w:asciiTheme="majorHAnsi" w:eastAsia="Calibri" w:hAnsiTheme="majorHAnsi" w:cstheme="majorHAnsi"/>
          <w:vertAlign w:val="superscript"/>
        </w:rPr>
        <w:footnoteReference w:id="20"/>
      </w:r>
      <w:r w:rsidRPr="00B6688A">
        <w:rPr>
          <w:rFonts w:asciiTheme="majorHAnsi" w:eastAsia="Calibri" w:hAnsiTheme="majorHAnsi" w:cstheme="majorHAnsi"/>
        </w:rPr>
        <w:t xml:space="preserve"> </w:t>
      </w:r>
      <w:r w:rsidR="009A3137" w:rsidRPr="00B6688A">
        <w:rPr>
          <w:rFonts w:asciiTheme="majorHAnsi" w:eastAsia="Calibri" w:hAnsiTheme="majorHAnsi" w:cstheme="majorHAnsi"/>
        </w:rPr>
        <w:t xml:space="preserve">Based on the </w:t>
      </w:r>
      <w:r w:rsidR="00582631">
        <w:rPr>
          <w:rFonts w:asciiTheme="majorHAnsi" w:eastAsia="Calibri" w:hAnsiTheme="majorHAnsi" w:cstheme="majorHAnsi"/>
        </w:rPr>
        <w:t>f</w:t>
      </w:r>
      <w:r w:rsidR="009A3137" w:rsidRPr="00B6688A">
        <w:rPr>
          <w:rFonts w:asciiTheme="majorHAnsi" w:eastAsia="Calibri" w:hAnsiTheme="majorHAnsi" w:cstheme="majorHAnsi"/>
        </w:rPr>
        <w:t>ederal Flood Insurance Rate Map (FIRM), properties within the 100-year flood zone typically require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A3137" w:rsidRPr="00B6688A">
        <w:rPr>
          <w:rFonts w:asciiTheme="majorHAnsi" w:eastAsia="Calibri" w:hAnsiTheme="majorHAnsi" w:cstheme="majorHAnsi"/>
        </w:rPr>
        <w:t xml:space="preserve"> if the homeowner ha</w:t>
      </w:r>
      <w:r w:rsidR="00433DC1">
        <w:rPr>
          <w:rFonts w:asciiTheme="majorHAnsi" w:eastAsia="Calibri" w:hAnsiTheme="majorHAnsi" w:cstheme="majorHAnsi"/>
        </w:rPr>
        <w:t>s</w:t>
      </w:r>
      <w:r w:rsidR="009A3137" w:rsidRPr="00B6688A">
        <w:rPr>
          <w:rFonts w:asciiTheme="majorHAnsi" w:eastAsia="Calibri" w:hAnsiTheme="majorHAnsi" w:cstheme="majorHAnsi"/>
        </w:rPr>
        <w:t xml:space="preserve"> a federally backed mortgage. In contrast, properties outside this zone usually d</w:t>
      </w:r>
      <w:r w:rsidR="00433DC1">
        <w:rPr>
          <w:rFonts w:asciiTheme="majorHAnsi" w:eastAsia="Calibri" w:hAnsiTheme="majorHAnsi" w:cstheme="majorHAnsi"/>
        </w:rPr>
        <w:t>o</w:t>
      </w:r>
      <w:r w:rsidR="009A3137" w:rsidRPr="00B6688A">
        <w:rPr>
          <w:rFonts w:asciiTheme="majorHAnsi" w:eastAsia="Calibri" w:hAnsiTheme="majorHAnsi" w:cstheme="majorHAnsi"/>
        </w:rPr>
        <w:t xml:space="preserve"> not need </w:t>
      </w:r>
      <w:r w:rsidR="00E04061">
        <w:rPr>
          <w:rFonts w:asciiTheme="majorHAnsi" w:eastAsia="Calibri" w:hAnsiTheme="majorHAnsi" w:cstheme="majorHAnsi"/>
        </w:rPr>
        <w:t>flood</w:t>
      </w:r>
      <w:r w:rsidR="009A3137" w:rsidRPr="00B6688A">
        <w:rPr>
          <w:rFonts w:asciiTheme="majorHAnsi" w:eastAsia="Calibri" w:hAnsiTheme="majorHAnsi" w:cstheme="majorHAnsi"/>
        </w:rPr>
        <w:t xml:space="preserve"> insurance.</w:t>
      </w:r>
      <w:r w:rsidRPr="00B6688A">
        <w:rPr>
          <w:rFonts w:asciiTheme="majorHAnsi" w:eastAsia="Calibri" w:hAnsiTheme="majorHAnsi" w:cstheme="majorHAnsi"/>
        </w:rPr>
        <w:t xml:space="preserve"> </w:t>
      </w:r>
      <w:r w:rsidR="00731794" w:rsidRPr="00B6688A">
        <w:rPr>
          <w:rFonts w:asciiTheme="majorHAnsi" w:eastAsia="Calibri" w:hAnsiTheme="majorHAnsi" w:cstheme="majorHAnsi"/>
        </w:rPr>
        <w:t xml:space="preserve">As a result, many homeowners beyond these zones significantly underestimate their risk. Between 2014 and 2024, nearly one-third of </w:t>
      </w:r>
      <w:r w:rsidR="00647EB1" w:rsidRPr="00647EB1">
        <w:rPr>
          <w:rFonts w:asciiTheme="majorHAnsi" w:eastAsia="Calibri" w:hAnsiTheme="majorHAnsi" w:cstheme="majorHAnsi"/>
        </w:rPr>
        <w:t>National Flood Insurance Program</w:t>
      </w:r>
      <w:r w:rsidR="00647EB1">
        <w:rPr>
          <w:rFonts w:asciiTheme="majorHAnsi" w:eastAsia="Calibri" w:hAnsiTheme="majorHAnsi" w:cstheme="majorHAnsi"/>
        </w:rPr>
        <w:t xml:space="preserve"> (</w:t>
      </w:r>
      <w:r w:rsidR="00731794" w:rsidRPr="00B6688A">
        <w:rPr>
          <w:rFonts w:asciiTheme="majorHAnsi" w:eastAsia="Calibri" w:hAnsiTheme="majorHAnsi" w:cstheme="majorHAnsi"/>
        </w:rPr>
        <w:t>NFIP</w:t>
      </w:r>
      <w:r w:rsidR="00647EB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31794" w:rsidRPr="00B6688A">
        <w:rPr>
          <w:rFonts w:asciiTheme="majorHAnsi" w:eastAsia="Calibri" w:hAnsiTheme="majorHAnsi" w:cstheme="majorHAnsi"/>
        </w:rPr>
        <w:t xml:space="preserve"> flood claims originated from areas outside high-risk flood zones.</w:t>
      </w:r>
      <w:r w:rsidRPr="00B6688A">
        <w:rPr>
          <w:rFonts w:asciiTheme="majorHAnsi" w:eastAsia="Calibri" w:hAnsiTheme="majorHAnsi" w:cstheme="majorHAnsi"/>
          <w:vertAlign w:val="superscript"/>
        </w:rPr>
        <w:footnoteReference w:id="21"/>
      </w:r>
      <w:r w:rsidR="00FF5246" w:rsidRPr="00B6688A">
        <w:rPr>
          <w:rFonts w:asciiTheme="majorHAnsi" w:eastAsia="Calibri" w:hAnsiTheme="majorHAnsi" w:cstheme="majorHAnsi"/>
        </w:rPr>
        <w:t xml:space="preserve"> </w:t>
      </w:r>
      <w:r w:rsidRPr="00B6688A">
        <w:rPr>
          <w:rFonts w:asciiTheme="majorHAnsi" w:eastAsia="Calibri" w:hAnsiTheme="majorHAnsi" w:cstheme="majorHAnsi"/>
        </w:rPr>
        <w:t>Standard homeowners</w:t>
      </w:r>
      <w:r w:rsidR="005C2643">
        <w:rPr>
          <w:rFonts w:asciiTheme="majorHAnsi" w:eastAsia="Calibri" w:hAnsiTheme="majorHAnsi" w:cstheme="majorHAnsi"/>
        </w:rPr>
        <w:t xml:space="preserve"> insurance</w:t>
      </w:r>
      <w:r w:rsidRPr="00B6688A">
        <w:rPr>
          <w:rFonts w:asciiTheme="majorHAnsi" w:eastAsia="Calibri" w:hAnsiTheme="majorHAnsi" w:cstheme="majorHAnsi"/>
        </w:rPr>
        <w:t xml:space="preserve"> policies generally exclude flood losses, requiring separate policies often through the NFIP.</w:t>
      </w:r>
      <w:r w:rsidRPr="00B6688A">
        <w:rPr>
          <w:rFonts w:asciiTheme="majorHAnsi" w:eastAsia="Calibri" w:hAnsiTheme="majorHAnsi" w:cstheme="majorHAnsi"/>
          <w:vertAlign w:val="superscript"/>
        </w:rPr>
        <w:footnoteReference w:id="22"/>
      </w:r>
    </w:p>
    <w:p w14:paraId="47ED4ABF" w14:textId="7EBA9EA9" w:rsidR="00FB1243" w:rsidRPr="00B6688A" w:rsidRDefault="007413BF">
      <w:pPr>
        <w:jc w:val="both"/>
        <w:rPr>
          <w:rFonts w:asciiTheme="majorHAnsi" w:eastAsia="Calibri" w:hAnsiTheme="majorHAnsi" w:cstheme="majorHAnsi"/>
          <w:strike/>
          <w:color w:val="FF0000"/>
        </w:rPr>
      </w:pPr>
      <w:r w:rsidRPr="00B6688A">
        <w:rPr>
          <w:rFonts w:asciiTheme="majorHAnsi" w:eastAsia="Calibri" w:hAnsiTheme="majorHAnsi" w:cstheme="majorHAnsi"/>
        </w:rPr>
        <w:t>As computing power developed, private insurers realized that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binary “in</w:t>
      </w:r>
      <w:r w:rsidR="00B329A4">
        <w:rPr>
          <w:rFonts w:asciiTheme="majorHAnsi" w:eastAsia="Calibri" w:hAnsiTheme="majorHAnsi" w:cstheme="majorHAnsi"/>
        </w:rPr>
        <w:t>-</w:t>
      </w:r>
      <w:r w:rsidRPr="00B6688A">
        <w:rPr>
          <w:rFonts w:asciiTheme="majorHAnsi" w:eastAsia="Calibri" w:hAnsiTheme="majorHAnsi" w:cstheme="majorHAnsi"/>
        </w:rPr>
        <w:t>or</w:t>
      </w:r>
      <w:r w:rsidR="00B329A4">
        <w:rPr>
          <w:rFonts w:asciiTheme="majorHAnsi" w:eastAsia="Calibri" w:hAnsiTheme="majorHAnsi" w:cstheme="majorHAnsi"/>
        </w:rPr>
        <w:t>-</w:t>
      </w:r>
      <w:r w:rsidRPr="00B6688A">
        <w:rPr>
          <w:rFonts w:asciiTheme="majorHAnsi" w:eastAsia="Calibri" w:hAnsiTheme="majorHAnsi" w:cstheme="majorHAnsi"/>
        </w:rPr>
        <w:t xml:space="preserve">out” approach failed to capture the true gradation of risk. For example, </w:t>
      </w:r>
      <w:r w:rsidR="00172DDC" w:rsidRPr="00B6688A">
        <w:rPr>
          <w:rFonts w:asciiTheme="majorHAnsi" w:eastAsia="Calibri" w:hAnsiTheme="majorHAnsi" w:cstheme="majorHAnsi"/>
        </w:rPr>
        <w:t>FEMA FIRMs</w:t>
      </w:r>
      <w:r w:rsidRPr="00B6688A">
        <w:rPr>
          <w:rFonts w:asciiTheme="majorHAnsi" w:eastAsia="Calibri" w:hAnsiTheme="majorHAnsi" w:cstheme="majorHAnsi"/>
        </w:rPr>
        <w:t xml:space="preserve"> often fail to account for precipitation-induced (pluvial)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focusing instead on riverine and coastal flooding.</w:t>
      </w:r>
      <w:r w:rsidRPr="00B6688A">
        <w:rPr>
          <w:rFonts w:asciiTheme="majorHAnsi" w:eastAsia="Calibri" w:hAnsiTheme="majorHAnsi" w:cstheme="majorHAnsi"/>
          <w:vertAlign w:val="superscript"/>
        </w:rPr>
        <w:footnoteReference w:id="23"/>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While FEMA worked to modernize its inventory through initiatives </w:t>
      </w:r>
      <w:r w:rsidR="007D7451">
        <w:rPr>
          <w:rFonts w:asciiTheme="majorHAnsi" w:eastAsia="Calibri" w:hAnsiTheme="majorHAnsi" w:cstheme="majorHAnsi"/>
        </w:rPr>
        <w:t>such as</w:t>
      </w:r>
      <w:r w:rsidRPr="00B6688A">
        <w:rPr>
          <w:rFonts w:asciiTheme="majorHAnsi" w:eastAsia="Calibri" w:hAnsiTheme="majorHAnsi" w:cstheme="majorHAnsi"/>
        </w:rPr>
        <w:t xml:space="preserve"> Risk MAP and Risk Rating 2.0, private insurers began developing proprietary flood models.</w:t>
      </w:r>
      <w:r w:rsidRPr="00B6688A">
        <w:rPr>
          <w:rFonts w:asciiTheme="majorHAnsi" w:eastAsia="Calibri" w:hAnsiTheme="majorHAnsi" w:cstheme="majorHAnsi"/>
          <w:vertAlign w:val="superscript"/>
        </w:rPr>
        <w:footnoteReference w:id="24"/>
      </w:r>
      <w:r w:rsidRPr="00B6688A">
        <w:rPr>
          <w:rFonts w:asciiTheme="majorHAnsi" w:eastAsia="Calibri" w:hAnsiTheme="majorHAnsi" w:cstheme="majorHAnsi"/>
        </w:rPr>
        <w:t xml:space="preserve"> These proprietary approaches have allowed some private carriers to differentiate risk among properties. This allowed insurers to offer innovative flood products that address flood risk at more affordable levels and </w:t>
      </w:r>
      <w:r w:rsidR="00172DDC" w:rsidRPr="00B6688A">
        <w:rPr>
          <w:rFonts w:asciiTheme="majorHAnsi" w:eastAsia="Calibri" w:hAnsiTheme="majorHAnsi" w:cstheme="majorHAnsi"/>
        </w:rPr>
        <w:t>create</w:t>
      </w:r>
      <w:r w:rsidRPr="00B6688A">
        <w:rPr>
          <w:rFonts w:asciiTheme="majorHAnsi" w:eastAsia="Calibri" w:hAnsiTheme="majorHAnsi" w:cstheme="majorHAnsi"/>
        </w:rPr>
        <w:t xml:space="preserve"> a bifurcated market in which risk assessment varies depending on whether it is based on the federal map or the insurer’s developed models.</w:t>
      </w:r>
      <w:r w:rsidRPr="00B6688A">
        <w:rPr>
          <w:rFonts w:asciiTheme="majorHAnsi" w:eastAsia="Calibri" w:hAnsiTheme="majorHAnsi" w:cstheme="majorHAnsi"/>
          <w:strike/>
        </w:rPr>
        <w:t xml:space="preserve"> </w:t>
      </w:r>
    </w:p>
    <w:p w14:paraId="47ED4AC0" w14:textId="3BA8AA09" w:rsidR="00FB1243" w:rsidRPr="00B6688A" w:rsidRDefault="007413BF">
      <w:pPr>
        <w:pStyle w:val="Heading4"/>
        <w:rPr>
          <w:rFonts w:asciiTheme="majorHAnsi" w:hAnsiTheme="majorHAnsi" w:cstheme="majorHAnsi"/>
        </w:rPr>
      </w:pPr>
      <w:bookmarkStart w:id="16" w:name="_t8qo3lkoikii" w:colFirst="0" w:colLast="0"/>
      <w:bookmarkEnd w:id="16"/>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4719FD9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Data developed by insurers or third-party vendors for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hinges on access to high-quality, accurate data. Two critical sources of such information are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NOAA’s data and tools are used by both insurers and policymakers to assess risk and predict losses. In early 2025, the Trump administration discontinued </w:t>
      </w:r>
      <w:r w:rsidR="00CC1E1B" w:rsidRPr="00B6688A">
        <w:rPr>
          <w:rFonts w:asciiTheme="majorHAnsi" w:eastAsia="Calibri" w:hAnsiTheme="majorHAnsi" w:cstheme="majorHAnsi"/>
        </w:rPr>
        <w:t>updates to the NOAA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NOAA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CC1E1B" w:rsidRPr="00B6688A">
        <w:rPr>
          <w:rFonts w:asciiTheme="majorHAnsi" w:eastAsia="Calibri" w:hAnsiTheme="majorHAnsi" w:cstheme="majorHAnsi"/>
        </w:rPr>
        <w:t xml:space="preserve">base of weather events </w:t>
      </w:r>
      <w:r w:rsidR="00A82714" w:rsidRPr="00B6688A">
        <w:rPr>
          <w:rFonts w:asciiTheme="majorHAnsi" w:eastAsia="Calibri" w:hAnsiTheme="majorHAnsi" w:cstheme="majorHAnsi"/>
        </w:rPr>
        <w:t>that caused</w:t>
      </w:r>
      <w:r w:rsidRPr="00B6688A">
        <w:rPr>
          <w:rFonts w:asciiTheme="majorHAnsi" w:eastAsia="Calibri" w:hAnsiTheme="majorHAnsi" w:cstheme="majorHAnsi"/>
        </w:rPr>
        <w:t xml:space="preserve"> more than $1 billion in damage.</w:t>
      </w:r>
      <w:r w:rsidRPr="00B6688A">
        <w:rPr>
          <w:rFonts w:asciiTheme="majorHAnsi" w:eastAsia="Calibri" w:hAnsiTheme="majorHAnsi" w:cstheme="majorHAnsi"/>
          <w:highlight w:val="white"/>
          <w:vertAlign w:val="superscript"/>
        </w:rPr>
        <w:footnoteReference w:id="25"/>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While former NOAA staff and </w:t>
      </w:r>
      <w:r w:rsidRPr="00B6688A">
        <w:rPr>
          <w:rFonts w:asciiTheme="majorHAnsi" w:eastAsia="Calibri" w:hAnsiTheme="majorHAnsi" w:cstheme="majorHAnsi"/>
        </w:rPr>
        <w:lastRenderedPageBreak/>
        <w:t xml:space="preserve">partner organizations have relaunched an equivalent database to continue tracking </w:t>
      </w:r>
      <w:r w:rsidR="00A82714"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from 2025 onward, any loss of that data may</w:t>
      </w:r>
      <w:r w:rsidRPr="00B6688A">
        <w:rPr>
          <w:rFonts w:asciiTheme="majorHAnsi" w:eastAsia="Calibri" w:hAnsiTheme="majorHAnsi" w:cstheme="majorHAnsi"/>
          <w:highlight w:val="white"/>
        </w:rPr>
        <w:t xml:space="preserve"> lead to less accurate risk pricing and analysis. </w:t>
      </w:r>
    </w:p>
    <w:p w14:paraId="47ED4AC2" w14:textId="67F9C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relied upon by insurers and regulators for various hazard impacts. FEMA uses various data, including its own risk assessments (Hazus), the National Flood Hazard Layer (NFHL), and data from partners </w:t>
      </w:r>
      <w:r w:rsidR="00A82714" w:rsidRPr="00B6688A">
        <w:rPr>
          <w:rFonts w:asciiTheme="majorHAnsi" w:eastAsia="Calibri" w:hAnsiTheme="majorHAnsi" w:cstheme="majorHAnsi"/>
        </w:rPr>
        <w:t>such as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precipitation, </w:t>
      </w:r>
      <w:r w:rsidR="007112A1">
        <w:rPr>
          <w:rFonts w:asciiTheme="majorHAnsi" w:eastAsia="Calibri" w:hAnsiTheme="majorHAnsi" w:cstheme="majorHAnsi"/>
        </w:rPr>
        <w:t xml:space="preserve">and the </w:t>
      </w:r>
      <w:r w:rsidR="00684227" w:rsidRPr="00684227">
        <w:rPr>
          <w:rFonts w:asciiTheme="majorHAnsi" w:eastAsia="Calibri" w:hAnsiTheme="majorHAnsi" w:cstheme="majorHAnsi"/>
        </w:rPr>
        <w:t>National Digital Forecast Database</w:t>
      </w:r>
      <w:r w:rsidR="00684227">
        <w:rPr>
          <w:rFonts w:asciiTheme="majorHAnsi" w:eastAsia="Calibri" w:hAnsiTheme="majorHAnsi" w:cstheme="majorHAnsi"/>
        </w:rPr>
        <w:t xml:space="preserve"> [</w:t>
      </w:r>
      <w:r w:rsidR="00A82714" w:rsidRPr="00B6688A">
        <w:rPr>
          <w:rFonts w:asciiTheme="majorHAnsi" w:eastAsia="Calibri" w:hAnsiTheme="majorHAnsi" w:cstheme="majorHAnsi"/>
        </w:rPr>
        <w:t>NDFD</w:t>
      </w:r>
      <w:r w:rsidR="00684227">
        <w:rPr>
          <w:rFonts w:asciiTheme="majorHAnsi" w:eastAsia="Calibri" w:hAnsiTheme="majorHAnsi" w:cstheme="majorHAnsi"/>
        </w:rPr>
        <w:t>]</w:t>
      </w:r>
      <w:r w:rsidR="00A82714" w:rsidRPr="00B6688A">
        <w:rPr>
          <w:rFonts w:asciiTheme="majorHAnsi" w:eastAsia="Calibri" w:hAnsiTheme="majorHAnsi" w:cstheme="majorHAnsi"/>
        </w:rPr>
        <w:t>), to run models that</w:t>
      </w:r>
      <w:r w:rsidRPr="00B6688A">
        <w:rPr>
          <w:rFonts w:asciiTheme="majorHAnsi" w:eastAsia="Calibri" w:hAnsiTheme="majorHAnsi" w:cstheme="majorHAnsi"/>
        </w:rPr>
        <w:t xml:space="preserve"> predict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 surge, and other hazard impacts. This helps with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planning, and response by providing geospatial data, weather inputs (</w:t>
      </w:r>
      <w:r w:rsidR="00707193">
        <w:rPr>
          <w:rFonts w:asciiTheme="majorHAnsi" w:eastAsia="Calibri" w:hAnsiTheme="majorHAnsi" w:cstheme="majorHAnsi"/>
        </w:rPr>
        <w:t xml:space="preserve">such as </w:t>
      </w:r>
      <w:r w:rsidR="007302E5">
        <w:rPr>
          <w:rFonts w:asciiTheme="majorHAnsi" w:eastAsia="Calibri" w:hAnsiTheme="majorHAnsi" w:cstheme="majorHAnsi"/>
        </w:rPr>
        <w:t xml:space="preserve">the </w:t>
      </w:r>
      <w:r w:rsidR="00707193" w:rsidRPr="00707193">
        <w:rPr>
          <w:rFonts w:asciiTheme="majorHAnsi" w:eastAsia="Calibri" w:hAnsiTheme="majorHAnsi" w:cstheme="majorHAnsi"/>
        </w:rPr>
        <w:t>Meteorological Aerodrome Report</w:t>
      </w:r>
      <w:r w:rsidRPr="00B6688A">
        <w:rPr>
          <w:rFonts w:asciiTheme="majorHAnsi" w:eastAsia="Calibri" w:hAnsiTheme="majorHAnsi" w:cstheme="majorHAnsi"/>
        </w:rPr>
        <w:t xml:space="preserve"> </w:t>
      </w:r>
      <w:r w:rsidR="00707193">
        <w:rPr>
          <w:rFonts w:asciiTheme="majorHAnsi" w:eastAsia="Calibri" w:hAnsiTheme="majorHAnsi" w:cstheme="majorHAnsi"/>
        </w:rPr>
        <w:t>[</w:t>
      </w:r>
      <w:r w:rsidRPr="00B6688A">
        <w:rPr>
          <w:rFonts w:asciiTheme="majorHAnsi" w:eastAsia="Calibri" w:hAnsiTheme="majorHAnsi" w:cstheme="majorHAnsi"/>
        </w:rPr>
        <w:t>METAR</w:t>
      </w:r>
      <w:r w:rsidR="00707193">
        <w:rPr>
          <w:rFonts w:asciiTheme="majorHAnsi" w:eastAsia="Calibri" w:hAnsiTheme="majorHAnsi" w:cstheme="majorHAnsi"/>
        </w:rPr>
        <w:t>]</w:t>
      </w:r>
      <w:r w:rsidR="000E27CC">
        <w:rPr>
          <w:rFonts w:asciiTheme="majorHAnsi" w:eastAsia="Calibri" w:hAnsiTheme="majorHAnsi" w:cstheme="majorHAnsi"/>
        </w:rPr>
        <w:t xml:space="preserve"> and the </w:t>
      </w:r>
      <w:r w:rsidR="00BA04F5" w:rsidRPr="00BA04F5">
        <w:rPr>
          <w:rFonts w:asciiTheme="majorHAnsi" w:eastAsia="Calibri" w:hAnsiTheme="majorHAnsi" w:cstheme="majorHAnsi"/>
        </w:rPr>
        <w:t>Weather Prediction Center</w:t>
      </w:r>
      <w:r w:rsidR="00BA04F5">
        <w:rPr>
          <w:rFonts w:asciiTheme="majorHAnsi" w:eastAsia="Calibri" w:hAnsiTheme="majorHAnsi" w:cstheme="majorHAnsi"/>
        </w:rPr>
        <w:t xml:space="preserve"> [</w:t>
      </w:r>
      <w:r w:rsidRPr="00B6688A">
        <w:rPr>
          <w:rFonts w:asciiTheme="majorHAnsi" w:eastAsia="Calibri" w:hAnsiTheme="majorHAnsi" w:cstheme="majorHAnsi"/>
        </w:rPr>
        <w:t>WPC</w:t>
      </w:r>
      <w:r w:rsidR="00BA04F5">
        <w:rPr>
          <w:rFonts w:asciiTheme="majorHAnsi" w:eastAsia="Calibri" w:hAnsiTheme="majorHAnsi" w:cstheme="majorHAnsi"/>
        </w:rPr>
        <w:t>]</w:t>
      </w:r>
      <w:r w:rsidRPr="00B6688A">
        <w:rPr>
          <w:rFonts w:asciiTheme="majorHAnsi" w:eastAsia="Calibri" w:hAnsiTheme="majorHAnsi" w:cstheme="majorHAnsi"/>
        </w:rPr>
        <w:t>), and detailed flood zone information for hazard mapping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26"/>
      </w:r>
      <w:r w:rsidRPr="00B6688A">
        <w:rPr>
          <w:rFonts w:asciiTheme="majorHAnsi" w:eastAsia="Calibri" w:hAnsiTheme="majorHAnsi" w:cstheme="majorHAnsi"/>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17" w:name="_dwph3xydinyb" w:colFirst="0" w:colLast="0"/>
      <w:bookmarkStart w:id="18" w:name="_Toc236057848"/>
      <w:bookmarkEnd w:id="17"/>
      <w:r w:rsidRPr="00B6688A">
        <w:rPr>
          <w:rFonts w:asciiTheme="majorHAnsi" w:hAnsiTheme="majorHAnsi" w:cstheme="majorHAnsi"/>
        </w:rPr>
        <w:t>Communication and Education Gaps</w:t>
      </w:r>
      <w:bookmarkEnd w:id="18"/>
    </w:p>
    <w:p w14:paraId="47ED4AC4" w14:textId="77777777" w:rsidR="00FB1243" w:rsidRPr="00B6688A" w:rsidRDefault="007413BF">
      <w:pPr>
        <w:pStyle w:val="Heading4"/>
        <w:rPr>
          <w:rFonts w:asciiTheme="majorHAnsi" w:hAnsiTheme="majorHAnsi" w:cstheme="majorHAnsi"/>
        </w:rPr>
      </w:pPr>
      <w:bookmarkStart w:id="19" w:name="_mb4alyvn6l23" w:colFirst="0" w:colLast="0"/>
      <w:bookmarkEnd w:id="19"/>
      <w:r w:rsidRPr="00B6688A">
        <w:rPr>
          <w:rFonts w:asciiTheme="majorHAnsi" w:hAnsiTheme="majorHAnsi" w:cstheme="majorHAnsi"/>
        </w:rPr>
        <w:t>How Consumers Access and Understand Insurance Information.</w:t>
      </w:r>
    </w:p>
    <w:p w14:paraId="47ED4AC5" w14:textId="7F45D6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Consumers can access insurance information through multiple channels</w:t>
      </w:r>
      <w:r w:rsidR="00F75B90" w:rsidRPr="00B6688A">
        <w:rPr>
          <w:rFonts w:asciiTheme="majorHAnsi" w:eastAsia="Calibri" w:hAnsiTheme="majorHAnsi" w:cstheme="majorHAnsi"/>
        </w:rPr>
        <w:t xml:space="preserve">, including their insurance agent, the </w:t>
      </w:r>
      <w:r w:rsidR="000E27CC">
        <w:rPr>
          <w:rFonts w:asciiTheme="majorHAnsi" w:eastAsia="Calibri" w:hAnsiTheme="majorHAnsi" w:cstheme="majorHAnsi"/>
        </w:rPr>
        <w:t xml:space="preserve">insurance </w:t>
      </w:r>
      <w:r w:rsidR="00F75B90" w:rsidRPr="00B6688A">
        <w:rPr>
          <w:rFonts w:asciiTheme="majorHAnsi" w:eastAsia="Calibri" w:hAnsiTheme="majorHAnsi" w:cstheme="majorHAnsi"/>
        </w:rPr>
        <w:t>company</w:t>
      </w:r>
      <w:r w:rsidR="000E27CC">
        <w:rPr>
          <w:rFonts w:asciiTheme="majorHAnsi" w:eastAsia="Calibri" w:hAnsiTheme="majorHAnsi" w:cstheme="majorHAnsi"/>
        </w:rPr>
        <w:t>’s</w:t>
      </w:r>
      <w:r w:rsidR="00F75B90" w:rsidRPr="00B6688A">
        <w:rPr>
          <w:rFonts w:asciiTheme="majorHAnsi" w:eastAsia="Calibri" w:hAnsiTheme="majorHAnsi" w:cstheme="majorHAnsi"/>
        </w:rPr>
        <w:t xml:space="preserve"> website, mobile apps, </w:t>
      </w:r>
      <w:r w:rsidRPr="00B6688A">
        <w:rPr>
          <w:rFonts w:asciiTheme="majorHAnsi" w:eastAsia="Calibri" w:hAnsiTheme="majorHAnsi" w:cstheme="majorHAnsi"/>
        </w:rPr>
        <w:t xml:space="preserve">their state’s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website, or by calling the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consumer service teams. Each state typically has staff available to answer questions </w:t>
      </w:r>
      <w:r w:rsidR="000E27CC">
        <w:rPr>
          <w:rFonts w:asciiTheme="majorHAnsi" w:eastAsia="Calibri" w:hAnsiTheme="majorHAnsi" w:cstheme="majorHAnsi"/>
        </w:rPr>
        <w:t>on</w:t>
      </w:r>
      <w:r w:rsidRPr="00B6688A">
        <w:rPr>
          <w:rFonts w:asciiTheme="majorHAnsi" w:eastAsia="Calibri" w:hAnsiTheme="majorHAnsi" w:cstheme="majorHAnsi"/>
        </w:rPr>
        <w:t xml:space="preserve"> </w:t>
      </w:r>
      <w:r w:rsidR="00233AC4">
        <w:rPr>
          <w:rFonts w:asciiTheme="majorHAnsi" w:eastAsia="Calibri" w:hAnsiTheme="majorHAnsi" w:cstheme="majorHAnsi"/>
        </w:rPr>
        <w:t>P/C</w:t>
      </w:r>
      <w:r w:rsidRPr="00B6688A">
        <w:rPr>
          <w:rFonts w:asciiTheme="majorHAnsi" w:eastAsia="Calibri" w:hAnsiTheme="majorHAnsi" w:cstheme="majorHAnsi"/>
        </w:rPr>
        <w:t xml:space="preserve"> insurance, including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laws, administrative rules, and general insurance business practices. State </w:t>
      </w:r>
      <w:r w:rsidR="00233AC4">
        <w:rPr>
          <w:rFonts w:asciiTheme="majorHAnsi" w:eastAsia="Calibri" w:hAnsiTheme="majorHAnsi" w:cstheme="majorHAnsi"/>
        </w:rPr>
        <w:t>d</w:t>
      </w:r>
      <w:r w:rsidRPr="00B6688A">
        <w:rPr>
          <w:rFonts w:asciiTheme="majorHAnsi" w:eastAsia="Calibri" w:hAnsiTheme="majorHAnsi" w:cstheme="majorHAnsi"/>
        </w:rPr>
        <w:t xml:space="preserve">epartments of </w:t>
      </w:r>
      <w:r w:rsidR="00233AC4">
        <w:rPr>
          <w:rFonts w:asciiTheme="majorHAnsi" w:eastAsia="Calibri" w:hAnsiTheme="majorHAnsi" w:cstheme="majorHAnsi"/>
        </w:rPr>
        <w:t>i</w:t>
      </w:r>
      <w:r w:rsidRPr="00B6688A">
        <w:rPr>
          <w:rFonts w:asciiTheme="majorHAnsi" w:eastAsia="Calibri" w:hAnsiTheme="majorHAnsi" w:cstheme="majorHAnsi"/>
        </w:rPr>
        <w:t xml:space="preserve">nsurance may </w:t>
      </w:r>
      <w:r w:rsidR="00F75B90" w:rsidRPr="00B6688A">
        <w:rPr>
          <w:rFonts w:asciiTheme="majorHAnsi" w:eastAsia="Calibri" w:hAnsiTheme="majorHAnsi" w:cstheme="majorHAnsi"/>
        </w:rPr>
        <w:t>provide information on their websites to help consumers navigate the homeowner</w:t>
      </w:r>
      <w:r w:rsidR="003B648F">
        <w:rPr>
          <w:rFonts w:asciiTheme="majorHAnsi" w:eastAsia="Calibri" w:hAnsiTheme="majorHAnsi" w:cstheme="majorHAnsi"/>
        </w:rPr>
        <w:t>s</w:t>
      </w:r>
      <w:r w:rsidR="00F75B90" w:rsidRPr="00B6688A">
        <w:rPr>
          <w:rFonts w:asciiTheme="majorHAnsi" w:eastAsia="Calibri" w:hAnsiTheme="majorHAnsi" w:cstheme="majorHAnsi"/>
        </w:rPr>
        <w:t xml:space="preserve"> insurance </w:t>
      </w:r>
      <w:r w:rsidRPr="00B6688A">
        <w:rPr>
          <w:rFonts w:asciiTheme="majorHAnsi" w:eastAsia="Calibri" w:hAnsiTheme="majorHAnsi" w:cstheme="majorHAnsi"/>
        </w:rPr>
        <w:t>market</w:t>
      </w:r>
      <w:r w:rsidR="003B648F">
        <w:rPr>
          <w:rFonts w:asciiTheme="majorHAnsi" w:eastAsia="Calibri" w:hAnsiTheme="majorHAnsi" w:cstheme="majorHAnsi"/>
        </w:rPr>
        <w:t xml:space="preserve">, </w:t>
      </w:r>
      <w:r w:rsidRPr="00B6688A">
        <w:rPr>
          <w:rFonts w:asciiTheme="majorHAnsi" w:eastAsia="Calibri" w:hAnsiTheme="majorHAnsi" w:cstheme="majorHAnsi"/>
        </w:rPr>
        <w:t>includ</w:t>
      </w:r>
      <w:r w:rsidR="003B648F">
        <w:rPr>
          <w:rFonts w:asciiTheme="majorHAnsi" w:eastAsia="Calibri" w:hAnsiTheme="majorHAnsi" w:cstheme="majorHAnsi"/>
        </w:rPr>
        <w:t>ing</w:t>
      </w:r>
      <w:r w:rsidRPr="00B6688A">
        <w:rPr>
          <w:rFonts w:asciiTheme="majorHAnsi" w:eastAsia="Calibri" w:hAnsiTheme="majorHAnsi" w:cstheme="majorHAnsi"/>
        </w:rPr>
        <w:t xml:space="preserve"> shopping tools to help consumers find insurance companies and understand pricing. </w:t>
      </w:r>
      <w:r w:rsidR="003B648F">
        <w:rPr>
          <w:rFonts w:asciiTheme="majorHAnsi" w:eastAsia="Calibri" w:hAnsiTheme="majorHAnsi" w:cstheme="majorHAnsi"/>
        </w:rPr>
        <w:t>Additionally</w:t>
      </w:r>
      <w:r w:rsidRPr="00B6688A">
        <w:rPr>
          <w:rFonts w:asciiTheme="majorHAnsi" w:eastAsia="Calibri" w:hAnsiTheme="majorHAnsi" w:cstheme="majorHAnsi"/>
        </w:rPr>
        <w:t xml:space="preserve">, in some states, </w:t>
      </w:r>
      <w:r w:rsidR="00C36BCA">
        <w:rPr>
          <w:rFonts w:asciiTheme="majorHAnsi" w:eastAsia="Calibri" w:hAnsiTheme="majorHAnsi" w:cstheme="majorHAnsi"/>
        </w:rPr>
        <w:t>d</w:t>
      </w:r>
      <w:r w:rsidRPr="00B6688A">
        <w:rPr>
          <w:rFonts w:asciiTheme="majorHAnsi" w:eastAsia="Calibri" w:hAnsiTheme="majorHAnsi" w:cstheme="majorHAnsi"/>
        </w:rPr>
        <w:t xml:space="preserve">epartments of </w:t>
      </w:r>
      <w:r w:rsidR="00C36BCA">
        <w:rPr>
          <w:rFonts w:asciiTheme="majorHAnsi" w:eastAsia="Calibri" w:hAnsiTheme="majorHAnsi" w:cstheme="majorHAnsi"/>
        </w:rPr>
        <w:t>i</w:t>
      </w:r>
      <w:r w:rsidRPr="00B6688A">
        <w:rPr>
          <w:rFonts w:asciiTheme="majorHAnsi" w:eastAsia="Calibri" w:hAnsiTheme="majorHAnsi" w:cstheme="majorHAnsi"/>
        </w:rPr>
        <w:t xml:space="preserve">nsurance may publish </w:t>
      </w:r>
      <w:r w:rsidR="00F75B90" w:rsidRPr="00B6688A">
        <w:rPr>
          <w:rFonts w:asciiTheme="majorHAnsi" w:eastAsia="Calibri" w:hAnsiTheme="majorHAnsi" w:cstheme="majorHAnsi"/>
        </w:rPr>
        <w:t>premium comparison reports or market summaries on their websites</w:t>
      </w:r>
      <w:r w:rsidRPr="00B6688A">
        <w:rPr>
          <w:rFonts w:asciiTheme="majorHAnsi" w:eastAsia="Calibri" w:hAnsiTheme="majorHAnsi" w:cstheme="majorHAnsi"/>
        </w:rPr>
        <w:t>.</w:t>
      </w:r>
    </w:p>
    <w:p w14:paraId="47ED4AC6" w14:textId="09BB866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Individual states may have laws that establish specific consumer notification requirements. For example,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Statute (Section 10-4-111, C.R.S.) requires insurance carriers to provide homeowners with an annual homeowner disclosure form. This form summarizes their insurance policy and provides basic information </w:t>
      </w:r>
      <w:r w:rsidR="008129A6">
        <w:rPr>
          <w:rFonts w:asciiTheme="majorHAnsi" w:eastAsia="Calibri" w:hAnsiTheme="majorHAnsi" w:cstheme="majorHAnsi"/>
        </w:rPr>
        <w:t>on</w:t>
      </w:r>
      <w:r w:rsidRPr="00B6688A">
        <w:rPr>
          <w:rFonts w:asciiTheme="majorHAnsi" w:eastAsia="Calibri" w:hAnsiTheme="majorHAnsi" w:cstheme="majorHAnsi"/>
        </w:rPr>
        <w:t xml:space="preserve"> premium increases, cancellation, and nonrenewal reasons. The disclosure also identifies certain coverage options that a consumer may want to consider purchasing. </w:t>
      </w:r>
      <w:r w:rsidRPr="00B6688A">
        <w:rPr>
          <w:rFonts w:asciiTheme="majorHAnsi" w:hAnsiTheme="majorHAnsi" w:cstheme="majorHAnsi"/>
        </w:rPr>
        <w:tab/>
      </w:r>
      <w:r w:rsidRPr="00B6688A">
        <w:rPr>
          <w:rFonts w:asciiTheme="majorHAnsi" w:hAnsiTheme="majorHAnsi" w:cstheme="majorHAnsi"/>
        </w:rPr>
        <w:tab/>
      </w:r>
    </w:p>
    <w:p w14:paraId="47ED4AC7" w14:textId="36828396" w:rsidR="00FB1243" w:rsidRPr="00B6688A" w:rsidRDefault="007413BF">
      <w:pPr>
        <w:pStyle w:val="Heading4"/>
        <w:rPr>
          <w:rFonts w:asciiTheme="majorHAnsi" w:hAnsiTheme="majorHAnsi" w:cstheme="majorHAnsi"/>
        </w:rPr>
      </w:pPr>
      <w:bookmarkStart w:id="20" w:name="_vwder9bcdyng" w:colFirst="0" w:colLast="0"/>
      <w:bookmarkEnd w:id="20"/>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w:t>
      </w:r>
      <w:r w:rsidRPr="00B6688A">
        <w:rPr>
          <w:rFonts w:asciiTheme="majorHAnsi" w:eastAsia="Calibri" w:hAnsiTheme="majorHAnsi" w:cstheme="majorHAnsi"/>
          <w:highlight w:val="white"/>
        </w:rPr>
        <w:lastRenderedPageBreak/>
        <w:t>to ensure they have adequate coverage.</w:t>
      </w:r>
      <w:r w:rsidRPr="00B6688A">
        <w:rPr>
          <w:rFonts w:asciiTheme="majorHAnsi" w:eastAsia="Calibri" w:hAnsiTheme="majorHAnsi" w:cstheme="majorHAnsi"/>
          <w:highlight w:val="white"/>
          <w:vertAlign w:val="superscript"/>
        </w:rPr>
        <w:footnoteReference w:id="27"/>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28"/>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knew the specific details of their policy coverage.</w:t>
      </w:r>
      <w:r w:rsidRPr="00B6688A">
        <w:rPr>
          <w:rFonts w:asciiTheme="majorHAnsi" w:eastAsia="Calibri" w:hAnsiTheme="majorHAnsi" w:cstheme="majorHAnsi"/>
          <w:color w:val="373737"/>
          <w:highlight w:val="white"/>
          <w:vertAlign w:val="superscript"/>
        </w:rPr>
        <w:footnoteReference w:id="29"/>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covered by their policy today.</w:t>
      </w:r>
      <w:r w:rsidRPr="00B6688A">
        <w:rPr>
          <w:rFonts w:asciiTheme="majorHAnsi" w:eastAsia="Calibri" w:hAnsiTheme="majorHAnsi" w:cstheme="majorHAnsi"/>
          <w:highlight w:val="white"/>
          <w:vertAlign w:val="superscript"/>
        </w:rPr>
        <w:footnoteReference w:id="30"/>
      </w:r>
      <w:r w:rsidRPr="00B6688A">
        <w:rPr>
          <w:rFonts w:asciiTheme="majorHAnsi" w:eastAsia="Calibri" w:hAnsiTheme="majorHAnsi" w:cstheme="majorHAnsi"/>
          <w:highlight w:val="white"/>
        </w:rPr>
        <w:t xml:space="preserve"> For example, consumers often misunderstand that standard homeowners insurance excludes floods and earthquakes, 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1"/>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r w:rsidRPr="00B6688A">
        <w:rPr>
          <w:rFonts w:asciiTheme="majorHAnsi" w:eastAsia="Calibri" w:hAnsiTheme="majorHAnsi" w:cstheme="majorHAnsi"/>
          <w:highlight w:val="white"/>
          <w:vertAlign w:val="superscript"/>
        </w:rPr>
        <w:footnoteReference w:id="32"/>
      </w:r>
      <w:r w:rsidRPr="00B6688A">
        <w:rPr>
          <w:rFonts w:asciiTheme="majorHAnsi" w:eastAsia="Calibri" w:hAnsiTheme="majorHAnsi" w:cstheme="majorHAnsi"/>
          <w:highlight w:val="white"/>
        </w:rPr>
        <w:t xml:space="preserve"> </w:t>
      </w:r>
    </w:p>
    <w:p w14:paraId="47ED4AC9" w14:textId="518694B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The complexity of policies makes it difficult for consumers to understand what is and is not covered, even when they attempt to read their policy materials. A study by Professors Daniel Schwarcz, Brenda J. Cude, and </w:t>
      </w:r>
      <w:r w:rsidR="0052342C">
        <w:rPr>
          <w:rFonts w:asciiTheme="majorHAnsi" w:eastAsia="Calibri" w:hAnsiTheme="majorHAnsi" w:cstheme="majorHAnsi"/>
          <w:highlight w:val="white"/>
        </w:rPr>
        <w:t xml:space="preserve">their </w:t>
      </w:r>
      <w:r w:rsidRPr="00B6688A">
        <w:rPr>
          <w:rFonts w:asciiTheme="majorHAnsi" w:eastAsia="Calibri" w:hAnsiTheme="majorHAnsi" w:cstheme="majorHAnsi"/>
          <w:highlight w:val="white"/>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policy language does not reliably lead to meaningful consumer understanding.</w:t>
      </w:r>
      <w:r w:rsidRPr="00B6688A">
        <w:rPr>
          <w:rFonts w:asciiTheme="majorHAnsi" w:eastAsia="Calibri" w:hAnsiTheme="majorHAnsi" w:cstheme="majorHAnsi"/>
          <w:highlight w:val="white"/>
          <w:vertAlign w:val="superscript"/>
        </w:rPr>
        <w:footnoteReference w:id="33"/>
      </w:r>
      <w:r w:rsidRPr="00B6688A">
        <w:rPr>
          <w:rFonts w:asciiTheme="majorHAnsi" w:eastAsia="Calibri" w:hAnsiTheme="majorHAnsi" w:cstheme="majorHAnsi"/>
          <w:highlight w:val="white"/>
        </w:rPr>
        <w:t xml:space="preserve"> In fact, </w:t>
      </w:r>
      <w:r w:rsidRPr="00B6688A">
        <w:rPr>
          <w:rFonts w:asciiTheme="majorHAnsi" w:eastAsia="Calibri" w:hAnsiTheme="majorHAnsi" w:cstheme="majorHAnsi"/>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dynamic can contribute to disputes or misunderstandings following a loss, including potential unexpected out-of-pocket </w:t>
      </w:r>
      <w:r w:rsidRPr="00B6688A">
        <w:rPr>
          <w:rFonts w:asciiTheme="majorHAnsi" w:eastAsia="Calibri" w:hAnsiTheme="majorHAnsi" w:cstheme="majorHAnsi"/>
          <w:highlight w:val="white"/>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21" w:name="_wv9me0x43yw" w:colFirst="0" w:colLast="0"/>
      <w:bookmarkStart w:id="22" w:name="_Toc236057849"/>
      <w:bookmarkEnd w:id="21"/>
      <w:r w:rsidRPr="00B6688A">
        <w:rPr>
          <w:rFonts w:asciiTheme="majorHAnsi" w:hAnsiTheme="majorHAnsi" w:cstheme="majorHAnsi"/>
        </w:rPr>
        <w:lastRenderedPageBreak/>
        <w:t>Influence of Adjacent Industries</w:t>
      </w:r>
      <w:bookmarkEnd w:id="22"/>
    </w:p>
    <w:p w14:paraId="47ED4ACB" w14:textId="6F6D26D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of the factors that influence the cost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outside the scope and authority of insurance regulators. A few key factors identified by stakeholders are highlighted here: rising reconstruction costs,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litigation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p>
    <w:p w14:paraId="47ED4ACC" w14:textId="77777777" w:rsidR="00FB1243" w:rsidRPr="00B6688A" w:rsidRDefault="007413BF">
      <w:pPr>
        <w:pStyle w:val="Heading4"/>
        <w:rPr>
          <w:rFonts w:asciiTheme="majorHAnsi" w:hAnsiTheme="majorHAnsi" w:cstheme="majorHAnsi"/>
        </w:rPr>
      </w:pPr>
      <w:bookmarkStart w:id="23" w:name="_x2951qgu0rpt" w:colFirst="0" w:colLast="0"/>
      <w:bookmarkEnd w:id="23"/>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34"/>
      </w:r>
      <w:r w:rsidRPr="00B6688A">
        <w:rPr>
          <w:rFonts w:asciiTheme="majorHAnsi" w:eastAsia="Calibri" w:hAnsiTheme="majorHAnsi" w:cstheme="majorHAnsi"/>
        </w:rPr>
        <w:t xml:space="preserve"> These factors can all contribute to higher reconstruction costs.</w:t>
      </w:r>
      <w:r w:rsidRPr="00B6688A">
        <w:rPr>
          <w:rFonts w:asciiTheme="majorHAnsi" w:eastAsia="Calibri" w:hAnsiTheme="majorHAnsi" w:cstheme="majorHAnsi"/>
          <w:vertAlign w:val="superscript"/>
        </w:rPr>
        <w:footnoteReference w:id="35"/>
      </w:r>
      <w:r w:rsidRPr="00B6688A">
        <w:rPr>
          <w:rFonts w:asciiTheme="majorHAnsi" w:eastAsia="Calibri" w:hAnsiTheme="majorHAnsi" w:cstheme="majorHAnsi"/>
        </w:rPr>
        <w:t xml:space="preserve"> Some communities, such as those in mountainous or remote regions, face additional pressures. Construction seasons are shorter</w:t>
      </w:r>
      <w:r w:rsidR="00302B47" w:rsidRPr="00B6688A">
        <w:rPr>
          <w:rFonts w:asciiTheme="majorHAnsi" w:eastAsia="Calibri" w:hAnsiTheme="majorHAnsi" w:cstheme="majorHAnsi"/>
        </w:rPr>
        <w:t>; access to home sites on steep slopes or in distant, remote locations may require additional equipment or staging</w:t>
      </w:r>
      <w:r w:rsidR="002652AD">
        <w:rPr>
          <w:rFonts w:asciiTheme="majorHAnsi" w:eastAsia="Calibri" w:hAnsiTheme="majorHAnsi" w:cstheme="majorHAnsi"/>
        </w:rPr>
        <w:t>,</w:t>
      </w:r>
      <w:r w:rsidR="00302B47" w:rsidRPr="00B6688A">
        <w:rPr>
          <w:rFonts w:asciiTheme="majorHAnsi" w:eastAsia="Calibri" w:hAnsiTheme="majorHAnsi" w:cstheme="majorHAnsi"/>
        </w:rPr>
        <w:t xml:space="preserve"> and homes </w:t>
      </w:r>
      <w:r w:rsidRPr="00B6688A">
        <w:rPr>
          <w:rFonts w:asciiTheme="majorHAnsi" w:eastAsia="Calibri" w:hAnsiTheme="majorHAnsi" w:cstheme="majorHAnsi"/>
        </w:rPr>
        <w:t xml:space="preserve">on slopes </w:t>
      </w:r>
      <w:r w:rsidR="00F75B90" w:rsidRPr="00B6688A">
        <w:rPr>
          <w:rFonts w:asciiTheme="majorHAnsi" w:eastAsia="Calibri" w:hAnsiTheme="majorHAnsi" w:cstheme="majorHAnsi"/>
        </w:rPr>
        <w:t>often require</w:t>
      </w:r>
      <w:r w:rsidRPr="00B6688A">
        <w:rPr>
          <w:rFonts w:asciiTheme="majorHAnsi" w:eastAsia="Calibri" w:hAnsiTheme="majorHAnsi" w:cstheme="majorHAnsi"/>
        </w:rPr>
        <w:t xml:space="preserve"> engineering reviews and foundation reinforcement.</w:t>
      </w:r>
      <w:r w:rsidRPr="00B6688A">
        <w:rPr>
          <w:rFonts w:asciiTheme="majorHAnsi" w:eastAsia="Calibri" w:hAnsiTheme="majorHAnsi" w:cstheme="majorHAnsi"/>
          <w:vertAlign w:val="superscript"/>
        </w:rPr>
        <w:footnoteReference w:id="36"/>
      </w:r>
    </w:p>
    <w:p w14:paraId="47ED4ACE" w14:textId="646B2B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Labor Shortages</w:t>
      </w:r>
      <w:r w:rsidRPr="002C1247">
        <w:rPr>
          <w:rFonts w:asciiTheme="majorHAnsi" w:eastAsia="Calibri" w:hAnsiTheme="majorHAnsi" w:cstheme="majorHAnsi"/>
        </w:rPr>
        <w:t>:</w:t>
      </w:r>
      <w:r w:rsidRPr="002C1247">
        <w:rPr>
          <w:rFonts w:asciiTheme="majorHAnsi" w:eastAsia="Calibri" w:hAnsiTheme="majorHAnsi" w:cstheme="majorHAnsi"/>
          <w:i/>
          <w:iCs/>
        </w:rPr>
        <w:t xml:space="preserve"> </w:t>
      </w:r>
      <w:r w:rsidRPr="00B6688A">
        <w:rPr>
          <w:rFonts w:asciiTheme="majorHAnsi" w:eastAsia="Calibri" w:hAnsiTheme="majorHAnsi" w:cstheme="majorHAnsi"/>
        </w:rPr>
        <w:t>Labor shortages continue to affect the construction industry, driving up costs and extending project timelines. Contractors report difficulty finding qualified workers at every skill level, leading to higher wages and project delays.</w:t>
      </w:r>
      <w:r w:rsidRPr="00B6688A">
        <w:rPr>
          <w:rFonts w:asciiTheme="majorHAnsi" w:eastAsia="Calibri" w:hAnsiTheme="majorHAnsi" w:cstheme="majorHAnsi"/>
          <w:vertAlign w:val="superscript"/>
        </w:rPr>
        <w:footnoteReference w:id="37"/>
      </w:r>
      <w:r w:rsidRPr="00B6688A">
        <w:rPr>
          <w:rFonts w:asciiTheme="majorHAnsi" w:eastAsia="Calibri" w:hAnsiTheme="majorHAnsi" w:cstheme="majorHAnsi"/>
        </w:rPr>
        <w:t xml:space="preserve"> In some states, workforce availability has not kept pace with the rebuilding demand</w:t>
      </w:r>
      <w:r w:rsidR="00F75B90"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38"/>
      </w:r>
      <w:r w:rsidRPr="00B6688A">
        <w:rPr>
          <w:rFonts w:asciiTheme="majorHAnsi" w:eastAsia="Calibri" w:hAnsiTheme="majorHAnsi" w:cstheme="majorHAnsi"/>
        </w:rPr>
        <w:t xml:space="preserve"> Rural and smaller city regions experience tight labor constraints, with fewer workers available, requiring contractors to compete for the limited labor force and pay higher wages.</w:t>
      </w:r>
      <w:r w:rsidRPr="00B6688A">
        <w:rPr>
          <w:rFonts w:asciiTheme="majorHAnsi" w:eastAsia="Calibri" w:hAnsiTheme="majorHAnsi" w:cstheme="majorHAnsi"/>
          <w:vertAlign w:val="superscript"/>
        </w:rPr>
        <w:footnoteReference w:id="39"/>
      </w:r>
      <w:r w:rsidRPr="00B6688A">
        <w:rPr>
          <w:rFonts w:asciiTheme="majorHAnsi" w:eastAsia="Calibri" w:hAnsiTheme="majorHAnsi" w:cstheme="majorHAnsi"/>
        </w:rPr>
        <w:t xml:space="preserve"> </w:t>
      </w:r>
    </w:p>
    <w:p w14:paraId="47ED4AD0" w14:textId="4711C62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lastRenderedPageBreak/>
        <w:t>Inflation</w:t>
      </w:r>
      <w:r w:rsidRPr="002C1247">
        <w:rPr>
          <w:rFonts w:asciiTheme="majorHAnsi" w:eastAsia="Calibri" w:hAnsiTheme="majorHAnsi" w:cstheme="majorHAnsi"/>
        </w:rPr>
        <w:t xml:space="preserve">: </w:t>
      </w:r>
      <w:r w:rsidRPr="00B6688A">
        <w:rPr>
          <w:rFonts w:asciiTheme="majorHAnsi" w:eastAsia="Calibri" w:hAnsiTheme="majorHAnsi" w:cstheme="majorHAnsi"/>
        </w:rPr>
        <w:t>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00B6688A">
        <w:rPr>
          <w:rFonts w:asciiTheme="majorHAnsi" w:eastAsia="Calibri" w:hAnsiTheme="majorHAnsi" w:cstheme="majorHAnsi"/>
          <w:vertAlign w:val="superscript"/>
        </w:rPr>
        <w:footnoteReference w:id="40"/>
      </w:r>
      <w:r w:rsidRPr="00B6688A">
        <w:rPr>
          <w:rFonts w:asciiTheme="majorHAnsi" w:eastAsia="Calibri" w:hAnsiTheme="majorHAnsi" w:cstheme="majorHAnsi"/>
        </w:rPr>
        <w:t xml:space="preserve"> Lumber, steel, electrical components, and other reconstruction materials all saw large price swings, and many of those costs have not returned to pre-2020 levels.</w:t>
      </w:r>
      <w:r w:rsidRPr="00B6688A">
        <w:rPr>
          <w:rFonts w:asciiTheme="majorHAnsi" w:eastAsia="Calibri" w:hAnsiTheme="majorHAnsi" w:cstheme="majorHAnsi"/>
          <w:vertAlign w:val="superscript"/>
        </w:rPr>
        <w:footnoteReference w:id="41"/>
      </w:r>
      <w:r w:rsidRPr="00B6688A">
        <w:rPr>
          <w:rFonts w:asciiTheme="majorHAnsi" w:eastAsia="Calibri" w:hAnsiTheme="majorHAnsi" w:cstheme="majorHAnsi"/>
        </w:rPr>
        <w:t xml:space="preserve"> Inflation in construction costs is now one of the most significant drivers of higher premiums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While some material prices have stabilized</w:t>
      </w:r>
      <w:r w:rsidR="00D1049D">
        <w:rPr>
          <w:rFonts w:asciiTheme="majorHAnsi" w:eastAsia="Calibri" w:hAnsiTheme="majorHAnsi" w:cstheme="majorHAnsi"/>
        </w:rPr>
        <w:t>,</w:t>
      </w:r>
      <w:r w:rsidRPr="00B6688A">
        <w:rPr>
          <w:rFonts w:asciiTheme="majorHAnsi" w:eastAsia="Calibri" w:hAnsiTheme="majorHAnsi" w:cstheme="majorHAnsi"/>
          <w:vertAlign w:val="superscript"/>
        </w:rPr>
        <w:footnoteReference w:id="42"/>
      </w:r>
      <w:r w:rsidRPr="00B6688A">
        <w:rPr>
          <w:rFonts w:asciiTheme="majorHAnsi" w:eastAsia="Calibri" w:hAnsiTheme="majorHAnsi" w:cstheme="majorHAnsi"/>
        </w:rPr>
        <w:t xml:space="preserve"> overall construction cost inflation continues to outpace general inflation. </w:t>
      </w:r>
    </w:p>
    <w:p w14:paraId="47ED4AD1" w14:textId="69F2134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Tariffs</w:t>
      </w:r>
      <w:r w:rsidRPr="003D164E">
        <w:rPr>
          <w:rFonts w:asciiTheme="majorHAnsi" w:eastAsia="Calibri" w:hAnsiTheme="majorHAnsi" w:cstheme="majorHAnsi"/>
        </w:rPr>
        <w:t xml:space="preserve">: </w:t>
      </w:r>
      <w:r w:rsidRPr="00B6688A">
        <w:rPr>
          <w:rFonts w:asciiTheme="majorHAnsi" w:eastAsia="Calibri" w:hAnsiTheme="majorHAnsi" w:cstheme="majorHAnsi"/>
        </w:rPr>
        <w:t>Tariffs and international trade friction also contribute to reconstruction costs. Federal tariffs on steel, aluminum, and certain lumber products increase the cost of several categories of construction materials commonly used in homes.</w:t>
      </w:r>
      <w:r w:rsidRPr="00B6688A">
        <w:rPr>
          <w:rFonts w:asciiTheme="majorHAnsi" w:eastAsia="Calibri" w:hAnsiTheme="majorHAnsi" w:cstheme="majorHAnsi"/>
          <w:vertAlign w:val="superscript"/>
        </w:rPr>
        <w:footnoteReference w:id="43"/>
      </w:r>
      <w:r w:rsidRPr="00B6688A">
        <w:rPr>
          <w:rFonts w:asciiTheme="majorHAnsi" w:eastAsia="Calibri" w:hAnsiTheme="majorHAnsi" w:cstheme="majorHAnsi"/>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00B6688A">
        <w:rPr>
          <w:rFonts w:asciiTheme="majorHAnsi" w:eastAsia="Calibri" w:hAnsiTheme="majorHAnsi" w:cstheme="majorHAnsi"/>
          <w:vertAlign w:val="superscript"/>
        </w:rPr>
        <w:footnoteReference w:id="44"/>
      </w:r>
      <w:r w:rsidRPr="00B6688A">
        <w:rPr>
          <w:rFonts w:asciiTheme="majorHAnsi" w:eastAsia="Calibri" w:hAnsiTheme="majorHAnsi" w:cstheme="majorHAnsi"/>
        </w:rPr>
        <w:t xml:space="preserve"> A recent survey conducted by the National Association of Home Builders </w:t>
      </w:r>
      <w:r w:rsidR="00E212B7">
        <w:rPr>
          <w:rFonts w:asciiTheme="majorHAnsi" w:eastAsia="Calibri" w:hAnsiTheme="majorHAnsi" w:cstheme="majorHAnsi"/>
        </w:rPr>
        <w:t xml:space="preserve">(NAHB) </w:t>
      </w:r>
      <w:r w:rsidRPr="00B6688A">
        <w:rPr>
          <w:rFonts w:asciiTheme="majorHAnsi" w:eastAsia="Calibri" w:hAnsiTheme="majorHAnsi" w:cstheme="majorHAnsi"/>
        </w:rPr>
        <w:t>found that 60% of builders said their suppliers had already increased tariffs since March 2025 or announced upcoming increases in supply costs. As of mid-April 2025, suppliers had increased prices by an average of 6.3%, which was estimated to add nearly $11,000 to the cost of a typical home.</w:t>
      </w:r>
      <w:r w:rsidRPr="00B6688A">
        <w:rPr>
          <w:rFonts w:asciiTheme="majorHAnsi" w:eastAsia="Calibri" w:hAnsiTheme="majorHAnsi" w:cstheme="majorHAnsi"/>
          <w:vertAlign w:val="superscript"/>
        </w:rPr>
        <w:footnoteReference w:id="45"/>
      </w:r>
    </w:p>
    <w:p w14:paraId="47ED4AD2" w14:textId="0FEC0F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Supply Chain Disruptions</w:t>
      </w:r>
      <w:r w:rsidRPr="003D164E">
        <w:rPr>
          <w:rFonts w:asciiTheme="majorHAnsi" w:eastAsia="Calibri" w:hAnsiTheme="majorHAnsi" w:cstheme="majorHAnsi"/>
        </w:rPr>
        <w:t>:</w:t>
      </w:r>
      <w:r w:rsidRPr="00E212B7">
        <w:rPr>
          <w:rFonts w:asciiTheme="majorHAnsi" w:eastAsia="Calibri" w:hAnsiTheme="majorHAnsi" w:cstheme="majorHAnsi"/>
        </w:rPr>
        <w:t xml:space="preserve"> </w:t>
      </w:r>
      <w:r w:rsidRPr="00B6688A">
        <w:rPr>
          <w:rFonts w:asciiTheme="majorHAnsi" w:eastAsia="Calibri" w:hAnsiTheme="majorHAnsi" w:cstheme="majorHAnsi"/>
        </w:rPr>
        <w:t xml:space="preserve">Supply chain disruptions can also </w:t>
      </w:r>
      <w:r w:rsidR="00A53707">
        <w:rPr>
          <w:rFonts w:asciiTheme="majorHAnsi" w:eastAsia="Calibri" w:hAnsiTheme="majorHAnsi" w:cstheme="majorHAnsi"/>
        </w:rPr>
        <w:t>contribute to</w:t>
      </w:r>
      <w:r w:rsidRPr="00B6688A">
        <w:rPr>
          <w:rFonts w:asciiTheme="majorHAnsi" w:eastAsia="Calibri" w:hAnsiTheme="majorHAnsi" w:cstheme="majorHAnsi"/>
        </w:rPr>
        <w:t xml:space="preserve"> higher reconstruction and personal property replacement costs. Shortages of framing lumber and other essential components have led to delays and higher bid prices.</w:t>
      </w:r>
      <w:r w:rsidRPr="00B6688A">
        <w:rPr>
          <w:rFonts w:asciiTheme="majorHAnsi" w:eastAsia="Calibri" w:hAnsiTheme="majorHAnsi" w:cstheme="majorHAnsi"/>
          <w:vertAlign w:val="superscript"/>
        </w:rPr>
        <w:footnoteReference w:id="46"/>
      </w:r>
      <w:r w:rsidRPr="00B6688A">
        <w:rPr>
          <w:rFonts w:asciiTheme="majorHAnsi" w:eastAsia="Calibri" w:hAnsiTheme="majorHAnsi" w:cstheme="majorHAnsi"/>
        </w:rPr>
        <w:t xml:space="preserve"> Roofing materials were affected by </w:t>
      </w:r>
      <w:r w:rsidRPr="00B6688A">
        <w:rPr>
          <w:rFonts w:asciiTheme="majorHAnsi" w:eastAsia="Calibri" w:hAnsiTheme="majorHAnsi" w:cstheme="majorHAnsi"/>
        </w:rPr>
        <w:lastRenderedPageBreak/>
        <w:t>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00B6688A">
        <w:rPr>
          <w:rFonts w:asciiTheme="majorHAnsi" w:eastAsia="Calibri" w:hAnsiTheme="majorHAnsi" w:cstheme="majorHAnsi"/>
          <w:vertAlign w:val="superscript"/>
        </w:rPr>
        <w:footnoteReference w:id="47"/>
      </w:r>
      <w:r w:rsidRPr="00B6688A">
        <w:rPr>
          <w:rFonts w:asciiTheme="majorHAnsi" w:eastAsia="Calibri" w:hAnsiTheme="majorHAnsi" w:cstheme="majorHAnsi"/>
        </w:rPr>
        <w:t xml:space="preserve"> </w:t>
      </w:r>
    </w:p>
    <w:p w14:paraId="47ED4AD3" w14:textId="7BE4DE96" w:rsidR="00FB1243" w:rsidRPr="00B6688A" w:rsidRDefault="007413BF">
      <w:pPr>
        <w:jc w:val="both"/>
        <w:rPr>
          <w:rFonts w:asciiTheme="majorHAnsi" w:eastAsia="Calibri" w:hAnsiTheme="majorHAnsi" w:cstheme="majorHAnsi"/>
        </w:rPr>
      </w:pPr>
      <w:bookmarkStart w:id="24" w:name="_lslp37z418gu" w:colFirst="0" w:colLast="0"/>
      <w:bookmarkEnd w:id="24"/>
      <w:r w:rsidRPr="00B6688A">
        <w:rPr>
          <w:rFonts w:asciiTheme="majorHAnsi" w:eastAsia="Calibri" w:hAnsiTheme="majorHAnsi" w:cstheme="majorHAnsi"/>
          <w:b/>
          <w:bCs/>
          <w:i/>
          <w:iCs/>
          <w:u w:val="single"/>
        </w:rPr>
        <w:t>Material Volatility</w:t>
      </w:r>
      <w:r w:rsidRPr="003D164E">
        <w:rPr>
          <w:rFonts w:asciiTheme="majorHAnsi" w:eastAsia="Calibri" w:hAnsiTheme="majorHAnsi" w:cstheme="majorHAnsi"/>
        </w:rPr>
        <w:t>:</w:t>
      </w:r>
      <w:r w:rsidRPr="00A53707">
        <w:rPr>
          <w:rFonts w:asciiTheme="majorHAnsi" w:eastAsia="Calibri" w:hAnsiTheme="majorHAnsi" w:cstheme="majorHAnsi"/>
        </w:rPr>
        <w:t xml:space="preserve"> </w:t>
      </w:r>
      <w:r w:rsidRPr="00B6688A">
        <w:rPr>
          <w:rFonts w:asciiTheme="majorHAnsi" w:eastAsia="Calibri" w:hAnsiTheme="majorHAnsi" w:cstheme="majorHAnsi"/>
        </w:rPr>
        <w:t xml:space="preserve">Material volatility further complicates affordability </w:t>
      </w:r>
      <w:r w:rsidR="007229EC" w:rsidRPr="00B6688A">
        <w:rPr>
          <w:rFonts w:asciiTheme="majorHAnsi" w:eastAsia="Calibri" w:hAnsiTheme="majorHAnsi" w:cstheme="majorHAnsi"/>
        </w:rPr>
        <w:t>by affecting both the timing and reliability of replacement costs, which suppliers, contractors, and insurers must factor</w:t>
      </w:r>
      <w:r w:rsidRPr="00B6688A">
        <w:rPr>
          <w:rFonts w:asciiTheme="majorHAnsi" w:eastAsia="Calibri" w:hAnsiTheme="majorHAnsi" w:cstheme="majorHAnsi"/>
        </w:rPr>
        <w:t xml:space="preserve"> into pricing. The delivered cost of core materials</w:t>
      </w:r>
      <w:r w:rsidR="00BF175B">
        <w:rPr>
          <w:rFonts w:asciiTheme="majorHAnsi" w:eastAsia="Calibri" w:hAnsiTheme="majorHAnsi" w:cstheme="majorHAnsi"/>
        </w:rPr>
        <w:t>,</w:t>
      </w:r>
      <w:r w:rsidRPr="00B6688A">
        <w:rPr>
          <w:rFonts w:asciiTheme="majorHAnsi" w:eastAsia="Calibri" w:hAnsiTheme="majorHAnsi" w:cstheme="majorHAnsi"/>
        </w:rPr>
        <w:t xml:space="preserve"> </w:t>
      </w:r>
      <w:r w:rsidR="00A72909" w:rsidRPr="00B6688A">
        <w:rPr>
          <w:rFonts w:asciiTheme="majorHAnsi" w:eastAsia="Calibri" w:hAnsiTheme="majorHAnsi" w:cstheme="majorHAnsi"/>
        </w:rPr>
        <w:t>such as lumber, roofing, and mechanical equipment</w:t>
      </w:r>
      <w:r w:rsidR="00BF175B">
        <w:rPr>
          <w:rFonts w:asciiTheme="majorHAnsi" w:eastAsia="Calibri" w:hAnsiTheme="majorHAnsi" w:cstheme="majorHAnsi"/>
        </w:rPr>
        <w:t>,</w:t>
      </w:r>
      <w:r w:rsidR="00A72909" w:rsidRPr="00B6688A">
        <w:rPr>
          <w:rFonts w:asciiTheme="majorHAnsi" w:eastAsia="Calibri" w:hAnsiTheme="majorHAnsi" w:cstheme="majorHAnsi"/>
        </w:rPr>
        <w:t xml:space="preserve"> can increase significantly over short periods </w:t>
      </w:r>
      <w:r w:rsidRPr="00B6688A">
        <w:rPr>
          <w:rFonts w:asciiTheme="majorHAnsi" w:eastAsia="Calibri" w:hAnsiTheme="majorHAnsi" w:cstheme="majorHAnsi"/>
        </w:rPr>
        <w:t>due to shifts in production capacity, transportation and fuel costs, and broader commodity cycles, as seen during and after the pandemic.</w:t>
      </w:r>
      <w:r w:rsidRPr="00B6688A">
        <w:rPr>
          <w:rFonts w:asciiTheme="majorHAnsi" w:eastAsia="Calibri" w:hAnsiTheme="majorHAnsi" w:cstheme="majorHAnsi"/>
          <w:vertAlign w:val="superscript"/>
        </w:rPr>
        <w:footnoteReference w:id="48"/>
      </w:r>
      <w:r w:rsidRPr="00B6688A">
        <w:rPr>
          <w:rFonts w:asciiTheme="majorHAnsi" w:eastAsia="Calibri" w:hAnsiTheme="majorHAnsi" w:cstheme="majorHAnsi"/>
        </w:rPr>
        <w:t xml:space="preserve"> For residential reconstruction, the volatility is magnified by the need to source completed assemblies</w:t>
      </w:r>
      <w:r w:rsidR="00392DDA">
        <w:rPr>
          <w:rFonts w:asciiTheme="majorHAnsi" w:eastAsia="Calibri" w:hAnsiTheme="majorHAnsi" w:cstheme="majorHAnsi"/>
        </w:rPr>
        <w:t>, including</w:t>
      </w:r>
      <w:r w:rsidRPr="00B6688A">
        <w:rPr>
          <w:rFonts w:asciiTheme="majorHAnsi" w:eastAsia="Calibri" w:hAnsiTheme="majorHAnsi" w:cstheme="majorHAnsi"/>
        </w:rPr>
        <w:t xml:space="preserve"> truss packages, roofing systems, windows, and HVAC systems that depend on multiple suppliers and manufacturing steps. As a result, </w:t>
      </w:r>
      <w:r w:rsidR="00A72909" w:rsidRPr="00B6688A">
        <w:rPr>
          <w:rFonts w:asciiTheme="majorHAnsi" w:eastAsia="Calibri" w:hAnsiTheme="majorHAnsi" w:cstheme="majorHAnsi"/>
        </w:rPr>
        <w:t xml:space="preserve">otherwise similar homes with reconstruction needs that are </w:t>
      </w:r>
      <w:r w:rsidRPr="00B6688A">
        <w:rPr>
          <w:rFonts w:asciiTheme="majorHAnsi" w:eastAsia="Calibri" w:hAnsiTheme="majorHAnsi" w:cstheme="majorHAnsi"/>
        </w:rPr>
        <w:t>a few months apart can end up with very different estimates.</w:t>
      </w:r>
    </w:p>
    <w:p w14:paraId="47ED4AD4" w14:textId="163C209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Demand Surge</w:t>
      </w:r>
      <w:r w:rsidRPr="002141FB">
        <w:rPr>
          <w:rFonts w:asciiTheme="majorHAnsi" w:eastAsia="Calibri" w:hAnsiTheme="majorHAnsi" w:cstheme="majorHAnsi"/>
        </w:rPr>
        <w:t>:</w:t>
      </w:r>
      <w:r w:rsidRPr="00392DDA">
        <w:rPr>
          <w:rFonts w:asciiTheme="majorHAnsi" w:eastAsia="Calibri" w:hAnsiTheme="majorHAnsi" w:cstheme="majorHAnsi"/>
        </w:rPr>
        <w:t xml:space="preserve"> </w:t>
      </w:r>
      <w:r w:rsidRPr="00B6688A">
        <w:rPr>
          <w:rFonts w:asciiTheme="majorHAnsi" w:eastAsia="Calibri" w:hAnsiTheme="majorHAnsi" w:cstheme="majorHAnsi"/>
        </w:rPr>
        <w:t xml:space="preserve">Demand surge is a significant contributor to temporary spikes 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Pr>
          <w:rFonts w:asciiTheme="majorHAnsi" w:eastAsia="Calibri" w:hAnsiTheme="majorHAnsi" w:cstheme="majorHAnsi"/>
        </w:rPr>
        <w:t>raise</w:t>
      </w:r>
      <w:r w:rsidRPr="00B6688A">
        <w:rPr>
          <w:rFonts w:asciiTheme="majorHAnsi" w:eastAsia="Calibri" w:hAnsiTheme="majorHAnsi" w:cstheme="majorHAnsi"/>
        </w:rPr>
        <w:t xml:space="preserve"> bid prices.</w:t>
      </w:r>
      <w:r w:rsidRPr="00B6688A">
        <w:rPr>
          <w:rFonts w:asciiTheme="majorHAnsi" w:eastAsia="Calibri" w:hAnsiTheme="majorHAnsi" w:cstheme="majorHAnsi"/>
          <w:vertAlign w:val="superscript"/>
        </w:rPr>
        <w:footnoteReference w:id="49"/>
      </w:r>
      <w:r w:rsidRPr="00B6688A">
        <w:rPr>
          <w:rFonts w:asciiTheme="majorHAnsi" w:eastAsia="Calibri" w:hAnsiTheme="majorHAnsi" w:cstheme="majorHAnsi"/>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Building Code Updates</w:t>
      </w:r>
      <w:r w:rsidRPr="002141FB">
        <w:rPr>
          <w:rFonts w:asciiTheme="majorHAnsi" w:eastAsia="Calibri" w:hAnsiTheme="majorHAnsi" w:cstheme="majorHAnsi"/>
        </w:rPr>
        <w:t>:</w:t>
      </w:r>
      <w:r w:rsidRPr="007314EC">
        <w:rPr>
          <w:rFonts w:asciiTheme="majorHAnsi" w:eastAsia="Calibri" w:hAnsiTheme="majorHAnsi" w:cstheme="majorHAnsi"/>
        </w:rPr>
        <w:t xml:space="preserve"> </w:t>
      </w:r>
      <w:r w:rsidRPr="00B6688A">
        <w:rPr>
          <w:rFonts w:asciiTheme="majorHAnsi" w:eastAsia="Calibri" w:hAnsiTheme="majorHAnsi" w:cstheme="majorHAnsi"/>
        </w:rPr>
        <w:t>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covering structural, fire, mechanical, electrical, and plumbing systems, are updated on a three-year cycle by model code organizations like the International Code Council (ICC), with each new revision incrementally increasing reconstruction costs.</w:t>
      </w:r>
      <w:r w:rsidRPr="00B6688A">
        <w:rPr>
          <w:rFonts w:asciiTheme="majorHAnsi" w:eastAsia="Calibri" w:hAnsiTheme="majorHAnsi" w:cstheme="majorHAnsi"/>
          <w:vertAlign w:val="superscript"/>
        </w:rPr>
        <w:footnoteReference w:id="50"/>
      </w:r>
      <w:r w:rsidRPr="00B6688A">
        <w:rPr>
          <w:rFonts w:asciiTheme="majorHAnsi" w:eastAsia="Calibri" w:hAnsiTheme="majorHAnsi" w:cstheme="majorHAnsi"/>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floods. These upgrades can increase reconstruction costs, but the extent of that impact depends on the scope of the upgrade and the amount of the structure that must be brought into compliance.</w:t>
      </w:r>
      <w:r w:rsidRPr="00B6688A">
        <w:rPr>
          <w:rFonts w:asciiTheme="majorHAnsi" w:eastAsia="Calibri" w:hAnsiTheme="majorHAnsi" w:cstheme="majorHAnsi"/>
          <w:vertAlign w:val="superscript"/>
        </w:rPr>
        <w:footnoteReference w:id="51"/>
      </w:r>
      <w:r w:rsidRPr="00B6688A">
        <w:rPr>
          <w:rFonts w:asciiTheme="majorHAnsi" w:eastAsia="Calibri" w:hAnsiTheme="majorHAnsi" w:cstheme="majorHAnsi"/>
        </w:rPr>
        <w:t xml:space="preserve"> In some communities, thresholds for major code adoption can significantly increase reconstruction costs even if only part of the structure is damaged. </w:t>
      </w:r>
    </w:p>
    <w:p w14:paraId="47ED4AD7" w14:textId="77777777" w:rsidR="00FB1243" w:rsidRPr="00B6688A" w:rsidRDefault="007413BF">
      <w:pPr>
        <w:pStyle w:val="Heading4"/>
        <w:rPr>
          <w:rFonts w:asciiTheme="majorHAnsi" w:hAnsiTheme="majorHAnsi" w:cstheme="majorHAnsi"/>
        </w:rPr>
      </w:pPr>
      <w:bookmarkStart w:id="25" w:name="_w57bolicgrmc" w:colFirst="0" w:colLast="0"/>
      <w:bookmarkEnd w:id="25"/>
      <w:r w:rsidRPr="00B6688A">
        <w:rPr>
          <w:rFonts w:asciiTheme="majorHAnsi" w:hAnsiTheme="majorHAnsi" w:cstheme="majorHAnsi"/>
        </w:rPr>
        <w:t>Role of Building Codes in Resiliency</w:t>
      </w:r>
    </w:p>
    <w:p w14:paraId="47ED4AD8" w14:textId="183C3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00B6688A">
        <w:rPr>
          <w:rFonts w:asciiTheme="majorHAnsi" w:eastAsia="Calibri" w:hAnsiTheme="majorHAnsi" w:cstheme="majorHAnsi"/>
          <w:vertAlign w:val="superscript"/>
        </w:rPr>
        <w:footnoteReference w:id="52"/>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53"/>
      </w:r>
      <w:r w:rsidRPr="00B6688A">
        <w:rPr>
          <w:rFonts w:asciiTheme="majorHAnsi" w:eastAsia="Calibri" w:hAnsiTheme="majorHAnsi" w:cstheme="majorHAnsi"/>
          <w:vertAlign w:val="superscript"/>
        </w:rPr>
        <w:t xml:space="preserve"> </w:t>
      </w:r>
      <w:r w:rsidRPr="00B6688A">
        <w:rPr>
          <w:rFonts w:asciiTheme="majorHAnsi" w:eastAsia="Calibri" w:hAnsiTheme="majorHAnsi" w:cstheme="majorHAnsi"/>
        </w:rPr>
        <w:t>This creates a more predictable outcome for insurers and supports long-term housing stability for communities.</w:t>
      </w:r>
      <w:r w:rsidRPr="00B6688A">
        <w:rPr>
          <w:rFonts w:asciiTheme="majorHAnsi" w:eastAsia="Calibri" w:hAnsiTheme="majorHAnsi" w:cstheme="majorHAnsi"/>
          <w:vertAlign w:val="superscript"/>
        </w:rPr>
        <w:footnoteReference w:id="54"/>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5"/>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6"/>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57"/>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 in effect, homes are more vulnerable, and insurers face greater uncertainty about loss severity. This inconsistency makes it harder to estimate risk, price coverage, and support more appropriate </w:t>
      </w:r>
      <w:r w:rsidR="00A72909" w:rsidRPr="00B6688A">
        <w:rPr>
          <w:rFonts w:asciiTheme="majorHAnsi" w:eastAsia="Calibri" w:hAnsiTheme="majorHAnsi" w:cstheme="majorHAnsi"/>
        </w:rPr>
        <w:t>dwelling-limit assumptions across counties with very different building-code</w:t>
      </w:r>
      <w:r w:rsidRPr="00B6688A">
        <w:rPr>
          <w:rFonts w:asciiTheme="majorHAnsi" w:eastAsia="Calibri" w:hAnsiTheme="majorHAnsi" w:cstheme="majorHAnsi"/>
        </w:rPr>
        <w:t xml:space="preserve"> environments.</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w:t>
      </w:r>
    </w:p>
    <w:p w14:paraId="47ED4ADB" w14:textId="77777777" w:rsidR="00FB1243" w:rsidRPr="00B6688A" w:rsidRDefault="007413BF">
      <w:pPr>
        <w:pStyle w:val="Heading4"/>
        <w:rPr>
          <w:rFonts w:asciiTheme="majorHAnsi" w:hAnsiTheme="majorHAnsi" w:cstheme="majorHAnsi"/>
        </w:rPr>
      </w:pPr>
      <w:bookmarkStart w:id="26" w:name="_iyop246e9798" w:colFirst="0" w:colLast="0"/>
      <w:bookmarkEnd w:id="26"/>
      <w:r w:rsidRPr="00B6688A">
        <w:rPr>
          <w:rFonts w:asciiTheme="majorHAnsi" w:hAnsiTheme="majorHAnsi" w:cstheme="majorHAnsi"/>
        </w:rPr>
        <w:t xml:space="preserve">Litigation Costs </w:t>
      </w:r>
    </w:p>
    <w:p w14:paraId="47ED4ADC" w14:textId="134F3D6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There are differing opinions regarding the impact of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on homeowners premiums.</w:t>
      </w:r>
      <w:r w:rsidR="00F20372">
        <w:rPr>
          <w:rFonts w:asciiTheme="majorHAnsi" w:eastAsia="Calibri" w:hAnsiTheme="majorHAnsi" w:cstheme="majorHAnsi"/>
          <w:highlight w:val="white"/>
        </w:rPr>
        <w:t xml:space="preserve"> </w:t>
      </w:r>
    </w:p>
    <w:p w14:paraId="47ED4ADD" w14:textId="0943952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Over the past decade, claims costs have escalated due to various legal and societal shifts, contributing to broader cost pressures in the insurance system</w:t>
      </w:r>
      <w:r w:rsidR="00A72909"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59"/>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A</w:t>
      </w:r>
      <w:r w:rsidRPr="00B6688A">
        <w:rPr>
          <w:rFonts w:asciiTheme="majorHAnsi" w:eastAsia="Calibri" w:hAnsiTheme="majorHAnsi" w:cstheme="majorHAnsi"/>
          <w:highlight w:val="white"/>
        </w:rPr>
        <w:t>ccording to recent surveys from the Independent Insurance Agents &amp; Brokers of America (Big I) and the Insurance Information Institute</w:t>
      </w:r>
      <w:r w:rsidR="00B471BE">
        <w:rPr>
          <w:rFonts w:asciiTheme="majorHAnsi" w:eastAsia="Calibri" w:hAnsiTheme="majorHAnsi" w:cstheme="majorHAnsi"/>
          <w:highlight w:val="white"/>
        </w:rPr>
        <w:t xml:space="preserve"> (III)</w:t>
      </w:r>
      <w:r w:rsidR="003E4F05" w:rsidRPr="00B6688A">
        <w:rPr>
          <w:rFonts w:asciiTheme="majorHAnsi" w:eastAsia="Calibri" w:hAnsiTheme="majorHAnsi" w:cstheme="majorHAnsi"/>
          <w:highlight w:val="white"/>
        </w:rPr>
        <w:t>, in partnership with Munich Reinsurance America, excessive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3E4F05" w:rsidRPr="00B6688A">
        <w:rPr>
          <w:rFonts w:asciiTheme="majorHAnsi" w:eastAsia="Calibri" w:hAnsiTheme="majorHAnsi" w:cstheme="majorHAnsi"/>
          <w:highlight w:val="white"/>
        </w:rPr>
        <w:t xml:space="preserve"> is</w:t>
      </w:r>
      <w:r w:rsidRPr="00B6688A">
        <w:rPr>
          <w:rFonts w:asciiTheme="majorHAnsi" w:eastAsia="Calibri" w:hAnsiTheme="majorHAnsi" w:cstheme="majorHAnsi"/>
        </w:rPr>
        <w:t xml:space="preserve"> estimated to add more than $6,000 annually to insurance premiums for a typical family of four.</w:t>
      </w:r>
      <w:r w:rsidRPr="00B6688A">
        <w:rPr>
          <w:rFonts w:asciiTheme="majorHAnsi" w:eastAsia="Calibri" w:hAnsiTheme="majorHAnsi" w:cstheme="majorHAnsi"/>
          <w:vertAlign w:val="superscript"/>
        </w:rPr>
        <w:footnoteReference w:id="60"/>
      </w:r>
      <w:r w:rsidR="00F20372">
        <w:rPr>
          <w:rFonts w:asciiTheme="majorHAnsi" w:eastAsia="Calibri" w:hAnsiTheme="majorHAnsi" w:cstheme="majorHAnsi"/>
        </w:rPr>
        <w:t xml:space="preserve"> </w:t>
      </w:r>
    </w:p>
    <w:p w14:paraId="47ED4ADE" w14:textId="0827DE4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(AOB) agreements has increased alongside rising claim frequency and severity in certain jurisdictions. In 2019, Florida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accounted for 8% of U</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S</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 xml:space="preserve">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claims but more than 76% of related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61"/>
      </w:r>
      <w:r w:rsidRPr="00B6688A">
        <w:rPr>
          <w:rFonts w:asciiTheme="majorHAnsi" w:eastAsia="Calibri" w:hAnsiTheme="majorHAnsi" w:cstheme="majorHAnsi"/>
          <w:highlight w:val="white"/>
        </w:rPr>
        <w:t xml:space="preserve"> with the volume of AOB lawsuits growing from roughly 1,300 statewide across all lines in 2000 to more than 79,000 in 2013 and more than 153,000 in 2018. Between 2013 and 2016, AOB property lawsuits grew from 2,852 to 9</w:t>
      </w:r>
      <w:r w:rsidR="00D027AE">
        <w:rPr>
          <w:rFonts w:asciiTheme="majorHAnsi" w:eastAsia="Calibri" w:hAnsiTheme="majorHAnsi" w:cstheme="majorHAnsi"/>
          <w:highlight w:val="white"/>
        </w:rPr>
        <w:t>,</w:t>
      </w:r>
      <w:r w:rsidRPr="00B6688A">
        <w:rPr>
          <w:rFonts w:asciiTheme="majorHAnsi" w:eastAsia="Calibri" w:hAnsiTheme="majorHAnsi" w:cstheme="majorHAnsi"/>
          <w:highlight w:val="white"/>
        </w:rPr>
        <w:t>000.</w:t>
      </w:r>
      <w:r w:rsidRPr="00B6688A">
        <w:rPr>
          <w:rFonts w:asciiTheme="majorHAnsi" w:eastAsia="Calibri" w:hAnsiTheme="majorHAnsi" w:cstheme="majorHAnsi"/>
          <w:highlight w:val="white"/>
          <w:vertAlign w:val="superscript"/>
        </w:rPr>
        <w:footnoteReference w:id="62"/>
      </w:r>
      <w:r w:rsidRPr="00B6688A">
        <w:rPr>
          <w:rFonts w:asciiTheme="majorHAnsi" w:eastAsia="Calibri" w:hAnsiTheme="majorHAnsi" w:cstheme="majorHAnsi"/>
          <w:highlight w:val="white"/>
        </w:rPr>
        <w:t xml:space="preserve"> Leading up to the state’s legislative litigation reform efforts, the Florida Office of Insurance Regulation’s 2015</w:t>
      </w:r>
      <w:r w:rsidRPr="00B6688A">
        <w:rPr>
          <w:rFonts w:asciiTheme="majorHAnsi" w:eastAsia="Calibri" w:hAnsiTheme="majorHAnsi" w:cstheme="majorHAnsi"/>
          <w:highlight w:val="white"/>
          <w:vertAlign w:val="superscript"/>
        </w:rPr>
        <w:footnoteReference w:id="63"/>
      </w:r>
      <w:r w:rsidRPr="00B6688A">
        <w:rPr>
          <w:rFonts w:asciiTheme="majorHAnsi" w:eastAsia="Calibri" w:hAnsiTheme="majorHAnsi" w:cstheme="majorHAnsi"/>
          <w:highlight w:val="white"/>
        </w:rPr>
        <w:t xml:space="preserve"> and 2017</w:t>
      </w:r>
      <w:r w:rsidRPr="00B6688A">
        <w:rPr>
          <w:rFonts w:asciiTheme="majorHAnsi" w:eastAsia="Calibri" w:hAnsiTheme="majorHAnsi" w:cstheme="majorHAnsi"/>
          <w:highlight w:val="white"/>
          <w:vertAlign w:val="superscript"/>
        </w:rPr>
        <w:footnoteReference w:id="64"/>
      </w:r>
      <w:r w:rsidRPr="00B6688A">
        <w:rPr>
          <w:rFonts w:asciiTheme="majorHAnsi" w:eastAsia="Calibri" w:hAnsiTheme="majorHAnsi" w:cstheme="majorHAnsi"/>
          <w:highlight w:val="white"/>
        </w:rPr>
        <w:t xml:space="preserve"> AOB data calls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showed an increase in AOB use from </w:t>
      </w:r>
      <w:r w:rsidRPr="00B6688A">
        <w:rPr>
          <w:rFonts w:asciiTheme="majorHAnsi" w:eastAsia="Calibri" w:hAnsiTheme="majorHAnsi" w:cstheme="majorHAnsi"/>
          <w:highlight w:val="white"/>
        </w:rPr>
        <w:lastRenderedPageBreak/>
        <w:t>12.8% to 17% of claims, and AOB claims averaged at least 85% higher in severity over non-AOB claims.</w:t>
      </w:r>
    </w:p>
    <w:p w14:paraId="47ED4ADF" w14:textId="3F436CC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On the other hand, a paper by NAIC Consumer Representative Kenneth</w:t>
      </w:r>
      <w:r w:rsidR="007F79D5">
        <w:rPr>
          <w:rFonts w:asciiTheme="majorHAnsi" w:eastAsia="Calibri" w:hAnsiTheme="majorHAnsi" w:cstheme="majorHAnsi"/>
          <w:highlight w:val="white"/>
        </w:rPr>
        <w:t xml:space="preserve"> S.</w:t>
      </w:r>
      <w:r w:rsidRPr="00B6688A">
        <w:rPr>
          <w:rFonts w:asciiTheme="majorHAnsi" w:eastAsia="Calibri" w:hAnsiTheme="majorHAnsi" w:cstheme="majorHAnsi"/>
          <w:highlight w:val="white"/>
        </w:rPr>
        <w:t xml:space="preserve"> Klein asserts that </w:t>
      </w:r>
      <w:r w:rsidR="003E4F05" w:rsidRPr="00B6688A">
        <w:rPr>
          <w:rFonts w:asciiTheme="majorHAnsi" w:eastAsia="Calibri" w:hAnsiTheme="majorHAnsi" w:cstheme="majorHAnsi"/>
          <w:highlight w:val="white"/>
        </w:rPr>
        <w:t>reliable data supporting tort limits are hard to come by, and lawmakers and regulators should be wary of new rules that could hamstring meritorious claims by</w:t>
      </w:r>
      <w:r w:rsidRPr="00B6688A">
        <w:rPr>
          <w:rFonts w:asciiTheme="majorHAnsi" w:eastAsia="Calibri" w:hAnsiTheme="majorHAnsi" w:cstheme="majorHAnsi"/>
          <w:highlight w:val="white"/>
        </w:rPr>
        <w:t xml:space="preserve"> honest policyholders. He also pointed out that higher jury awards do not necessarily translate into higher insurance costs, as many states prohibit insurers from paying punitive damages.</w:t>
      </w:r>
      <w:r w:rsidRPr="00B6688A">
        <w:rPr>
          <w:rFonts w:asciiTheme="majorHAnsi" w:eastAsia="Calibri" w:hAnsiTheme="majorHAnsi" w:cstheme="majorHAnsi"/>
          <w:highlight w:val="white"/>
          <w:vertAlign w:val="superscript"/>
        </w:rPr>
        <w:footnoteReference w:id="65"/>
      </w:r>
      <w:r w:rsidRPr="00B6688A">
        <w:rPr>
          <w:rFonts w:asciiTheme="majorHAnsi" w:eastAsia="Calibri" w:hAnsiTheme="majorHAnsi" w:cstheme="majorHAnsi"/>
          <w:highlight w:val="white"/>
        </w:rPr>
        <w:t xml:space="preserve"> </w:t>
      </w:r>
    </w:p>
    <w:p w14:paraId="47ED4AE0" w14:textId="478993DA" w:rsidR="00FB1243" w:rsidRPr="00B6688A" w:rsidRDefault="007413BF">
      <w:pPr>
        <w:pStyle w:val="Heading4"/>
        <w:rPr>
          <w:rFonts w:asciiTheme="majorHAnsi" w:hAnsiTheme="majorHAnsi" w:cstheme="majorHAnsi"/>
        </w:rPr>
      </w:pPr>
      <w:bookmarkStart w:id="27" w:name="_duv7akt59sgy" w:colFirst="0" w:colLast="0"/>
      <w:bookmarkEnd w:id="27"/>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pPr>
        <w:jc w:val="both"/>
        <w:rPr>
          <w:rFonts w:asciiTheme="majorHAnsi" w:eastAsia="Calibri" w:hAnsiTheme="majorHAnsi" w:cstheme="majorHAnsi"/>
        </w:rPr>
      </w:pPr>
      <w:r>
        <w:rPr>
          <w:rFonts w:asciiTheme="majorHAnsi" w:eastAsia="Calibri" w:hAnsiTheme="majorHAnsi" w:cstheme="majorHAnsi"/>
        </w:rPr>
        <w:t>Home</w:t>
      </w:r>
      <w:r w:rsidR="00326E75">
        <w:rPr>
          <w:rFonts w:asciiTheme="majorHAnsi" w:eastAsia="Calibri" w:hAnsiTheme="majorHAnsi" w:cstheme="majorHAnsi"/>
        </w:rPr>
        <w:t xml:space="preserve">owners </w:t>
      </w:r>
      <w:r w:rsidR="009F67CD">
        <w:rPr>
          <w:rFonts w:asciiTheme="majorHAnsi" w:eastAsia="Calibri" w:hAnsiTheme="majorHAnsi" w:cstheme="majorHAnsi"/>
        </w:rPr>
        <w:t>a</w:t>
      </w:r>
      <w:r w:rsidR="00326E75">
        <w:rPr>
          <w:rFonts w:asciiTheme="majorHAnsi" w:eastAsia="Calibri" w:hAnsiTheme="majorHAnsi" w:cstheme="majorHAnsi"/>
        </w:rPr>
        <w:t>ssociations (</w:t>
      </w:r>
      <w:r w:rsidR="007413BF" w:rsidRPr="00B6688A">
        <w:rPr>
          <w:rFonts w:asciiTheme="majorHAnsi" w:eastAsia="Calibri" w:hAnsiTheme="majorHAnsi" w:cstheme="majorHAnsi"/>
        </w:rPr>
        <w:t>HOAs</w:t>
      </w:r>
      <w:r w:rsidR="00326E75">
        <w:rPr>
          <w:rFonts w:asciiTheme="majorHAnsi" w:eastAsia="Calibri" w:hAnsiTheme="majorHAnsi" w:cstheme="majorHAnsi"/>
        </w:rPr>
        <w:t>)</w:t>
      </w:r>
      <w:r w:rsidR="007413BF" w:rsidRPr="00B6688A">
        <w:rPr>
          <w:rFonts w:asciiTheme="majorHAnsi" w:eastAsia="Calibri" w:hAnsiTheme="majorHAnsi" w:cstheme="majorHAnsi"/>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individual homeowners </w:t>
      </w:r>
      <w:r w:rsidR="009F67CD">
        <w:rPr>
          <w:rFonts w:asciiTheme="majorHAnsi" w:eastAsia="Calibri" w:hAnsiTheme="majorHAnsi" w:cstheme="majorHAnsi"/>
        </w:rPr>
        <w:t xml:space="preserve">insurance </w:t>
      </w:r>
      <w:r w:rsidR="007413BF" w:rsidRPr="00B6688A">
        <w:rPr>
          <w:rFonts w:asciiTheme="majorHAnsi" w:eastAsia="Calibri" w:hAnsiTheme="majorHAnsi" w:cstheme="majorHAnsi"/>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From an insurer's perspective, losses in the HOA segment are not isolated. Many insurers write both single-family homeowners policies and HOA master policies, often supported by shared capital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arrangements. Elevated loss frequency or severity in the HOA segment can therefore contribute to broader underwriting retrenchment, higher reinsurance costs, and reduced capacity across an insurer’s entire residential portfolio, including single-family homeowners coverage.</w:t>
      </w:r>
    </w:p>
    <w:p w14:paraId="47ED4AE3" w14:textId="5116F20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HOAs typically purchase commercial master policies, funded through homeowners association dues, that cover common areas, such as roofs, and liability for shared spaces. Recent reports </w:t>
      </w:r>
      <w:r w:rsidRPr="00B6688A">
        <w:rPr>
          <w:rFonts w:asciiTheme="majorHAnsi" w:eastAsia="Calibri" w:hAnsiTheme="majorHAnsi" w:cstheme="majorHAnsi"/>
        </w:rPr>
        <w:lastRenderedPageBreak/>
        <w:t>from states across the country highlight the challenges in the HOA space.</w:t>
      </w:r>
      <w:r w:rsidRPr="00B6688A">
        <w:rPr>
          <w:rFonts w:asciiTheme="majorHAnsi" w:eastAsia="Calibri" w:hAnsiTheme="majorHAnsi" w:cstheme="majorHAnsi"/>
          <w:vertAlign w:val="superscript"/>
        </w:rPr>
        <w:footnoteReference w:id="66"/>
      </w:r>
      <w:r w:rsidR="00EF35BE" w:rsidRPr="00E442F9">
        <w:rPr>
          <w:rFonts w:asciiTheme="majorHAnsi" w:eastAsia="Calibri" w:hAnsiTheme="majorHAnsi" w:cstheme="majorHAnsi"/>
          <w:vertAlign w:val="superscript"/>
        </w:rPr>
        <w:t>,</w:t>
      </w:r>
      <w:r w:rsidR="006B2CBA" w:rsidRPr="00E442F9">
        <w:rPr>
          <w:rStyle w:val="FootnoteReference"/>
          <w:rFonts w:asciiTheme="majorHAnsi" w:eastAsia="Calibri" w:hAnsiTheme="majorHAnsi" w:cstheme="majorHAnsi"/>
        </w:rPr>
        <w:footnoteReference w:id="67"/>
      </w:r>
      <w:r w:rsidR="00E442F9">
        <w:rPr>
          <w:rFonts w:asciiTheme="majorHAnsi" w:eastAsia="Calibri" w:hAnsiTheme="majorHAnsi" w:cstheme="majorHAnsi"/>
          <w:vertAlign w:val="superscript"/>
        </w:rPr>
        <w:t>,</w:t>
      </w:r>
      <w:r w:rsidR="00E442F9">
        <w:rPr>
          <w:rStyle w:val="FootnoteReference"/>
          <w:rFonts w:asciiTheme="majorHAnsi" w:eastAsia="Calibri" w:hAnsiTheme="majorHAnsi" w:cstheme="majorHAnsi"/>
        </w:rPr>
        <w:footnoteReference w:id="68"/>
      </w:r>
      <w:r w:rsidR="008F2742">
        <w:rPr>
          <w:rFonts w:asciiTheme="majorHAnsi" w:eastAsia="Calibri" w:hAnsiTheme="majorHAnsi" w:cstheme="majorHAnsi"/>
          <w:vertAlign w:val="superscript"/>
        </w:rPr>
        <w:t>,</w:t>
      </w:r>
      <w:r w:rsidR="008F2742">
        <w:rPr>
          <w:rStyle w:val="FootnoteReference"/>
          <w:rFonts w:asciiTheme="majorHAnsi" w:eastAsia="Calibri" w:hAnsiTheme="majorHAnsi" w:cstheme="majorHAnsi"/>
        </w:rPr>
        <w:footnoteReference w:id="69"/>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More than 90% of respondents in an April 2025 survey </w:t>
      </w:r>
      <w:hyperlink r:id="rId14">
        <w:r w:rsidR="00FB1243" w:rsidRPr="00B6688A">
          <w:rPr>
            <w:rFonts w:asciiTheme="majorHAnsi" w:eastAsia="Calibri" w:hAnsiTheme="majorHAnsi" w:cstheme="majorHAnsi"/>
            <w:highlight w:val="white"/>
          </w:rPr>
          <w:t>conducted by the Foundation for Community Association Research</w:t>
        </w:r>
      </w:hyperlink>
      <w:r w:rsidRPr="00B6688A">
        <w:rPr>
          <w:rFonts w:asciiTheme="majorHAnsi" w:eastAsia="Calibri" w:hAnsiTheme="majorHAnsi" w:cstheme="majorHAnsi"/>
          <w:highlight w:val="white"/>
        </w:rPr>
        <w:t xml:space="preserve"> reported that their </w:t>
      </w:r>
      <w:r w:rsidR="00BE6392">
        <w:rPr>
          <w:rFonts w:asciiTheme="majorHAnsi" w:eastAsia="Calibri" w:hAnsiTheme="majorHAnsi" w:cstheme="majorHAnsi"/>
          <w:highlight w:val="white"/>
        </w:rPr>
        <w:t>P/C</w:t>
      </w:r>
      <w:r w:rsidRPr="00B6688A">
        <w:rPr>
          <w:rFonts w:asciiTheme="majorHAnsi" w:eastAsia="Calibri" w:hAnsiTheme="majorHAnsi" w:cstheme="majorHAnsi"/>
          <w:highlight w:val="white"/>
        </w:rPr>
        <w:t xml:space="preserve"> insurance premiums had increased at the last or current renewal. Specifically, 24% cited an increase of $101</w:t>
      </w:r>
      <w:r w:rsidR="00B451CF" w:rsidRPr="00B451CF">
        <w:rPr>
          <w:rFonts w:asciiTheme="majorHAnsi" w:eastAsia="Calibri" w:hAnsiTheme="majorHAnsi" w:cstheme="majorHAnsi"/>
        </w:rPr>
        <w:t>–</w:t>
      </w:r>
      <w:r w:rsidRPr="00B6688A">
        <w:rPr>
          <w:rFonts w:asciiTheme="majorHAnsi" w:eastAsia="Calibri" w:hAnsiTheme="majorHAnsi" w:cstheme="majorHAnsi"/>
          <w:highlight w:val="white"/>
        </w:rPr>
        <w:t>$500, and 14% reported a larger increase.</w:t>
      </w:r>
      <w:r w:rsidRPr="00B6688A">
        <w:rPr>
          <w:rFonts w:asciiTheme="majorHAnsi" w:eastAsia="Calibri" w:hAnsiTheme="majorHAnsi" w:cstheme="majorHAnsi"/>
          <w:color w:val="4A5156"/>
          <w:highlight w:val="white"/>
          <w:vertAlign w:val="superscript"/>
        </w:rPr>
        <w:footnoteReference w:id="70"/>
      </w:r>
    </w:p>
    <w:p w14:paraId="47ED4AE4" w14:textId="5FDA32A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One key concern with HOAs is </w:t>
      </w:r>
      <w:r w:rsidR="001D4E53" w:rsidRPr="00B6688A">
        <w:rPr>
          <w:rFonts w:asciiTheme="majorHAnsi" w:eastAsia="Calibri" w:hAnsiTheme="majorHAnsi" w:cstheme="majorHAnsi"/>
        </w:rPr>
        <w:t xml:space="preserve">reserve adequacy, a </w:t>
      </w:r>
      <w:r w:rsidR="001D4E53" w:rsidRPr="00702B45">
        <w:rPr>
          <w:rFonts w:asciiTheme="majorHAnsi" w:eastAsia="Calibri" w:hAnsiTheme="majorHAnsi" w:cstheme="majorHAnsi"/>
        </w:rPr>
        <w:t xml:space="preserve">strong indicator of an HOA’s financial stability and </w:t>
      </w:r>
      <w:r w:rsidRPr="00702B45">
        <w:rPr>
          <w:rFonts w:asciiTheme="majorHAnsi" w:eastAsia="Calibri" w:hAnsiTheme="majorHAnsi" w:cstheme="majorHAnsi"/>
        </w:rPr>
        <w:t xml:space="preserve">ability to maintain major building components. </w:t>
      </w:r>
      <w:r w:rsidR="006308D6" w:rsidRPr="00702B45">
        <w:rPr>
          <w:rFonts w:asciiTheme="majorHAnsi" w:eastAsia="Calibri" w:hAnsiTheme="majorHAnsi" w:cstheme="majorHAnsi"/>
        </w:rPr>
        <w:t>An analysis of over 100,000 Reserve Studies prepared by Association Reserves from 1986 to 2025 indicates that 74% of associations are underfunded or severely underfunded relative to their projected capital needs.</w:t>
      </w:r>
      <w:r w:rsidRPr="00702B45">
        <w:rPr>
          <w:rFonts w:asciiTheme="majorHAnsi" w:eastAsia="Calibri" w:hAnsiTheme="majorHAnsi" w:cstheme="majorHAnsi"/>
          <w:vertAlign w:val="superscript"/>
        </w:rPr>
        <w:footnoteReference w:id="71"/>
      </w:r>
      <w:r w:rsidRPr="00702B45">
        <w:rPr>
          <w:rFonts w:asciiTheme="majorHAnsi" w:eastAsia="Calibri" w:hAnsiTheme="majorHAnsi" w:cstheme="majorHAnsi"/>
        </w:rPr>
        <w:t xml:space="preserve"> Insufficient reserves often force communities to defer 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w:t>
      </w:r>
      <w:r w:rsidRPr="00B6688A">
        <w:rPr>
          <w:rFonts w:asciiTheme="majorHAnsi" w:eastAsia="Calibri" w:hAnsiTheme="majorHAnsi" w:cstheme="majorHAnsi"/>
        </w:rPr>
        <w:t>, deferred maintenance can increase the likelihood of large, correlated losses and more severe claims outcomes.</w:t>
      </w:r>
    </w:p>
    <w:p w14:paraId="47ED4AE5" w14:textId="3A2990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Another factor unique to HOAs shaping insurance outcomes is the structure of an HOA’s covenants, conditions, and restrictions (CC&amp;Rs), which determine whether the association or individual homeowners are responsible for specific building components. These documents are unique: some associations assume full responsibility for roofs, exterior walls, and primary utility systems, while others shift more obligations to individual owners. This can be further complicated </w:t>
      </w:r>
      <w:r w:rsidRPr="00B6688A">
        <w:rPr>
          <w:rFonts w:asciiTheme="majorHAnsi" w:eastAsia="Calibri" w:hAnsiTheme="majorHAnsi" w:cstheme="majorHAnsi"/>
        </w:rPr>
        <w:lastRenderedPageBreak/>
        <w:t xml:space="preserve">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Pr>
          <w:rFonts w:asciiTheme="majorHAnsi" w:eastAsia="Calibri" w:hAnsiTheme="majorHAnsi" w:cstheme="majorHAnsi"/>
        </w:rPr>
        <w:t>complicating the determination of</w:t>
      </w:r>
      <w:r w:rsidRPr="00B6688A">
        <w:rPr>
          <w:rFonts w:asciiTheme="majorHAnsi" w:eastAsia="Calibri" w:hAnsiTheme="majorHAnsi" w:cstheme="majorHAnsi"/>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28" w:name="_74y6f133ofql" w:colFirst="0" w:colLast="0"/>
      <w:bookmarkStart w:id="29" w:name="_Toc236057850"/>
      <w:bookmarkEnd w:id="28"/>
      <w:r w:rsidRPr="00B6688A">
        <w:rPr>
          <w:rFonts w:asciiTheme="majorHAnsi" w:hAnsiTheme="majorHAnsi" w:cstheme="majorHAnsi"/>
        </w:rPr>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29"/>
    </w:p>
    <w:p w14:paraId="47ED4AE8" w14:textId="77777777" w:rsidR="00FB1243" w:rsidRPr="00B6688A" w:rsidRDefault="007413BF" w:rsidP="00A712B7">
      <w:pPr>
        <w:pStyle w:val="Heading3"/>
        <w:rPr>
          <w:rFonts w:asciiTheme="majorHAnsi" w:hAnsiTheme="majorHAnsi" w:cstheme="majorHAnsi"/>
        </w:rPr>
      </w:pPr>
      <w:bookmarkStart w:id="30" w:name="_1b4u4h661wh3" w:colFirst="0" w:colLast="0"/>
      <w:bookmarkStart w:id="31" w:name="_Toc236057851"/>
      <w:bookmarkEnd w:id="30"/>
      <w:r w:rsidRPr="00B6688A">
        <w:rPr>
          <w:rFonts w:asciiTheme="majorHAnsi" w:hAnsiTheme="majorHAnsi" w:cstheme="majorHAnsi"/>
        </w:rPr>
        <w:t>Increased Rate Trends, Therefore, Higher Policyholder Premiums</w:t>
      </w:r>
      <w:bookmarkEnd w:id="31"/>
    </w:p>
    <w:p w14:paraId="47ED4AE9" w14:textId="5D0E35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Homeowners insurance premiums have increased across the United States, with growth accelerating in recent years.</w:t>
      </w:r>
      <w:r w:rsidRPr="00B6688A">
        <w:rPr>
          <w:rFonts w:asciiTheme="majorHAnsi" w:eastAsia="Calibri" w:hAnsiTheme="majorHAnsi" w:cstheme="majorHAnsi"/>
          <w:color w:val="000000"/>
          <w:vertAlign w:val="superscript"/>
        </w:rPr>
        <w:footnoteReference w:id="72"/>
      </w:r>
      <w:r w:rsidR="00EF44E3" w:rsidRPr="00B6688A">
        <w:rPr>
          <w:rFonts w:asciiTheme="majorHAnsi" w:eastAsia="Calibri" w:hAnsiTheme="majorHAnsi" w:cstheme="majorHAnsi"/>
          <w:color w:val="000000"/>
          <w:vertAlign w:val="superscript"/>
        </w:rPr>
        <w:t>,</w:t>
      </w:r>
      <w:r w:rsidR="00A81209" w:rsidRPr="00B6688A">
        <w:rPr>
          <w:rStyle w:val="FootnoteReference"/>
          <w:rFonts w:asciiTheme="majorHAnsi" w:eastAsia="Calibri" w:hAnsiTheme="majorHAnsi" w:cstheme="majorHAnsi"/>
          <w:color w:val="000000"/>
        </w:rPr>
        <w:footnoteReference w:id="73"/>
      </w:r>
      <w:r w:rsidRPr="00B6688A">
        <w:rPr>
          <w:rFonts w:asciiTheme="majorHAnsi" w:eastAsia="Calibri" w:hAnsiTheme="majorHAnsi" w:cstheme="majorHAnsi"/>
          <w:color w:val="000000"/>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00B6688A">
        <w:rPr>
          <w:rFonts w:asciiTheme="majorHAnsi" w:eastAsia="Calibri" w:hAnsiTheme="majorHAnsi" w:cstheme="majorHAnsi"/>
          <w:color w:val="000000"/>
        </w:rPr>
        <w:t>the recent increase in</w:t>
      </w:r>
      <w:r w:rsidRPr="00B6688A">
        <w:rPr>
          <w:rFonts w:asciiTheme="majorHAnsi" w:eastAsia="Calibri" w:hAnsiTheme="majorHAnsi" w:cstheme="majorHAnsi"/>
          <w:color w:val="000000"/>
        </w:rPr>
        <w:t xml:space="preserve"> expected losses.</w:t>
      </w:r>
    </w:p>
    <w:p w14:paraId="47ED4AEA" w14:textId="303150B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rising markedly over the past two decades. This increase is driven by more frequent severe 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losses.</w:t>
      </w:r>
      <w:r w:rsidRPr="00B6688A">
        <w:rPr>
          <w:rFonts w:asciiTheme="majorHAnsi" w:eastAsia="Calibri" w:hAnsiTheme="majorHAnsi" w:cstheme="majorHAnsi"/>
          <w:color w:val="000000"/>
          <w:vertAlign w:val="superscript"/>
        </w:rPr>
        <w:footnoteReference w:id="74"/>
      </w:r>
      <w:r w:rsidRPr="00B6688A">
        <w:rPr>
          <w:rFonts w:asciiTheme="majorHAnsi" w:eastAsia="Calibri" w:hAnsiTheme="majorHAnsi" w:cstheme="majorHAnsi"/>
          <w:color w:val="000000"/>
        </w:rPr>
        <w:t xml:space="preserve"> Over time, sustained catastrophe losses place upward pressure on premium rates to reflect higher expected claim costs. </w:t>
      </w:r>
    </w:p>
    <w:p w14:paraId="47ED4AEB" w14:textId="6408A5D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Aon reports that</w:t>
      </w:r>
      <w:r w:rsidR="009D454B" w:rsidRPr="00B6688A">
        <w:rPr>
          <w:rFonts w:asciiTheme="majorHAnsi" w:eastAsia="Calibri" w:hAnsiTheme="majorHAnsi" w:cstheme="majorHAnsi"/>
          <w:color w:val="000000"/>
        </w:rPr>
        <w:t xml:space="preserve"> in 2025, catastrophic events drove insured losses in the U.S. above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 xml:space="preserve">100 billion for the seventh time on record, reaching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103 billion and accounting for</w:t>
      </w:r>
      <w:r w:rsidRPr="00B6688A">
        <w:rPr>
          <w:rFonts w:asciiTheme="majorHAnsi" w:eastAsia="Calibri" w:hAnsiTheme="majorHAnsi" w:cstheme="majorHAnsi"/>
          <w:color w:val="000000"/>
        </w:rPr>
        <w:t xml:space="preserve"> 81% of global insured natural catastrophe losses.</w:t>
      </w:r>
      <w:r w:rsidRPr="00B6688A">
        <w:rPr>
          <w:rFonts w:asciiTheme="majorHAnsi" w:eastAsia="Calibri" w:hAnsiTheme="majorHAnsi" w:cstheme="majorHAnsi"/>
          <w:color w:val="000000"/>
          <w:vertAlign w:val="superscript"/>
        </w:rPr>
        <w:footnoteReference w:id="75"/>
      </w:r>
    </w:p>
    <w:p w14:paraId="47ED4AEC" w14:textId="3ACFC99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bookmarkStart w:id="32" w:name="_78p240uhq4q3" w:colFirst="0" w:colLast="0"/>
      <w:bookmarkEnd w:id="32"/>
      <w:r w:rsidRPr="00B6688A">
        <w:rPr>
          <w:rFonts w:asciiTheme="majorHAnsi" w:eastAsia="Calibri" w:hAnsiTheme="majorHAnsi" w:cstheme="majorHAnsi"/>
          <w:color w:val="000000"/>
        </w:rPr>
        <w:t>The cost of these losses has been magnified by development patterns discussed earlier in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has expanded overall insured exposures. A 2023 report from the </w:t>
      </w:r>
      <w:r w:rsidR="00503A23" w:rsidRPr="00503A23">
        <w:rPr>
          <w:rFonts w:asciiTheme="majorHAnsi" w:eastAsia="Calibri" w:hAnsiTheme="majorHAnsi" w:cstheme="majorHAnsi"/>
          <w:color w:val="000000"/>
        </w:rPr>
        <w:t>U.S. Department of Agriculture</w:t>
      </w:r>
      <w:r w:rsidR="00503A23">
        <w:rPr>
          <w:rFonts w:asciiTheme="majorHAnsi" w:eastAsia="Calibri" w:hAnsiTheme="majorHAnsi" w:cstheme="majorHAnsi"/>
          <w:color w:val="000000"/>
        </w:rPr>
        <w:t xml:space="preserve"> </w:t>
      </w:r>
      <w:r w:rsidR="00503A23">
        <w:rPr>
          <w:rFonts w:asciiTheme="majorHAnsi" w:eastAsia="Calibri" w:hAnsiTheme="majorHAnsi" w:cstheme="majorHAnsi"/>
          <w:color w:val="000000"/>
        </w:rPr>
        <w:lastRenderedPageBreak/>
        <w:t>(</w:t>
      </w:r>
      <w:r w:rsidRPr="00B6688A">
        <w:rPr>
          <w:rFonts w:asciiTheme="majorHAnsi" w:eastAsia="Calibri" w:hAnsiTheme="majorHAnsi" w:cstheme="majorHAnsi"/>
          <w:color w:val="000000"/>
        </w:rPr>
        <w:t>USDA</w:t>
      </w:r>
      <w:r w:rsidR="00503A2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Forest Service estimated that the share of housing located in high </w:t>
      </w:r>
      <w:r w:rsidR="00874592" w:rsidRPr="00B6688A">
        <w:rPr>
          <w:rFonts w:asciiTheme="majorHAnsi" w:eastAsia="Calibri" w:hAnsiTheme="majorHAnsi" w:cstheme="majorHAnsi"/>
          <w:color w:val="000000"/>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00B6688A">
        <w:rPr>
          <w:rFonts w:asciiTheme="majorHAnsi" w:eastAsia="Calibri" w:hAnsiTheme="majorHAnsi" w:cstheme="majorHAnsi"/>
          <w:color w:val="000000"/>
        </w:rPr>
        <w:t xml:space="preserve">) in the United States, increased by </w:t>
      </w:r>
      <w:r w:rsidRPr="00B6688A">
        <w:rPr>
          <w:rFonts w:asciiTheme="majorHAnsi" w:eastAsia="Calibri" w:hAnsiTheme="majorHAnsi" w:cstheme="majorHAnsi"/>
          <w:color w:val="000000"/>
        </w:rPr>
        <w:t>47</w:t>
      </w:r>
      <w:r w:rsidR="00860A01">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between 1990 and 2020.</w:t>
      </w:r>
      <w:r w:rsidRPr="00B6688A">
        <w:rPr>
          <w:rFonts w:asciiTheme="majorHAnsi" w:eastAsia="Calibri" w:hAnsiTheme="majorHAnsi" w:cstheme="majorHAnsi"/>
          <w:color w:val="000000"/>
          <w:vertAlign w:val="superscript"/>
        </w:rPr>
        <w:footnoteReference w:id="76"/>
      </w:r>
      <w:r w:rsidRPr="00B6688A">
        <w:rPr>
          <w:rFonts w:asciiTheme="majorHAnsi" w:eastAsia="Calibri" w:hAnsiTheme="majorHAnsi" w:cstheme="majorHAnsi"/>
          <w:color w:val="000000"/>
        </w:rPr>
        <w:t xml:space="preserve"> Population growth, persistent housing shortages, and high land costs in urban cores have pushed development outward to areas where land is more available and initially more affordable. However, this expansion has increased the number of homes exposed to wildfire hazards, raising insurers’ projected losses and </w:t>
      </w:r>
      <w:r w:rsidR="00874592" w:rsidRPr="00B6688A">
        <w:rPr>
          <w:rFonts w:asciiTheme="majorHAnsi" w:eastAsia="Calibri" w:hAnsiTheme="majorHAnsi" w:cstheme="majorHAnsi"/>
          <w:color w:val="000000"/>
        </w:rPr>
        <w:t>the corresponding pressure on premium rate requirements</w:t>
      </w:r>
      <w:r w:rsidRPr="00B6688A">
        <w:rPr>
          <w:rFonts w:asciiTheme="majorHAnsi" w:eastAsia="Calibri" w:hAnsiTheme="majorHAnsi" w:cstheme="majorHAnsi"/>
          <w:color w:val="000000"/>
        </w:rPr>
        <w:t xml:space="preserve">. At the same time, inflation has increased the average claim severity. </w:t>
      </w:r>
    </w:p>
    <w:p w14:paraId="47ED4AED"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Rising construction and labor costs have made rebuilding damaged homes more expensive than a decade ago, leading insurers to raise rates. Additionally, rising property values, particularly in fast</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growing metropolitan areas and coastal areas, add risk and further pressure rates. Combined, higher catastrophe losses, exposure, and rebuilding costs pressure insurers’ underwriting results, prompting rate increases, especially in catastrophe</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 xml:space="preserve">prone regions, to ensure solvency. </w:t>
      </w:r>
    </w:p>
    <w:p w14:paraId="47ED4AEE" w14:textId="37E982C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As premiums rise, the affordability of homeowners insurance becomes more pressing. Due to growing losses and challenges aligning rates with risk in some catastrophe-prone states, some insurers have scaled back their appetite for new business or exited certain areas. This has contributed to increased reliance on residual market mechanisms </w:t>
      </w:r>
      <w:r w:rsidR="005235A3">
        <w:rPr>
          <w:rFonts w:asciiTheme="majorHAnsi" w:eastAsia="Calibri" w:hAnsiTheme="majorHAnsi" w:cstheme="majorHAnsi"/>
          <w:color w:val="000000"/>
        </w:rPr>
        <w:t>such as</w:t>
      </w:r>
      <w:r w:rsidRPr="00B6688A">
        <w:rPr>
          <w:rFonts w:asciiTheme="majorHAnsi" w:eastAsia="Calibri" w:hAnsiTheme="majorHAnsi" w:cstheme="majorHAnsi"/>
          <w:color w:val="000000"/>
        </w:rPr>
        <w:t xml:space="preserve"> </w:t>
      </w:r>
      <w:r w:rsidR="005235A3" w:rsidRPr="005235A3">
        <w:rPr>
          <w:rFonts w:asciiTheme="majorHAnsi" w:eastAsia="Calibri" w:hAnsiTheme="majorHAnsi" w:cstheme="majorHAnsi"/>
          <w:color w:val="000000"/>
        </w:rPr>
        <w:t>Fair Access to Insurance Requirements</w:t>
      </w:r>
      <w:r w:rsidR="005235A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FAIR</w:t>
      </w:r>
      <w:r w:rsidR="005235A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5235A3">
        <w:rPr>
          <w:rFonts w:asciiTheme="majorHAnsi" w:eastAsia="Calibri" w:hAnsiTheme="majorHAnsi" w:cstheme="majorHAnsi"/>
          <w:color w:val="000000"/>
        </w:rPr>
        <w:t>p</w:t>
      </w:r>
      <w:r w:rsidRPr="00B6688A">
        <w:rPr>
          <w:rFonts w:asciiTheme="majorHAnsi" w:eastAsia="Calibri" w:hAnsiTheme="majorHAnsi" w:cstheme="majorHAnsi"/>
          <w:color w:val="000000"/>
        </w:rPr>
        <w:t>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which function as insurers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with limited coverage but have recently represented an elevated share of written policies in some areas. In other cases, households turn to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carriers outside the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AEF"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taking action to better understand what is happening in their markets, 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33" w:name="_p6ew9jthbhu3" w:colFirst="0" w:colLast="0"/>
      <w:bookmarkStart w:id="34" w:name="_Toc236057852"/>
      <w:bookmarkEnd w:id="33"/>
      <w:r w:rsidRPr="00B6688A">
        <w:rPr>
          <w:rFonts w:asciiTheme="majorHAnsi" w:hAnsiTheme="majorHAnsi" w:cstheme="majorHAnsi"/>
        </w:rPr>
        <w:lastRenderedPageBreak/>
        <w:t>Policyholder Impact and Availability</w:t>
      </w:r>
      <w:bookmarkEnd w:id="34"/>
    </w:p>
    <w:p w14:paraId="47ED4AF1" w14:textId="34604F1C" w:rsidR="00FB1243" w:rsidRPr="00B6688A" w:rsidRDefault="007413BF">
      <w:pPr>
        <w:pStyle w:val="Heading4"/>
        <w:rPr>
          <w:rFonts w:asciiTheme="majorHAnsi" w:hAnsiTheme="majorHAnsi" w:cstheme="majorHAnsi"/>
        </w:rPr>
      </w:pPr>
      <w:bookmarkStart w:id="35" w:name="_niav2782zqhd" w:colFirst="0" w:colLast="0"/>
      <w:bookmarkEnd w:id="35"/>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00B6688A">
        <w:rPr>
          <w:rFonts w:ascii="Cambria Math" w:eastAsia="Cambria Math" w:hAnsi="Cambria Math" w:cs="Cambria Math"/>
        </w:rPr>
        <w:t>‑</w:t>
      </w:r>
      <w:r w:rsidRPr="00B6688A">
        <w:rPr>
          <w:rFonts w:asciiTheme="majorHAnsi" w:eastAsia="Calibri" w:hAnsiTheme="majorHAnsi" w:cstheme="majorHAnsi"/>
        </w:rPr>
        <w:t>risk areas have experienced double</w:t>
      </w:r>
      <w:r w:rsidRPr="00B6688A">
        <w:rPr>
          <w:rFonts w:ascii="Cambria Math" w:eastAsia="Cambria Math" w:hAnsi="Cambria Math" w:cs="Cambria Math"/>
        </w:rPr>
        <w:t>‑</w:t>
      </w:r>
      <w:r w:rsidRPr="00B6688A">
        <w:rPr>
          <w:rFonts w:asciiTheme="majorHAnsi" w:eastAsia="Calibri" w:hAnsiTheme="majorHAnsi" w:cstheme="majorHAnsi"/>
        </w:rPr>
        <w:t>digit rate hikes, with average premiums rising far faster than inflation. For example, from 2018 to 2023, average homeowners</w:t>
      </w:r>
      <w:r w:rsidR="00BD5E9B">
        <w:rPr>
          <w:rFonts w:asciiTheme="majorHAnsi" w:eastAsia="Calibri" w:hAnsiTheme="majorHAnsi" w:cstheme="majorHAnsi"/>
        </w:rPr>
        <w:t xml:space="preserve"> insurance</w:t>
      </w:r>
      <w:r w:rsidRPr="00B6688A">
        <w:rPr>
          <w:rFonts w:asciiTheme="majorHAnsi" w:eastAsia="Calibri" w:hAnsiTheme="majorHAnsi" w:cstheme="majorHAnsi"/>
        </w:rPr>
        <w:t xml:space="preserve"> premiums increased between 13% and 38% nationally, with even sharper increases in catastrophe</w:t>
      </w:r>
      <w:r w:rsidRPr="00B6688A">
        <w:rPr>
          <w:rFonts w:ascii="Cambria Math" w:eastAsia="Cambria Math" w:hAnsi="Cambria Math" w:cs="Cambria Math"/>
        </w:rPr>
        <w:t>‑</w:t>
      </w:r>
      <w:r w:rsidRPr="00B6688A">
        <w:rPr>
          <w:rFonts w:asciiTheme="majorHAnsi" w:eastAsia="Calibri" w:hAnsiTheme="majorHAnsi" w:cstheme="majorHAnsi"/>
        </w:rPr>
        <w:t>exposed regions.</w:t>
      </w:r>
      <w:r w:rsidRPr="00B6688A">
        <w:rPr>
          <w:rFonts w:asciiTheme="majorHAnsi" w:eastAsia="Calibri" w:hAnsiTheme="majorHAnsi" w:cstheme="majorHAnsi"/>
          <w:vertAlign w:val="superscript"/>
        </w:rPr>
        <w:footnoteReference w:id="77"/>
      </w:r>
      <w:r w:rsidRPr="00B6688A">
        <w:rPr>
          <w:rFonts w:asciiTheme="majorHAnsi" w:eastAsia="Calibri" w:hAnsiTheme="majorHAnsi" w:cstheme="majorHAnsi"/>
        </w:rPr>
        <w:t xml:space="preserve"> For many families, this means paying significantly more for the same</w:t>
      </w:r>
      <w:r w:rsidR="00CE643B">
        <w:rPr>
          <w:rFonts w:asciiTheme="majorHAnsi" w:eastAsia="Calibri" w:hAnsiTheme="majorHAnsi" w:cstheme="majorHAnsi"/>
        </w:rPr>
        <w:t xml:space="preserve"> </w:t>
      </w:r>
      <w:r w:rsidRPr="00B6688A">
        <w:rPr>
          <w:rFonts w:asciiTheme="majorHAnsi" w:eastAsia="Calibri" w:hAnsiTheme="majorHAnsi" w:cstheme="majorHAnsi"/>
        </w:rPr>
        <w:t>or even reduced</w:t>
      </w:r>
      <w:r w:rsidR="00CE643B">
        <w:rPr>
          <w:rFonts w:asciiTheme="majorHAnsi" w:eastAsia="Calibri" w:hAnsiTheme="majorHAnsi" w:cstheme="majorHAnsi"/>
        </w:rPr>
        <w:t xml:space="preserve"> </w:t>
      </w:r>
      <w:r w:rsidRPr="00B6688A">
        <w:rPr>
          <w:rFonts w:asciiTheme="majorHAnsi" w:eastAsia="Calibri" w:hAnsiTheme="majorHAnsi" w:cstheme="majorHAnsi"/>
        </w:rPr>
        <w:t>coverage, straining household budgets and forcing difficult trade</w:t>
      </w:r>
      <w:r w:rsidRPr="00B6688A">
        <w:rPr>
          <w:rFonts w:ascii="Cambria Math" w:eastAsia="Cambria Math" w:hAnsi="Cambria Math" w:cs="Cambria Math"/>
        </w:rPr>
        <w:t>‑</w:t>
      </w:r>
      <w:r w:rsidRPr="00B6688A">
        <w:rPr>
          <w:rFonts w:asciiTheme="majorHAnsi" w:eastAsia="Calibri" w:hAnsiTheme="majorHAnsi" w:cstheme="majorHAnsi"/>
        </w:rPr>
        <w:t>offs between maintaining adequate protection and meeting other financial obligations.</w:t>
      </w:r>
    </w:p>
    <w:p w14:paraId="47ED4AF3" w14:textId="2EA357F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Availability is often the most critical issue, as having available insurance options is a prerequisite for affordability. When private 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or be forced into residual market mechanisms such as FAIR </w:t>
      </w:r>
      <w:r w:rsidR="007A0051">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state</w:t>
      </w:r>
      <w:r w:rsidRPr="00B6688A">
        <w:rPr>
          <w:rFonts w:ascii="Cambria Math" w:eastAsia="Cambria Math" w:hAnsi="Cambria Math" w:cs="Cambria Math"/>
        </w:rPr>
        <w:t>‑</w:t>
      </w:r>
      <w:r w:rsidRPr="00B6688A">
        <w:rPr>
          <w:rFonts w:asciiTheme="majorHAnsi" w:eastAsia="Calibri" w:hAnsiTheme="majorHAnsi" w:cstheme="majorHAnsi"/>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residual market programs are designed to ensure availability, not affordability, and typically provide narrower coverage at a higher cost.</w:t>
      </w:r>
      <w:r w:rsidRPr="00B6688A">
        <w:rPr>
          <w:rFonts w:asciiTheme="majorHAnsi" w:eastAsia="Calibri" w:hAnsiTheme="majorHAnsi" w:cstheme="majorHAnsi"/>
          <w:vertAlign w:val="superscript"/>
        </w:rPr>
        <w:footnoteReference w:id="78"/>
      </w:r>
      <w:r w:rsidRPr="00B6688A">
        <w:rPr>
          <w:rFonts w:asciiTheme="majorHAnsi" w:eastAsia="Calibri" w:hAnsiTheme="majorHAnsi" w:cstheme="majorHAnsi"/>
        </w:rPr>
        <w:t xml:space="preserve"> For homeowners, this can mean paying more for policies that exclude important protections, leaving them </w:t>
      </w:r>
      <w:r w:rsidR="008A4C3A" w:rsidRPr="00B6688A">
        <w:rPr>
          <w:rFonts w:asciiTheme="majorHAnsi" w:eastAsia="Calibri" w:hAnsiTheme="majorHAnsi" w:cstheme="majorHAnsi"/>
        </w:rPr>
        <w:t xml:space="preserve">either to pay for a </w:t>
      </w:r>
      <w:r w:rsidR="00CE643B">
        <w:rPr>
          <w:rFonts w:asciiTheme="majorHAnsi" w:eastAsia="Calibri" w:hAnsiTheme="majorHAnsi" w:cstheme="majorHAnsi"/>
        </w:rPr>
        <w:t>d</w:t>
      </w:r>
      <w:r w:rsidR="008A4C3A" w:rsidRPr="00B6688A">
        <w:rPr>
          <w:rFonts w:asciiTheme="majorHAnsi" w:eastAsia="Calibri" w:hAnsiTheme="majorHAnsi" w:cstheme="majorHAnsi"/>
        </w:rPr>
        <w:t>ifference</w:t>
      </w:r>
      <w:r w:rsidR="00CE643B">
        <w:rPr>
          <w:rFonts w:asciiTheme="majorHAnsi" w:eastAsia="Calibri" w:hAnsiTheme="majorHAnsi" w:cstheme="majorHAnsi"/>
        </w:rPr>
        <w:t>-</w:t>
      </w:r>
      <w:r w:rsidR="008A4C3A" w:rsidRPr="00B6688A">
        <w:rPr>
          <w:rFonts w:asciiTheme="majorHAnsi" w:eastAsia="Calibri" w:hAnsiTheme="majorHAnsi" w:cstheme="majorHAnsi"/>
        </w:rPr>
        <w:t>in</w:t>
      </w:r>
      <w:r w:rsidR="00CE643B">
        <w:rPr>
          <w:rFonts w:asciiTheme="majorHAnsi" w:eastAsia="Calibri" w:hAnsiTheme="majorHAnsi" w:cstheme="majorHAnsi"/>
        </w:rPr>
        <w:t>-c</w:t>
      </w:r>
      <w:r w:rsidR="008A4C3A" w:rsidRPr="00B6688A">
        <w:rPr>
          <w:rFonts w:asciiTheme="majorHAnsi" w:eastAsia="Calibri" w:hAnsiTheme="majorHAnsi" w:cstheme="majorHAnsi"/>
        </w:rPr>
        <w:t xml:space="preserve">onditions policy (sometimes referred to as a wraparound policy) to be fully covered or to </w:t>
      </w:r>
      <w:r w:rsidRPr="00B6688A">
        <w:rPr>
          <w:rFonts w:asciiTheme="majorHAnsi" w:eastAsia="Calibri" w:hAnsiTheme="majorHAnsi" w:cstheme="majorHAnsi"/>
        </w:rPr>
        <w:t>be exposed to losses that would have been covered in the private market. The lack of competition also erodes consumer choice, reducing the ability to shop for better terms or more comprehensive coverage.</w:t>
      </w:r>
    </w:p>
    <w:p w14:paraId="47ED4AF4" w14:textId="5D4AB86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have 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reporting 28 billion</w:t>
      </w:r>
      <w:r w:rsidRPr="00B6688A">
        <w:rPr>
          <w:rFonts w:ascii="Cambria Math" w:eastAsia="Cambria Math" w:hAnsi="Cambria Math" w:cs="Cambria Math"/>
        </w:rPr>
        <w:t>‑</w:t>
      </w:r>
      <w:r w:rsidRPr="00B6688A">
        <w:rPr>
          <w:rFonts w:asciiTheme="majorHAnsi" w:eastAsia="Calibri" w:hAnsiTheme="majorHAnsi" w:cstheme="majorHAnsi"/>
        </w:rPr>
        <w:t xml:space="preserve">dollar events in 2023 and 27 in 2024, compared to a </w:t>
      </w:r>
      <w:r w:rsidRPr="00B6688A">
        <w:rPr>
          <w:rFonts w:asciiTheme="majorHAnsi" w:eastAsia="Calibri" w:hAnsiTheme="majorHAnsi" w:cstheme="majorHAnsi"/>
        </w:rPr>
        <w:lastRenderedPageBreak/>
        <w:t>long</w:t>
      </w:r>
      <w:r w:rsidRPr="00B6688A">
        <w:rPr>
          <w:rFonts w:ascii="Cambria Math" w:eastAsia="Cambria Math" w:hAnsi="Cambria Math" w:cs="Cambria Math"/>
        </w:rPr>
        <w:t>‑</w:t>
      </w:r>
      <w:r w:rsidRPr="00B6688A">
        <w:rPr>
          <w:rFonts w:asciiTheme="majorHAnsi" w:eastAsia="Calibri" w:hAnsiTheme="majorHAnsi" w:cstheme="majorHAnsi"/>
        </w:rPr>
        <w:t xml:space="preserve">term average of </w:t>
      </w:r>
      <w:r w:rsidR="006919DB">
        <w:rPr>
          <w:rFonts w:asciiTheme="majorHAnsi" w:eastAsia="Calibri" w:hAnsiTheme="majorHAnsi" w:cstheme="majorHAnsi"/>
        </w:rPr>
        <w:t>eight to n</w:t>
      </w:r>
      <w:r w:rsidR="006F5356">
        <w:rPr>
          <w:rFonts w:asciiTheme="majorHAnsi" w:eastAsia="Calibri" w:hAnsiTheme="majorHAnsi" w:cstheme="majorHAnsi"/>
        </w:rPr>
        <w:t>ine p</w:t>
      </w:r>
      <w:r w:rsidRPr="00B6688A">
        <w:rPr>
          <w:rFonts w:asciiTheme="majorHAnsi" w:eastAsia="Calibri" w:hAnsiTheme="majorHAnsi" w:cstheme="majorHAnsi"/>
        </w:rPr>
        <w:t>er year.</w:t>
      </w:r>
      <w:r w:rsidRPr="00B6688A">
        <w:rPr>
          <w:rFonts w:asciiTheme="majorHAnsi" w:eastAsia="Calibri" w:hAnsiTheme="majorHAnsi" w:cstheme="majorHAnsi"/>
          <w:vertAlign w:val="superscript"/>
        </w:rPr>
        <w:footnoteReference w:id="79"/>
      </w:r>
      <w:r w:rsidR="00E44A9D" w:rsidRPr="00B6688A">
        <w:rPr>
          <w:rFonts w:asciiTheme="majorHAnsi" w:eastAsia="Calibri" w:hAnsiTheme="majorHAnsi" w:cstheme="majorHAnsi"/>
          <w:vertAlign w:val="superscript"/>
        </w:rPr>
        <w:t>,</w:t>
      </w:r>
      <w:r w:rsidR="00540D22" w:rsidRPr="00B6688A">
        <w:rPr>
          <w:rStyle w:val="FootnoteReference"/>
          <w:rFonts w:asciiTheme="majorHAnsi" w:eastAsia="Calibri" w:hAnsiTheme="majorHAnsi" w:cstheme="majorHAnsi"/>
        </w:rPr>
        <w:footnoteReference w:id="80"/>
      </w:r>
      <w:r w:rsidRPr="00B6688A">
        <w:rPr>
          <w:rFonts w:asciiTheme="majorHAnsi" w:eastAsia="Calibri" w:hAnsiTheme="majorHAnsi" w:cstheme="majorHAnsi"/>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00B6688A">
        <w:rPr>
          <w:rFonts w:asciiTheme="majorHAnsi" w:eastAsia="Calibri" w:hAnsiTheme="majorHAnsi" w:cstheme="majorHAnsi"/>
        </w:rPr>
        <w:t>most households' wealth</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81"/>
      </w:r>
    </w:p>
    <w:p w14:paraId="47ED4AF5" w14:textId="126A20B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Reductions in access to meaningful coverage options and </w:t>
      </w:r>
      <w:r w:rsidR="000A560D" w:rsidRPr="00B6688A">
        <w:rPr>
          <w:rFonts w:asciiTheme="majorHAnsi" w:eastAsia="Calibri" w:hAnsiTheme="majorHAnsi" w:cstheme="majorHAnsi"/>
        </w:rPr>
        <w:t>challenges in the claims process also impact consumers in areas where premiums are rising</w:t>
      </w:r>
      <w:r w:rsidR="00DB4529" w:rsidRPr="00B6688A">
        <w:rPr>
          <w:rFonts w:asciiTheme="majorHAnsi" w:eastAsia="Calibri" w:hAnsiTheme="majorHAnsi" w:cstheme="majorHAnsi"/>
        </w:rPr>
        <w:t xml:space="preserve"> and cost-sharing</w:t>
      </w:r>
      <w:r w:rsidRPr="00B6688A">
        <w:rPr>
          <w:rFonts w:asciiTheme="majorHAnsi" w:eastAsia="Calibri" w:hAnsiTheme="majorHAnsi" w:cstheme="majorHAnsi"/>
        </w:rPr>
        <w:t xml:space="preserve"> responsibilities are increasing. State regulators have seen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complaints increase</w:t>
      </w:r>
      <w:r w:rsidR="00356279">
        <w:rPr>
          <w:rFonts w:asciiTheme="majorHAnsi" w:eastAsia="Calibri" w:hAnsiTheme="majorHAnsi" w:cstheme="majorHAnsi"/>
        </w:rPr>
        <w:t>,</w:t>
      </w:r>
      <w:r w:rsidRPr="00B6688A">
        <w:rPr>
          <w:rFonts w:asciiTheme="majorHAnsi" w:eastAsia="Calibri" w:hAnsiTheme="majorHAnsi" w:cstheme="majorHAnsi"/>
          <w:vertAlign w:val="superscript"/>
        </w:rPr>
        <w:footnoteReference w:id="82"/>
      </w:r>
      <w:r w:rsidRPr="00B6688A">
        <w:rPr>
          <w:rFonts w:asciiTheme="majorHAnsi" w:eastAsia="Calibri" w:hAnsiTheme="majorHAnsi" w:cstheme="majorHAnsi"/>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36" w:name="_pyg14fa13j9a" w:colFirst="0" w:colLast="0"/>
      <w:bookmarkEnd w:id="36"/>
      <w:r w:rsidRPr="00B6688A">
        <w:rPr>
          <w:rFonts w:asciiTheme="majorHAnsi" w:hAnsiTheme="majorHAnsi" w:cstheme="majorHAnsi"/>
        </w:rPr>
        <w:t>Growing Protection Gaps</w:t>
      </w:r>
    </w:p>
    <w:p w14:paraId="47ED4AF7" w14:textId="3A02D43A" w:rsidR="00FB1243" w:rsidRPr="00B6688A" w:rsidRDefault="007413BF" w:rsidP="00A43DF6">
      <w:pPr>
        <w:widowControl w:val="0"/>
        <w:jc w:val="both"/>
        <w:rPr>
          <w:rFonts w:asciiTheme="majorHAnsi" w:eastAsia="Calibri" w:hAnsiTheme="majorHAnsi" w:cstheme="majorHAnsi"/>
        </w:rPr>
      </w:pPr>
      <w:r w:rsidRPr="00B6688A">
        <w:rPr>
          <w:rFonts w:asciiTheme="majorHAnsi" w:eastAsia="Calibri" w:hAnsiTheme="majorHAnsi" w:cstheme="majorHAnsi"/>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deepen inequality. Vulnerable populations</w:t>
      </w:r>
      <w:r w:rsidR="001D4025">
        <w:rPr>
          <w:rFonts w:asciiTheme="majorHAnsi" w:eastAsia="Calibri" w:hAnsiTheme="majorHAnsi" w:cstheme="majorHAnsi"/>
        </w:rPr>
        <w:t xml:space="preserve"> (</w:t>
      </w:r>
      <w:r w:rsidRPr="00B6688A">
        <w:rPr>
          <w:rFonts w:asciiTheme="majorHAnsi" w:eastAsia="Calibri" w:hAnsiTheme="majorHAnsi" w:cstheme="majorHAnsi"/>
        </w:rPr>
        <w:t>those with lower incomes or living in high</w:t>
      </w:r>
      <w:r w:rsidRPr="00B6688A">
        <w:rPr>
          <w:rFonts w:ascii="Cambria Math" w:eastAsia="Cambria Math" w:hAnsi="Cambria Math" w:cs="Cambria Math"/>
        </w:rPr>
        <w:t>‑</w:t>
      </w:r>
      <w:r w:rsidRPr="00B6688A">
        <w:rPr>
          <w:rFonts w:asciiTheme="majorHAnsi" w:eastAsia="Calibri" w:hAnsiTheme="majorHAnsi" w:cstheme="majorHAnsi"/>
        </w:rPr>
        <w:t>risk areas</w:t>
      </w:r>
      <w:r w:rsidR="001D4025">
        <w:rPr>
          <w:rFonts w:asciiTheme="majorHAnsi" w:eastAsia="Calibri" w:hAnsiTheme="majorHAnsi" w:cstheme="majorHAnsi"/>
        </w:rPr>
        <w:t xml:space="preserve">) </w:t>
      </w:r>
      <w:r w:rsidRPr="00B6688A">
        <w:rPr>
          <w:rFonts w:asciiTheme="majorHAnsi" w:eastAsia="Calibri" w:hAnsiTheme="majorHAnsi" w:cstheme="majorHAnsi"/>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forgo insurance altogether, leaving them dangerously exposed. Others may struggle to secure mortgages, as lenders typically require adequate property insurance. In this way, limited insurance availability not only undermines 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slowing recovery after disasters and amplifying the economic and social toll.</w:t>
      </w:r>
      <w:r w:rsidRPr="00B6688A">
        <w:rPr>
          <w:rFonts w:asciiTheme="majorHAnsi" w:eastAsia="Calibri" w:hAnsiTheme="majorHAnsi" w:cstheme="majorHAnsi"/>
          <w:vertAlign w:val="superscript"/>
        </w:rPr>
        <w:footnoteReference w:id="83"/>
      </w:r>
      <w:r w:rsidR="00526282" w:rsidRPr="00B6688A">
        <w:rPr>
          <w:rFonts w:asciiTheme="majorHAnsi" w:eastAsia="Calibri" w:hAnsiTheme="majorHAnsi" w:cstheme="majorHAnsi"/>
          <w:vertAlign w:val="superscript"/>
        </w:rPr>
        <w:t>,</w:t>
      </w:r>
      <w:r w:rsidR="00526282" w:rsidRPr="00B6688A">
        <w:rPr>
          <w:rStyle w:val="FootnoteReference"/>
          <w:rFonts w:asciiTheme="majorHAnsi" w:eastAsia="Calibri" w:hAnsiTheme="majorHAnsi" w:cstheme="majorHAnsi"/>
        </w:rPr>
        <w:footnoteReference w:id="84"/>
      </w:r>
    </w:p>
    <w:p w14:paraId="47ED4AF8" w14:textId="4A1A268B" w:rsidR="00FB1243" w:rsidRPr="00B6688A" w:rsidRDefault="007413BF">
      <w:pPr>
        <w:pStyle w:val="Heading5"/>
        <w:jc w:val="both"/>
        <w:rPr>
          <w:rFonts w:asciiTheme="majorHAnsi" w:eastAsia="Calibri" w:hAnsiTheme="majorHAnsi" w:cstheme="majorHAnsi"/>
        </w:rPr>
      </w:pPr>
      <w:bookmarkStart w:id="37" w:name="_3r9t79nmkwrp" w:colFirst="0" w:colLast="0"/>
      <w:bookmarkEnd w:id="37"/>
      <w:r w:rsidRPr="00B6688A">
        <w:rPr>
          <w:rFonts w:asciiTheme="majorHAnsi" w:eastAsia="Calibri" w:hAnsiTheme="majorHAnsi" w:cstheme="majorHAnsi"/>
        </w:rPr>
        <w:lastRenderedPageBreak/>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Across the </w:t>
      </w:r>
      <w:r w:rsidR="004C20F4">
        <w:rPr>
          <w:rFonts w:asciiTheme="majorHAnsi" w:hAnsiTheme="majorHAnsi" w:cstheme="majorHAnsi"/>
        </w:rPr>
        <w:t>P/C</w:t>
      </w:r>
      <w:r w:rsidRPr="00B6688A">
        <w:rPr>
          <w:rFonts w:asciiTheme="majorHAnsi" w:hAnsiTheme="majorHAnsi" w:cstheme="majorHAnsi"/>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homeowners line, where insurers face higher severity of claims due to more expensive repairs and replacements, which amplifies the financial impact of catastrophic events.</w:t>
      </w:r>
      <w:r w:rsidRPr="00B6688A">
        <w:rPr>
          <w:rFonts w:asciiTheme="majorHAnsi" w:hAnsiTheme="majorHAnsi" w:cstheme="majorHAnsi"/>
          <w:vertAlign w:val="superscript"/>
        </w:rPr>
        <w:footnoteReference w:id="85"/>
      </w:r>
      <w:r w:rsidR="0001439B" w:rsidRPr="00B6688A">
        <w:rPr>
          <w:rFonts w:asciiTheme="majorHAnsi" w:hAnsiTheme="majorHAnsi" w:cstheme="majorHAnsi"/>
          <w:vertAlign w:val="superscript"/>
        </w:rPr>
        <w:t>,</w:t>
      </w:r>
      <w:r w:rsidR="00B13E32" w:rsidRPr="00B6688A">
        <w:rPr>
          <w:rStyle w:val="FootnoteReference"/>
          <w:rFonts w:asciiTheme="majorHAnsi" w:eastAsia="Calibri" w:hAnsiTheme="majorHAnsi" w:cstheme="majorHAnsi"/>
          <w:color w:val="000000"/>
        </w:rPr>
        <w:footnoteReference w:id="86"/>
      </w:r>
    </w:p>
    <w:p w14:paraId="47ED4AFA"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87"/>
      </w:r>
      <w:r w:rsidRPr="00B6688A">
        <w:rPr>
          <w:rFonts w:asciiTheme="majorHAnsi" w:hAnsiTheme="majorHAnsi" w:cstheme="majorHAnsi"/>
        </w:rPr>
        <w:t xml:space="preserve"> Insurers have generally responded with double-digit premium increases in homeowners and auto lines to keep pace with inflation-driven claims severity.</w:t>
      </w:r>
      <w:r w:rsidRPr="00B6688A">
        <w:rPr>
          <w:rFonts w:asciiTheme="majorHAnsi" w:hAnsiTheme="majorHAnsi" w:cstheme="majorHAnsi"/>
          <w:vertAlign w:val="superscript"/>
        </w:rPr>
        <w:footnoteReference w:id="88"/>
      </w:r>
      <w:r w:rsidRPr="00B6688A">
        <w:rPr>
          <w:rFonts w:asciiTheme="majorHAnsi" w:hAnsiTheme="majorHAnsi" w:cstheme="majorHAnsi"/>
        </w:rPr>
        <w:t xml:space="preserve"> In 2024, easing inflation helped moderate claims costs, allowing insurers to achieve their first underwriting profit in four years, but inflationary pressures continue to pose a structural risk.</w:t>
      </w:r>
      <w:r w:rsidRPr="00B6688A">
        <w:rPr>
          <w:rFonts w:asciiTheme="majorHAnsi" w:hAnsiTheme="majorHAnsi" w:cstheme="majorHAnsi"/>
          <w:vertAlign w:val="superscript"/>
        </w:rPr>
        <w:footnoteReference w:id="89"/>
      </w:r>
    </w:p>
    <w:p w14:paraId="47ED4AFB" w14:textId="647C6808" w:rsidR="00FB1243" w:rsidRPr="00B6688A" w:rsidRDefault="007413BF" w:rsidP="00F4197E">
      <w:pPr>
        <w:jc w:val="both"/>
        <w:rPr>
          <w:rFonts w:asciiTheme="majorHAnsi" w:hAnsiTheme="majorHAnsi" w:cstheme="majorHAnsi"/>
        </w:rPr>
      </w:pPr>
      <w:r w:rsidRPr="00B6688A">
        <w:rPr>
          <w:rFonts w:asciiTheme="majorHAnsi" w:hAnsiTheme="majorHAnsi" w:cstheme="majorHAnsi"/>
        </w:rPr>
        <w:t>Inflation and rebuilding costs magnify the financial impact of climate-related catastrophes. Severe convective storms,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and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not only increase the frequency of claims but also make each claim more expensive to settle. This dynamic leaves insurers more exposed, particularly when smaller events do not trigger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coverage, forcing primary insurers to absorb the full impact of inflated rebuilding costs.</w:t>
      </w:r>
      <w:r w:rsidRPr="00B6688A">
        <w:rPr>
          <w:rFonts w:asciiTheme="majorHAnsi" w:hAnsiTheme="majorHAnsi" w:cstheme="majorHAnsi"/>
          <w:vertAlign w:val="superscript"/>
        </w:rPr>
        <w:footnoteReference w:id="90"/>
      </w:r>
      <w:r w:rsidR="00287BBD" w:rsidRPr="00B6688A">
        <w:rPr>
          <w:rFonts w:asciiTheme="majorHAnsi" w:hAnsiTheme="majorHAnsi" w:cstheme="majorHAnsi"/>
          <w:vertAlign w:val="superscript"/>
        </w:rPr>
        <w:t>,</w:t>
      </w:r>
      <w:r w:rsidR="00287BBD" w:rsidRPr="00B6688A">
        <w:rPr>
          <w:rStyle w:val="FootnoteReference"/>
          <w:rFonts w:asciiTheme="majorHAnsi" w:eastAsia="Calibri" w:hAnsiTheme="majorHAnsi" w:cstheme="majorHAnsi"/>
          <w:color w:val="000000"/>
        </w:rPr>
        <w:footnoteReference w:id="91"/>
      </w:r>
    </w:p>
    <w:p w14:paraId="47ED4AFC" w14:textId="18223AA1" w:rsidR="00FB1243" w:rsidRPr="00B6688A" w:rsidRDefault="007413BF" w:rsidP="00F4197E">
      <w:pPr>
        <w:jc w:val="both"/>
        <w:rPr>
          <w:rFonts w:asciiTheme="majorHAnsi" w:hAnsiTheme="majorHAnsi" w:cstheme="majorHAnsi"/>
        </w:rPr>
      </w:pPr>
      <w:r w:rsidRPr="00982C55">
        <w:rPr>
          <w:rFonts w:asciiTheme="majorHAnsi" w:hAnsiTheme="majorHAnsi" w:cstheme="majorHAnsi"/>
        </w:rPr>
        <w:t>From</w:t>
      </w:r>
      <w:r w:rsidRPr="00B6688A">
        <w:rPr>
          <w:rFonts w:asciiTheme="majorHAnsi" w:hAnsiTheme="majorHAnsi" w:cstheme="majorHAnsi"/>
        </w:rPr>
        <w:t xml:space="preserve"> the policyholder perspective, inflation and rebuilding costs translate into higher insurance premiums and affordability challenges. Analyses of homeowners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affordability show that premiums have risen significantly since 2018, with increases ranging from 13% to 38% </w:t>
      </w:r>
      <w:r w:rsidRPr="00B6688A">
        <w:rPr>
          <w:rFonts w:asciiTheme="majorHAnsi" w:hAnsiTheme="majorHAnsi" w:cstheme="majorHAnsi"/>
        </w:rPr>
        <w:lastRenderedPageBreak/>
        <w:t>nationwide, not adjusted for inflation.</w:t>
      </w:r>
      <w:r w:rsidRPr="00B6688A">
        <w:rPr>
          <w:rFonts w:asciiTheme="majorHAnsi" w:hAnsiTheme="majorHAnsi" w:cstheme="majorHAnsi"/>
          <w:vertAlign w:val="superscript"/>
        </w:rPr>
        <w:footnoteReference w:id="92"/>
      </w:r>
      <w:r w:rsidRPr="00B6688A">
        <w:rPr>
          <w:rFonts w:asciiTheme="majorHAnsi" w:hAnsiTheme="majorHAnsi" w:cstheme="majorHAnsi"/>
        </w:rPr>
        <w:t xml:space="preserve"> Rising rebuilding costs are a key driver 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HAnsi"/>
        </w:rPr>
      </w:pPr>
      <w:r w:rsidRPr="00B6688A">
        <w:rPr>
          <w:rFonts w:asciiTheme="majorHAnsi" w:hAnsiTheme="majorHAnsi" w:cstheme="majorHAnsi"/>
        </w:rPr>
        <w:t>To manage premium costs, many consumers are compelled to choose policies with significantly higher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Rapid and sustained inflation causes a crucial lag between a policy's stated dwelling coverage limit and the actual current cost to fully rebuild a home after a total loss. When a loss occurs, the policy payout is often insufficient to cover the full replacement cost, leaving the policyholder to absorb a substantial financial shortfall. This issue is particularly acute in areas with high construction inflation or </w:t>
      </w:r>
      <w:r w:rsidR="00472105">
        <w:rPr>
          <w:rFonts w:asciiTheme="majorHAnsi" w:hAnsiTheme="majorHAnsi" w:cstheme="majorHAnsi"/>
        </w:rPr>
        <w:t>in the aftermath of</w:t>
      </w:r>
      <w:r w:rsidR="00472105" w:rsidRPr="00B6688A">
        <w:rPr>
          <w:rFonts w:asciiTheme="majorHAnsi" w:hAnsiTheme="majorHAnsi" w:cstheme="majorHAnsi"/>
        </w:rPr>
        <w:t xml:space="preserve"> </w:t>
      </w:r>
      <w:r w:rsidRPr="00B6688A">
        <w:rPr>
          <w:rFonts w:asciiTheme="majorHAnsi" w:hAnsiTheme="majorHAnsi" w:cstheme="majorHAnsi"/>
        </w:rPr>
        <w:t>significant natural disasters that drive up regional costs.</w:t>
      </w:r>
    </w:p>
    <w:p w14:paraId="7412AC8B" w14:textId="6DE4FB94" w:rsidR="00CA4D48" w:rsidRPr="00B6688A" w:rsidRDefault="007413BF" w:rsidP="00F4197E">
      <w:pPr>
        <w:jc w:val="both"/>
        <w:rPr>
          <w:rFonts w:asciiTheme="majorHAnsi" w:hAnsiTheme="majorHAnsi" w:cstheme="majorHAnsi"/>
        </w:rPr>
      </w:pPr>
      <w:bookmarkStart w:id="38" w:name="_fiilt9yj1j5d" w:colFirst="0" w:colLast="0"/>
      <w:bookmarkEnd w:id="38"/>
      <w:r w:rsidRPr="00B6688A">
        <w:rPr>
          <w:rFonts w:asciiTheme="majorHAnsi" w:hAnsiTheme="majorHAnsi" w:cstheme="majorHAnsi"/>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"Disaster recovery" </w:instrText>
      </w:r>
      <w:r w:rsidR="00870578" w:rsidRPr="00B6688A">
        <w:rPr>
          <w:rFonts w:asciiTheme="majorHAnsi" w:hAnsiTheme="majorHAnsi" w:cstheme="majorHAnsi"/>
        </w:rPr>
        <w:fldChar w:fldCharType="end"/>
      </w:r>
      <w:r w:rsidRPr="00B6688A">
        <w:rPr>
          <w:rFonts w:asciiTheme="majorHAnsi" w:hAnsiTheme="majorHAnsi" w:cstheme="majorHAnsi"/>
        </w:rPr>
        <w:t>. This creates a 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today’s evolving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lastRenderedPageBreak/>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75D31912" w14:textId="1E432F2E" w:rsidR="00E74E47" w:rsidRPr="00B6688A" w:rsidRDefault="00E74E47" w:rsidP="00E74E47">
      <w:pPr>
        <w:pBdr>
          <w:top w:val="nil"/>
          <w:left w:val="nil"/>
          <w:bottom w:val="nil"/>
          <w:right w:val="nil"/>
          <w:between w:val="nil"/>
        </w:pBdr>
        <w:jc w:val="both"/>
        <w:rPr>
          <w:rFonts w:asciiTheme="majorHAnsi" w:eastAsia="Calibri" w:hAnsiTheme="majorHAnsi" w:cstheme="majorHAnsi"/>
          <w:color w:val="000000"/>
        </w:rPr>
      </w:pPr>
      <w:r>
        <w:rPr>
          <w:rFonts w:asciiTheme="majorHAnsi" w:eastAsia="Calibri" w:hAnsiTheme="majorHAnsi" w:cstheme="majorHAnsi"/>
          <w:color w:val="000000"/>
        </w:rPr>
        <w:t xml:space="preserve">Replacement cost estimate tools have evolved from manual, high-level products released periodically to </w:t>
      </w:r>
      <w:r w:rsidR="00EF1F08">
        <w:rPr>
          <w:rFonts w:asciiTheme="majorHAnsi" w:eastAsia="Calibri" w:hAnsiTheme="majorHAnsi" w:cstheme="majorHAnsi"/>
          <w:color w:val="000000"/>
        </w:rPr>
        <w:t>regularly updated</w:t>
      </w:r>
      <w:r>
        <w:rPr>
          <w:rFonts w:asciiTheme="majorHAnsi" w:eastAsia="Calibri" w:hAnsiTheme="majorHAnsi" w:cstheme="majorHAnsi"/>
          <w:color w:val="000000"/>
        </w:rPr>
        <w:t>, modern software that leverages detailed property attributes and cost data. While individual contractor bids vary, replacement cost tools are intended to provide representative estimates aligned with regional costs as a resource for consumers, insurers</w:t>
      </w:r>
      <w:r w:rsidR="00EF1F08">
        <w:rPr>
          <w:rFonts w:asciiTheme="majorHAnsi" w:eastAsia="Calibri" w:hAnsiTheme="majorHAnsi" w:cstheme="majorHAnsi"/>
          <w:color w:val="000000"/>
        </w:rPr>
        <w:t>,</w:t>
      </w:r>
      <w:r>
        <w:rPr>
          <w:rFonts w:asciiTheme="majorHAnsi" w:eastAsia="Calibri" w:hAnsiTheme="majorHAnsi" w:cstheme="majorHAnsi"/>
          <w:color w:val="000000"/>
        </w:rPr>
        <w:t xml:space="preserve"> and contractors. </w:t>
      </w:r>
    </w:p>
    <w:p w14:paraId="47ED4B02" w14:textId="3E75CEB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recent years, researchers have explored the trends and factors driving the occurrence of consumers who are not fully insured for catastrophe losses when they occur. For over a decade, the non-profit United Policyholders, whose Executive Director Amy Bach is an NAIC Individual Consumer Advocate at the time of writing,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survivors. From those surveys, United Policyholders </w:t>
      </w:r>
      <w:r w:rsidRPr="00B6688A">
        <w:rPr>
          <w:rFonts w:asciiTheme="majorHAnsi" w:eastAsia="Calibri" w:hAnsiTheme="majorHAnsi" w:cstheme="majorHAnsi"/>
        </w:rPr>
        <w:t>found</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rPr>
        <w:t>that</w:t>
      </w:r>
      <w:r w:rsidRPr="00B6688A">
        <w:rPr>
          <w:rFonts w:asciiTheme="majorHAnsi" w:eastAsia="Calibri" w:hAnsiTheme="majorHAnsi" w:cstheme="majorHAnsi"/>
          <w:color w:val="000000"/>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wildfires, 42% of homeowners who responded </w:t>
      </w:r>
      <w:r w:rsidR="006153D4">
        <w:rPr>
          <w:rFonts w:asciiTheme="majorHAnsi" w:eastAsia="Calibri" w:hAnsiTheme="majorHAnsi" w:cstheme="majorHAnsi"/>
          <w:color w:val="000000"/>
        </w:rPr>
        <w:t>were</w:t>
      </w:r>
      <w:r w:rsidRPr="00B6688A">
        <w:rPr>
          <w:rFonts w:asciiTheme="majorHAnsi" w:eastAsia="Calibri" w:hAnsiTheme="majorHAnsi" w:cstheme="majorHAnsi"/>
          <w:color w:val="000000"/>
        </w:rPr>
        <w:t xml:space="preserve"> underinsured for the rebuilding costs.</w:t>
      </w:r>
      <w:r w:rsidRPr="00B6688A">
        <w:rPr>
          <w:rFonts w:asciiTheme="majorHAnsi" w:eastAsia="Calibri" w:hAnsiTheme="majorHAnsi" w:cstheme="majorHAnsi"/>
          <w:color w:val="000000"/>
          <w:vertAlign w:val="superscript"/>
        </w:rPr>
        <w:footnoteReference w:id="93"/>
      </w:r>
      <w:r w:rsidRPr="00B6688A">
        <w:rPr>
          <w:rFonts w:asciiTheme="majorHAnsi" w:eastAsia="Calibri" w:hAnsiTheme="majorHAnsi" w:cstheme="majorHAnsi"/>
          <w:color w:val="000000"/>
        </w:rPr>
        <w:t xml:space="preserve"> In 2018, the Rand Corporation published a study of two California communities that found that homeowners in high-risk areas purchased less coverage relative to the</w:t>
      </w:r>
      <w:r w:rsidR="00AB1BD3">
        <w:rPr>
          <w:rFonts w:asciiTheme="majorHAnsi" w:eastAsia="Calibri" w:hAnsiTheme="majorHAnsi" w:cstheme="majorHAnsi"/>
          <w:color w:val="000000"/>
        </w:rPr>
        <w:t>ir</w:t>
      </w:r>
      <w:r w:rsidRPr="00B6688A">
        <w:rPr>
          <w:rFonts w:asciiTheme="majorHAnsi" w:eastAsia="Calibri" w:hAnsiTheme="majorHAnsi" w:cstheme="majorHAnsi"/>
          <w:color w:val="000000"/>
        </w:rPr>
        <w:t xml:space="preserve"> structure</w:t>
      </w:r>
      <w:r w:rsidR="00AB1BD3">
        <w:rPr>
          <w:rFonts w:asciiTheme="majorHAnsi" w:eastAsia="Calibri" w:hAnsiTheme="majorHAnsi" w:cstheme="majorHAnsi"/>
          <w:color w:val="000000"/>
        </w:rPr>
        <w:t>s</w:t>
      </w:r>
      <w:r w:rsidRPr="00B6688A">
        <w:rPr>
          <w:rFonts w:asciiTheme="majorHAnsi" w:eastAsia="Calibri" w:hAnsiTheme="majorHAnsi" w:cstheme="majorHAnsi"/>
          <w:color w:val="000000"/>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than homeowners in lower-risk areas.</w:t>
      </w:r>
      <w:r w:rsidRPr="00B6688A">
        <w:rPr>
          <w:rFonts w:asciiTheme="majorHAnsi" w:eastAsia="Calibri" w:hAnsiTheme="majorHAnsi" w:cstheme="majorHAnsi"/>
          <w:color w:val="000000"/>
          <w:vertAlign w:val="superscript"/>
        </w:rPr>
        <w:footnoteReference w:id="94"/>
      </w:r>
      <w:r w:rsidRPr="00B6688A">
        <w:rPr>
          <w:rFonts w:asciiTheme="majorHAnsi" w:eastAsia="Calibri" w:hAnsiTheme="majorHAnsi" w:cstheme="majorHAnsi"/>
          <w:color w:val="000000"/>
        </w:rPr>
        <w:t xml:space="preserve"> </w:t>
      </w:r>
    </w:p>
    <w:p w14:paraId="47ED4B03" w14:textId="0A8648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At NAIC national meetings,</w:t>
      </w:r>
      <w:r w:rsidR="007F79D5">
        <w:rPr>
          <w:rFonts w:asciiTheme="majorHAnsi" w:eastAsia="Calibri" w:hAnsiTheme="majorHAnsi" w:cstheme="majorHAnsi"/>
          <w:color w:val="000000"/>
        </w:rPr>
        <w:t xml:space="preserve"> NAIC Consumer Representative</w:t>
      </w:r>
      <w:r w:rsidRPr="00B6688A">
        <w:rPr>
          <w:rFonts w:asciiTheme="majorHAnsi" w:eastAsia="Calibri" w:hAnsiTheme="majorHAnsi" w:cstheme="majorHAnsi"/>
          <w:color w:val="000000"/>
        </w:rPr>
        <w:t xml:space="preserve"> Kenneth Klein</w:t>
      </w:r>
      <w:r w:rsidR="007F79D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has presented</w:t>
      </w:r>
      <w:r w:rsidRPr="00B6688A">
        <w:rPr>
          <w:rFonts w:asciiTheme="majorHAnsi" w:eastAsia="Calibri" w:hAnsiTheme="majorHAnsi" w:cstheme="majorHAnsi"/>
        </w:rPr>
        <w:t xml:space="preserve"> an </w:t>
      </w:r>
      <w:r w:rsidRPr="00B6688A">
        <w:rPr>
          <w:rFonts w:asciiTheme="majorHAnsi" w:eastAsia="Calibri" w:hAnsiTheme="majorHAnsi" w:cstheme="majorHAnsi"/>
          <w:color w:val="000000"/>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the United States to the NAIC.</w:t>
      </w:r>
      <w:r w:rsidR="00742B52" w:rsidRPr="00B6688A">
        <w:rPr>
          <w:rStyle w:val="FootnoteReference"/>
          <w:rFonts w:asciiTheme="majorHAnsi" w:eastAsia="Calibri" w:hAnsiTheme="majorHAnsi" w:cstheme="majorHAnsi"/>
          <w:color w:val="000000"/>
        </w:rPr>
        <w:footnoteReference w:id="95"/>
      </w:r>
      <w:r w:rsidRPr="00B6688A">
        <w:rPr>
          <w:rFonts w:asciiTheme="majorHAnsi" w:eastAsia="Calibri" w:hAnsiTheme="majorHAnsi" w:cstheme="majorHAnsi"/>
          <w:color w:val="000000"/>
        </w:rPr>
        <w:t xml:space="preserve"> His work </w:t>
      </w:r>
      <w:r w:rsidR="00A644D9">
        <w:rPr>
          <w:rFonts w:asciiTheme="majorHAnsi" w:eastAsia="Calibri" w:hAnsiTheme="majorHAnsi" w:cstheme="majorHAnsi"/>
          <w:color w:val="000000"/>
        </w:rPr>
        <w:t>argues</w:t>
      </w:r>
      <w:r w:rsidRPr="00B6688A">
        <w:rPr>
          <w:rFonts w:asciiTheme="majorHAnsi" w:eastAsia="Calibri" w:hAnsiTheme="majorHAnsi" w:cstheme="majorHAnsi"/>
          <w:color w:val="000000"/>
        </w:rPr>
        <w:t xml:space="preserve"> that underinsurance is not a result of isolated errors or consumer negligence, but rather a complicated, systemic issue. Related factors include insurer use of tools that are not consistently accurate in estimating replacement costs and the impacts of demand surge.</w:t>
      </w:r>
      <w:r w:rsidR="00E63404" w:rsidRPr="00B6688A">
        <w:rPr>
          <w:rStyle w:val="FootnoteReference"/>
          <w:rFonts w:asciiTheme="majorHAnsi" w:eastAsia="Calibri" w:hAnsiTheme="majorHAnsi" w:cstheme="majorHAnsi"/>
          <w:color w:val="000000"/>
        </w:rPr>
        <w:footnoteReference w:id="96"/>
      </w:r>
      <w:r w:rsidRPr="00B6688A">
        <w:rPr>
          <w:rFonts w:asciiTheme="majorHAnsi" w:eastAsia="Calibri" w:hAnsiTheme="majorHAnsi" w:cstheme="majorHAnsi"/>
          <w:color w:val="000000"/>
        </w:rPr>
        <w:t xml:space="preserve"> </w:t>
      </w:r>
    </w:p>
    <w:p w14:paraId="47ED4B05" w14:textId="44F590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Without sufficiently comprehensive and consistent market data, including insurer-held data, it is challenging to accurately assess whether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driven by flawed estimation tools, consumer behavior, or other factors. Th</w:t>
      </w:r>
      <w:r w:rsidR="0082030A">
        <w:rPr>
          <w:rFonts w:asciiTheme="majorHAnsi" w:eastAsia="Calibri" w:hAnsiTheme="majorHAnsi" w:cstheme="majorHAnsi"/>
          <w:color w:val="000000"/>
        </w:rPr>
        <w:t xml:space="preserve">e lack of definitive analysis </w:t>
      </w:r>
      <w:r w:rsidRPr="00B6688A">
        <w:rPr>
          <w:rFonts w:asciiTheme="majorHAnsi" w:eastAsia="Calibri" w:hAnsiTheme="majorHAnsi" w:cstheme="majorHAnsi"/>
          <w:color w:val="000000"/>
        </w:rPr>
        <w:t xml:space="preserve">can constrain efforts to </w:t>
      </w:r>
      <w:r w:rsidRPr="00B6688A">
        <w:rPr>
          <w:rFonts w:asciiTheme="majorHAnsi" w:eastAsia="Calibri" w:hAnsiTheme="majorHAnsi" w:cstheme="majorHAnsi"/>
          <w:color w:val="000000"/>
        </w:rPr>
        <w:lastRenderedPageBreak/>
        <w:t>evaluate practices, assess the effectiveness</w:t>
      </w:r>
      <w:r w:rsid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or enforce standards, and consider approaches that support transparency </w:t>
      </w:r>
      <w:r w:rsidR="001D4DA7">
        <w:rPr>
          <w:rFonts w:asciiTheme="majorHAnsi" w:eastAsia="Calibri" w:hAnsiTheme="majorHAnsi" w:cstheme="majorHAnsi"/>
          <w:color w:val="000000"/>
        </w:rPr>
        <w:t xml:space="preserve">and </w:t>
      </w:r>
      <w:r w:rsidRPr="00B6688A">
        <w:rPr>
          <w:rFonts w:asciiTheme="majorHAnsi" w:eastAsia="Calibri" w:hAnsiTheme="majorHAnsi" w:cstheme="majorHAnsi"/>
          <w:color w:val="000000"/>
        </w:rPr>
        <w:t>help consumers make informed decisions.</w:t>
      </w:r>
    </w:p>
    <w:p w14:paraId="47ED4B06" w14:textId="61A379C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Higher Deductibles</w:t>
      </w:r>
      <w:r w:rsidRPr="00F5502B">
        <w:rPr>
          <w:rFonts w:asciiTheme="majorHAnsi" w:eastAsia="Calibri" w:hAnsiTheme="majorHAnsi" w:cstheme="majorHAnsi"/>
          <w:color w:val="000000"/>
        </w:rPr>
        <w:t>:</w:t>
      </w:r>
      <w:r w:rsidRP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Insurers offer a range of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flexibility for policyholders, including more affordable coverage options. When a policyholder elects a higher deductible on their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Pr>
          <w:rFonts w:asciiTheme="majorHAnsi" w:eastAsia="Calibri" w:hAnsiTheme="majorHAnsi" w:cstheme="majorHAnsi"/>
          <w:color w:val="000000"/>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7C5EA63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00B6688A">
        <w:rPr>
          <w:rFonts w:asciiTheme="majorHAnsi" w:eastAsia="Calibri" w:hAnsiTheme="majorHAnsi" w:cstheme="majorHAnsi"/>
          <w:color w:val="000000"/>
        </w:rPr>
        <w:t xml:space="preserve">who are </w:t>
      </w:r>
      <w:r w:rsidRPr="00B6688A">
        <w:rPr>
          <w:rFonts w:asciiTheme="majorHAnsi" w:eastAsia="Calibri" w:hAnsiTheme="majorHAnsi" w:cstheme="majorHAnsi"/>
          <w:color w:val="000000"/>
        </w:rPr>
        <w:t xml:space="preserve">facing rising premiums, allowing them to maintain coverage by paying less each month, but risking higher out-of-pocket costs if a claim occurs. However, a higher deductible requires </w:t>
      </w:r>
      <w:r w:rsidR="00B5572F">
        <w:rPr>
          <w:rFonts w:asciiTheme="majorHAnsi" w:eastAsia="Calibri" w:hAnsiTheme="majorHAnsi" w:cstheme="majorHAnsi"/>
          <w:color w:val="000000"/>
        </w:rPr>
        <w:t xml:space="preserve">sufficient </w:t>
      </w:r>
      <w:r w:rsidRPr="00B6688A">
        <w:rPr>
          <w:rFonts w:asciiTheme="majorHAnsi" w:eastAsia="Calibri" w:hAnsiTheme="majorHAnsi" w:cstheme="majorHAnsi"/>
          <w:color w:val="000000"/>
        </w:rPr>
        <w:t>savings to cover it, which may strain those with limited funds or higher risks. While it can be a useful cost-control measure, it widens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meaning the amount of financial loss not fully covered by insurance. This shift can lead to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greater financial strain in the event of catastrophic events, highlighting the need to consider whether savings are worth the increased risk.</w:t>
      </w:r>
    </w:p>
    <w:p w14:paraId="47ED4B09" w14:textId="35FEAA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Percentage-</w:t>
      </w:r>
      <w:r w:rsidR="00360798">
        <w:rPr>
          <w:rFonts w:asciiTheme="majorHAnsi" w:eastAsia="Calibri" w:hAnsiTheme="majorHAnsi" w:cstheme="majorHAnsi"/>
          <w:b/>
          <w:bCs/>
          <w:i/>
          <w:iCs/>
          <w:color w:val="000000"/>
          <w:u w:val="single"/>
        </w:rPr>
        <w:t>B</w:t>
      </w:r>
      <w:r w:rsidRPr="00B6688A">
        <w:rPr>
          <w:rFonts w:asciiTheme="majorHAnsi" w:eastAsia="Calibri" w:hAnsiTheme="majorHAnsi" w:cstheme="majorHAnsi"/>
          <w:b/>
          <w:bCs/>
          <w:i/>
          <w:iCs/>
          <w:color w:val="000000"/>
          <w:u w:val="single"/>
        </w:rPr>
        <w:t>ased Deductibles</w:t>
      </w:r>
      <w:r w:rsidRPr="00F5502B">
        <w:rPr>
          <w:rFonts w:asciiTheme="majorHAnsi" w:eastAsia="Calibri" w:hAnsiTheme="majorHAnsi" w:cstheme="majorHAnsi"/>
          <w:color w:val="000000"/>
        </w:rPr>
        <w:t>:</w:t>
      </w:r>
      <w:r w:rsidRPr="00360798">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 percentage-based deductible is a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deductible calculated as a percentage of the </w:t>
      </w:r>
      <w:r w:rsidR="00360798">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rather than as a fixed dollar amount. When a policyholder has this type of deductible, the amount they must pay out of 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Insurers often apply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specific perils such as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windstorms, or earthquakes, especially in regions where these risks are more prevalent</w:t>
      </w:r>
      <w:r w:rsidR="00CE79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in order to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For the policyholder, however, this arrangement can result in significantly higher out-of-pocket costs compared to a flat deductible. Because the deductible increases as the </w:t>
      </w:r>
      <w:r w:rsidR="00681684">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practice,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2D55EC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When policyholders elect to take on a higher or percentage-based deductible, they are making a trade-off that reflects the growing shift of financial responsibility from insurers to households. Rising premiums and tightening insurance coverage terms often leave policyholders with little choice but to absorb more risk themselves</w:t>
      </w:r>
      <w:r w:rsidR="00F75E5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maintain affordable coverage. While this strategy can provide short-term relief from escalating insurance costs, it also deepens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by increasing the portion of losses that policyholders must bear directly. As a result, households 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Exclusions, Limitations, and Sublimits</w:t>
      </w:r>
      <w:r w:rsidRPr="003A1135">
        <w:rPr>
          <w:rFonts w:asciiTheme="majorHAnsi" w:eastAsia="Calibri" w:hAnsiTheme="majorHAnsi" w:cstheme="majorHAnsi"/>
          <w:color w:val="000000"/>
        </w:rPr>
        <w:t>:</w:t>
      </w:r>
      <w:r w:rsidRPr="003776A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As some regions become more vulnerable to natural disasters and rising costs, insurers are </w:t>
      </w:r>
      <w:r w:rsidR="003776A5">
        <w:rPr>
          <w:rFonts w:asciiTheme="majorHAnsi" w:eastAsia="Calibri" w:hAnsiTheme="majorHAnsi" w:cstheme="majorHAnsi"/>
          <w:color w:val="000000"/>
        </w:rPr>
        <w:t>seeking</w:t>
      </w:r>
      <w:r w:rsidR="003776A5"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manage their exposures. For example, some insurance companies are implementing risk management strategies that include reducing coverage through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sublimits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Exclusions are being introduced to exclude exposures that an insurer does not wish to cover, such as policies that specifically exclude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or </w:t>
      </w:r>
      <w:r w:rsidR="002762CB">
        <w:rPr>
          <w:rFonts w:asciiTheme="majorHAnsi" w:eastAsia="Calibri" w:hAnsiTheme="majorHAnsi" w:cstheme="majorHAnsi"/>
          <w:color w:val="000000"/>
        </w:rPr>
        <w:t>to</w:t>
      </w:r>
      <w:r w:rsidRPr="00B6688A">
        <w:rPr>
          <w:rFonts w:asciiTheme="majorHAnsi" w:eastAsia="Calibri" w:hAnsiTheme="majorHAnsi" w:cstheme="majorHAnsi"/>
          <w:color w:val="000000"/>
        </w:rPr>
        <w:t xml:space="preserve"> permit the insured to exclude certain coverages from their policy, such as optional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Sublimits are limitations in a homeowner’s insurance policy that set the maximum amount the insurer will pay for certain types of property in the event of a covered loss. While the policyholder’s overall coverage limit may seem sufficient, it’s essential to recognize that sublimits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can significantly impact the ability to recover the full value of a covered exposure. </w:t>
      </w:r>
    </w:p>
    <w:p w14:paraId="47ED4B11"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Educating policyholders to proactively review their coverage and coverage changes—both at the time of initial purchase and during policy renewal—can help prevent the shock of discovering coverage gaps only when filing a claim.</w:t>
      </w:r>
    </w:p>
    <w:p w14:paraId="47ED4B12" w14:textId="77777777"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Increased Premiums</w:t>
      </w:r>
      <w:r w:rsidRPr="003A1135">
        <w:rPr>
          <w:rFonts w:asciiTheme="majorHAnsi" w:eastAsia="Calibri" w:hAnsiTheme="majorHAnsi" w:cstheme="majorHAnsi"/>
          <w:color w:val="000000"/>
        </w:rPr>
        <w:t>:</w:t>
      </w:r>
      <w:r w:rsidRPr="00591140">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Policyholder premiums are increasing directly due to rising insurance rates. This increase is largely driven by a growing frequency and severity of claims, influenced by factors </w:t>
      </w:r>
      <w:r w:rsidRPr="00B6688A">
        <w:rPr>
          <w:rFonts w:asciiTheme="majorHAnsi" w:eastAsia="Calibri" w:hAnsiTheme="majorHAnsi" w:cstheme="majorHAnsi"/>
          <w:color w:val="000000"/>
        </w:rPr>
        <w:lastRenderedPageBreak/>
        <w:t>such as rising claims costs, increased rebuilding costs, and economic inflation. Ultimately, policyholders share the burden of these costs caused by these factors.</w:t>
      </w:r>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Depreciation of Claims</w:t>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97"/>
      </w:r>
      <w:r w:rsidRPr="00B6688A">
        <w:rPr>
          <w:rFonts w:asciiTheme="majorHAnsi" w:eastAsia="Calibri" w:hAnsiTheme="majorHAnsi" w:cstheme="majorHAnsi"/>
          <w:color w:val="000000"/>
          <w:vertAlign w:val="superscript"/>
        </w:rPr>
        <w:t xml:space="preserve"> </w:t>
      </w:r>
      <w:r w:rsidRPr="00B6688A">
        <w:rPr>
          <w:rFonts w:asciiTheme="majorHAnsi" w:eastAsia="Calibri" w:hAnsiTheme="majorHAnsi" w:cstheme="majorHAnsi"/>
          <w:color w:val="000000"/>
        </w:rPr>
        <w:t>The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Pr>
          <w:rFonts w:asciiTheme="majorHAnsi" w:eastAsia="Calibri" w:hAnsiTheme="majorHAnsi" w:cstheme="majorHAnsi"/>
          <w:color w:val="000000"/>
        </w:rPr>
        <w:t>a</w:t>
      </w:r>
      <w:r w:rsidRPr="00B6688A">
        <w:rPr>
          <w:rFonts w:asciiTheme="majorHAnsi" w:eastAsia="Calibri" w:hAnsiTheme="majorHAnsi" w:cstheme="majorHAnsi"/>
          <w:color w:val="000000"/>
        </w:rPr>
        <w:t xml:space="preserve">ctual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ash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(ACV) rather than its </w:t>
      </w:r>
      <w:r w:rsidR="00CC1FEF">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eplacement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ost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This practice directly increases the policyholder’s share of the claim burden. Because the insurer pays </w:t>
      </w:r>
      <w:r w:rsidR="00EB6FED" w:rsidRPr="00B6688A">
        <w:rPr>
          <w:rFonts w:asciiTheme="majorHAnsi" w:eastAsia="Calibri" w:hAnsiTheme="majorHAnsi" w:cstheme="majorHAnsi"/>
          <w:color w:val="000000"/>
        </w:rPr>
        <w:t>less, the policyholder must cover the difference between the depreciated payout and the actual cost of repairing or replacing</w:t>
      </w:r>
      <w:r w:rsidRPr="00B6688A">
        <w:rPr>
          <w:rFonts w:asciiTheme="majorHAnsi" w:eastAsia="Calibri" w:hAnsiTheme="majorHAnsi" w:cstheme="majorHAnsi"/>
          <w:color w:val="000000"/>
        </w:rPr>
        <w:t xml:space="preserve"> the item. For example, if a </w:t>
      </w:r>
      <w:r w:rsidR="00EB6FED" w:rsidRPr="00B6688A">
        <w:rPr>
          <w:rFonts w:asciiTheme="majorHAnsi" w:eastAsia="Calibri" w:hAnsiTheme="majorHAnsi" w:cstheme="majorHAnsi"/>
          <w:color w:val="000000"/>
        </w:rPr>
        <w:t xml:space="preserve">10-year-old roof is damaged in a storm, the insurer may cover only </w:t>
      </w:r>
      <w:r w:rsidRPr="00B6688A">
        <w:rPr>
          <w:rFonts w:asciiTheme="majorHAnsi" w:eastAsia="Calibri" w:hAnsiTheme="majorHAnsi" w:cstheme="majorHAnsi"/>
          <w:color w:val="000000"/>
        </w:rPr>
        <w:t>half the replacement cost due to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After factoring in the deductible, the policyholder could be responsible for more than half of the total cost, even with insurance coverage.</w:t>
      </w:r>
    </w:p>
    <w:p w14:paraId="47ED4B15" w14:textId="4CC3051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This dynamic contributes to the widening of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—the difference between total economic losses and the portion that is insured. As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However, the reality is more nuanced, and many consumers may not fully understand the limitations of their coverage.</w:t>
      </w:r>
    </w:p>
    <w:p w14:paraId="47ED4B17" w14:textId="7D174BD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While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a fair and standard actuarial practice, its impact on claim settlements can significantly increase policyholders' financial burden. This not only undermines the perceived value of insurance but also exacerbates existing protection gaps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for vulnerable or lower-income policyholders.</w:t>
      </w:r>
    </w:p>
    <w:p w14:paraId="47ED4B18" w14:textId="004B002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lastRenderedPageBreak/>
        <w:t xml:space="preserve">ACV </w:t>
      </w:r>
      <w:r w:rsidR="0038101B">
        <w:rPr>
          <w:rFonts w:asciiTheme="majorHAnsi" w:eastAsia="Calibri" w:hAnsiTheme="majorHAnsi" w:cstheme="majorHAnsi"/>
          <w:b/>
          <w:bCs/>
          <w:i/>
          <w:iCs/>
          <w:color w:val="000000"/>
          <w:u w:val="single"/>
        </w:rPr>
        <w:t>V</w:t>
      </w:r>
      <w:r w:rsidR="0044020C">
        <w:rPr>
          <w:rFonts w:asciiTheme="majorHAnsi" w:eastAsia="Calibri" w:hAnsiTheme="majorHAnsi" w:cstheme="majorHAnsi"/>
          <w:b/>
          <w:bCs/>
          <w:i/>
          <w:iCs/>
          <w:color w:val="000000"/>
          <w:u w:val="single"/>
        </w:rPr>
        <w:t>ersus</w:t>
      </w:r>
      <w:r w:rsidRPr="00B6688A">
        <w:rPr>
          <w:rFonts w:asciiTheme="majorHAnsi" w:eastAsia="Calibri" w:hAnsiTheme="majorHAnsi" w:cstheme="majorHAnsi"/>
          <w:b/>
          <w:bCs/>
          <w:i/>
          <w:iCs/>
          <w:color w:val="000000"/>
          <w:u w:val="single"/>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The ratio of </w:t>
      </w:r>
      <w:r w:rsidR="0044020C">
        <w:rPr>
          <w:rFonts w:asciiTheme="majorHAnsi" w:eastAsia="Calibri" w:hAnsiTheme="majorHAnsi" w:cstheme="majorHAnsi"/>
          <w:color w:val="000000"/>
        </w:rPr>
        <w:t>RCV</w:t>
      </w:r>
      <w:r w:rsidRPr="00B6688A">
        <w:rPr>
          <w:rFonts w:asciiTheme="majorHAnsi" w:eastAsia="Calibri" w:hAnsiTheme="majorHAnsi" w:cstheme="majorHAnsi"/>
          <w:color w:val="000000"/>
        </w:rPr>
        <w:t xml:space="preserve"> policies to </w:t>
      </w:r>
      <w:r w:rsidR="009A142F">
        <w:rPr>
          <w:rFonts w:asciiTheme="majorHAnsi" w:eastAsia="Calibri" w:hAnsiTheme="majorHAnsi" w:cstheme="majorHAnsi"/>
          <w:color w:val="000000"/>
        </w:rPr>
        <w:t>AC</w:t>
      </w:r>
      <w:r w:rsidR="0044020C">
        <w:rPr>
          <w:rFonts w:asciiTheme="majorHAnsi" w:eastAsia="Calibri" w:hAnsiTheme="majorHAnsi" w:cstheme="majorHAnsi"/>
          <w:color w:val="000000"/>
        </w:rPr>
        <w:t>V</w:t>
      </w:r>
      <w:r w:rsidRPr="00B6688A">
        <w:rPr>
          <w:rFonts w:asciiTheme="majorHAnsi" w:eastAsia="Calibri" w:hAnsiTheme="majorHAnsi" w:cstheme="majorHAnsi"/>
          <w:color w:val="000000"/>
        </w:rPr>
        <w:t xml:space="preserve"> policies in a region may reveal important market trends over time. Some areas of the country are seeing an increase in ACV policies.</w:t>
      </w:r>
      <w:r w:rsidR="00FC3FD5">
        <w:rPr>
          <w:rStyle w:val="FootnoteReference"/>
          <w:rFonts w:asciiTheme="majorHAnsi" w:eastAsia="Calibri" w:hAnsiTheme="majorHAnsi" w:cstheme="majorHAnsi"/>
          <w:color w:val="000000"/>
        </w:rPr>
        <w:footnoteReference w:id="98"/>
      </w:r>
      <w:r w:rsidRPr="00B6688A">
        <w:rPr>
          <w:rFonts w:asciiTheme="majorHAnsi" w:eastAsia="Calibri" w:hAnsiTheme="majorHAnsi" w:cstheme="majorHAnsi"/>
          <w:color w:val="000000"/>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r w:rsidR="00F20372">
        <w:rPr>
          <w:rFonts w:asciiTheme="majorHAnsi" w:eastAsia="Calibri" w:hAnsiTheme="majorHAnsi" w:cstheme="majorHAnsi"/>
          <w:color w:val="000000"/>
        </w:rPr>
        <w:t xml:space="preserve"> </w:t>
      </w:r>
    </w:p>
    <w:p w14:paraId="47ED4B1B" w14:textId="5E0D8DA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Each approach represents a different allocation of risk between the insurer and policyholder.</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Understanding how ACV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structures interact with local risk conditions and building characteristics is critical to informed policyholder decision</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39" w:name="_z6y57g45c35l" w:colFirst="0" w:colLast="0"/>
      <w:bookmarkEnd w:id="39"/>
      <w:r w:rsidRPr="00B6688A">
        <w:rPr>
          <w:rFonts w:asciiTheme="majorHAnsi" w:eastAsia="Calibri" w:hAnsiTheme="majorHAnsi" w:cstheme="majorHAnsi"/>
        </w:rPr>
        <w:t>Expansion of Residual Markets</w:t>
      </w:r>
    </w:p>
    <w:p w14:paraId="430DE140" w14:textId="77777777" w:rsidR="002C4270" w:rsidRDefault="007413BF">
      <w:pPr>
        <w:jc w:val="both"/>
        <w:rPr>
          <w:rFonts w:asciiTheme="majorHAnsi" w:eastAsia="Calibri" w:hAnsiTheme="majorHAnsi" w:cstheme="majorHAnsi"/>
        </w:rPr>
      </w:pPr>
      <w:r w:rsidRPr="00B6688A">
        <w:rPr>
          <w:rFonts w:asciiTheme="majorHAnsi" w:eastAsia="Calibri" w:hAnsiTheme="majorHAnsi" w:cstheme="majorHAnsi"/>
        </w:rPr>
        <w:t>As traditional private insurers scale back their presence in higher-risk regions, coverage through alternative avenues has become increasingly relevant. These alternatives may involve trade-offs that increase the financial responsibility homeowners bear. Such trade-offs can include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00B6688A">
        <w:rPr>
          <w:rFonts w:asciiTheme="majorHAnsi" w:eastAsia="Calibri" w:hAnsiTheme="majorHAnsi" w:cstheme="majorHAnsi"/>
        </w:rPr>
        <w:t>need to mitigate risk and reduce</w:t>
      </w:r>
      <w:r w:rsidRPr="00B6688A">
        <w:rPr>
          <w:rFonts w:asciiTheme="majorHAnsi" w:eastAsia="Calibri" w:hAnsiTheme="majorHAnsi" w:cstheme="majorHAnsi"/>
        </w:rPr>
        <w:t xml:space="preserve"> cost drivers. </w:t>
      </w:r>
    </w:p>
    <w:p w14:paraId="47ED4B1F" w14:textId="54789A9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Residual markets provide insurance to consumers who cannot obtain coverage in the private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because of high risk or special needs. Usually run by state governments or regulators, they include programs such as FAIR Plans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last-resort insurers to fill gaps when private insurers withdraw or limit coverage. Residual markets have seen rapid enrollment growth, particularly in regions where insurers are withdrawing. While residual markets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ensure that coverage remains available, they often provide narrower protection at higher premiums, leaving policyholders more financially exposed and contributing to the widening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20" w14:textId="51B489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Thirty-three states in the United States have some form of FAIR plan, although the specific structure and regulations vary by state. Some states have a single state-run plan, while others have multiple plans operated </w:t>
      </w:r>
      <w:r w:rsidRPr="00B6688A">
        <w:rPr>
          <w:rFonts w:asciiTheme="majorHAnsi" w:eastAsia="Calibri" w:hAnsiTheme="majorHAnsi" w:cstheme="majorHAnsi"/>
        </w:rPr>
        <w:lastRenderedPageBreak/>
        <w:t xml:space="preserve">by different insurance companies. </w:t>
      </w:r>
      <w:r w:rsidR="00231BC1">
        <w:rPr>
          <w:rFonts w:asciiTheme="majorHAnsi" w:eastAsia="Calibri" w:hAnsiTheme="majorHAnsi" w:cstheme="majorHAnsi"/>
        </w:rPr>
        <w:t>St</w:t>
      </w:r>
      <w:r w:rsidR="00CA76FD">
        <w:rPr>
          <w:rFonts w:asciiTheme="majorHAnsi" w:eastAsia="Calibri" w:hAnsiTheme="majorHAnsi" w:cstheme="majorHAnsi"/>
        </w:rPr>
        <w:t>ates with</w:t>
      </w:r>
      <w:r w:rsidRPr="00B6688A">
        <w:rPr>
          <w:rFonts w:asciiTheme="majorHAnsi" w:eastAsia="Calibri" w:hAnsiTheme="majorHAnsi" w:cstheme="majorHAnsi"/>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Hawaii, New York, and North Carolina, among others.</w:t>
      </w:r>
      <w:r w:rsidRPr="00B6688A">
        <w:rPr>
          <w:rFonts w:asciiTheme="majorHAnsi" w:eastAsia="Calibri" w:hAnsiTheme="majorHAnsi" w:cstheme="majorHAnsi"/>
          <w:vertAlign w:val="superscript"/>
        </w:rPr>
        <w:footnoteReference w:id="99"/>
      </w:r>
      <w:r w:rsidRPr="00B6688A">
        <w:rPr>
          <w:rFonts w:asciiTheme="majorHAnsi" w:eastAsia="Calibri" w:hAnsiTheme="majorHAnsi" w:cstheme="majorHAnsi"/>
        </w:rPr>
        <w:t xml:space="preserve"> California experienced significant year-over-year increases in new and renewed FAIR </w:t>
      </w:r>
      <w:r w:rsidR="00231BC1">
        <w:rPr>
          <w:rFonts w:asciiTheme="majorHAnsi" w:eastAsia="Calibri" w:hAnsiTheme="majorHAnsi" w:cstheme="majorHAnsi"/>
        </w:rPr>
        <w:t>p</w:t>
      </w:r>
      <w:r w:rsidRPr="00B6688A">
        <w:rPr>
          <w:rFonts w:asciiTheme="majorHAnsi" w:eastAsia="Calibri" w:hAnsiTheme="majorHAnsi" w:cstheme="majorHAnsi"/>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policies, with an average annual growth rate of about 18.3% from 2018 to 2023, rising from 140,447 policies to 324,954 over that period.</w:t>
      </w:r>
      <w:r w:rsidRPr="00B6688A">
        <w:rPr>
          <w:rFonts w:asciiTheme="majorHAnsi" w:eastAsia="Calibri" w:hAnsiTheme="majorHAnsi" w:cstheme="majorHAnsi"/>
          <w:vertAlign w:val="superscript"/>
        </w:rPr>
        <w:footnoteReference w:id="100"/>
      </w:r>
      <w:r w:rsidRPr="00B6688A">
        <w:rPr>
          <w:rFonts w:asciiTheme="majorHAnsi" w:eastAsia="Calibri" w:hAnsiTheme="majorHAnsi" w:cstheme="majorHAnsi"/>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t>Surplus Lines Market</w:t>
      </w:r>
    </w:p>
    <w:p w14:paraId="47ED4B22" w14:textId="1592E968" w:rsidR="00FB1243"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The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that make up the surplus lines market can offer more flexible policies for challenging risks because they operate in a different regulatory environment than admitted carriers. While surplus lines </w:t>
      </w:r>
      <w:r w:rsidRPr="00B6688A">
        <w:rPr>
          <w:rFonts w:asciiTheme="majorHAnsi" w:eastAsia="Calibri" w:hAnsiTheme="majorHAnsi" w:cstheme="majorHAnsi"/>
        </w:rPr>
        <w:t>policies</w:t>
      </w:r>
      <w:r w:rsidRPr="00B6688A">
        <w:rPr>
          <w:rFonts w:asciiTheme="majorHAnsi" w:eastAsia="Calibri" w:hAnsiTheme="majorHAnsi" w:cstheme="majorHAnsi"/>
          <w:color w:val="000000"/>
        </w:rPr>
        <w:t xml:space="preserve"> make up a comparatively</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small share of the market in which consumers obtain insurance coverage for their homes, they serve an important role in ensuring access to coverage in catastrophe areas where </w:t>
      </w:r>
      <w:r w:rsidRPr="00B6688A">
        <w:rPr>
          <w:rFonts w:asciiTheme="majorHAnsi" w:eastAsia="Calibri" w:hAnsiTheme="majorHAnsi" w:cstheme="majorHAnsi"/>
        </w:rPr>
        <w:t>admitted</w:t>
      </w:r>
      <w:r w:rsidRPr="00B6688A">
        <w:rPr>
          <w:rFonts w:asciiTheme="majorHAnsi" w:eastAsia="Calibri" w:hAnsiTheme="majorHAnsi" w:cstheme="majorHAnsi"/>
          <w:color w:val="000000"/>
        </w:rPr>
        <w:t xml:space="preserve"> carriers withdraw. However, insurance coverage through the surplus lines market also provides consumers with fewer protections and greater financial risk, as surplus lines policies are not backed by guaranty funds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Guaranty funds"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032F9B0E" w14:textId="77777777" w:rsidR="00D60C17" w:rsidRPr="00B6688A" w:rsidRDefault="00D60C17" w:rsidP="00D60C17">
      <w:pPr>
        <w:jc w:val="both"/>
        <w:rPr>
          <w:rFonts w:asciiTheme="majorHAnsi" w:eastAsia="Calibri" w:hAnsiTheme="majorHAnsi" w:cstheme="majorHAnsi"/>
        </w:rPr>
      </w:pPr>
      <w:r w:rsidRPr="00B6688A">
        <w:rPr>
          <w:rFonts w:asciiTheme="majorHAnsi" w:eastAsia="Calibri" w:hAnsiTheme="majorHAnsi" w:cstheme="majorHAnsi"/>
        </w:rPr>
        <w:t xml:space="preserve">A review of the NAIC U.S. </w:t>
      </w:r>
      <w:r>
        <w:rPr>
          <w:rFonts w:asciiTheme="majorHAnsi" w:eastAsia="Calibri" w:hAnsiTheme="majorHAnsi" w:cstheme="majorHAnsi"/>
        </w:rPr>
        <w:t>s</w:t>
      </w:r>
      <w:r w:rsidRPr="00B6688A">
        <w:rPr>
          <w:rFonts w:asciiTheme="majorHAnsi" w:eastAsia="Calibri" w:hAnsiTheme="majorHAnsi" w:cstheme="majorHAnsi"/>
        </w:rPr>
        <w:t xml:space="preserve">urplus </w:t>
      </w:r>
      <w:r>
        <w:rPr>
          <w:rFonts w:asciiTheme="majorHAnsi" w:eastAsia="Calibri" w:hAnsiTheme="majorHAnsi" w:cstheme="majorHAnsi"/>
        </w:rPr>
        <w:t>l</w:t>
      </w:r>
      <w:r w:rsidRPr="00B6688A">
        <w:rPr>
          <w:rFonts w:asciiTheme="majorHAnsi" w:eastAsia="Calibri" w:hAnsiTheme="majorHAnsi" w:cstheme="majorHAnsi"/>
        </w:rPr>
        <w:t xml:space="preserve">ines </w:t>
      </w:r>
      <w:r>
        <w:rPr>
          <w:rFonts w:asciiTheme="majorHAnsi" w:eastAsia="Calibri" w:hAnsiTheme="majorHAnsi" w:cstheme="majorHAnsi"/>
        </w:rPr>
        <w:t>m</w:t>
      </w:r>
      <w:r w:rsidRPr="00B6688A">
        <w:rPr>
          <w:rFonts w:asciiTheme="majorHAnsi" w:eastAsia="Calibri" w:hAnsiTheme="majorHAnsi" w:cstheme="majorHAnsi"/>
        </w:rPr>
        <w:t xml:space="preserve">arket </w:t>
      </w:r>
      <w:r>
        <w:rPr>
          <w:rFonts w:asciiTheme="majorHAnsi" w:eastAsia="Calibri" w:hAnsiTheme="majorHAnsi" w:cstheme="majorHAnsi"/>
        </w:rPr>
        <w:t>s</w:t>
      </w:r>
      <w:r w:rsidRPr="00B6688A">
        <w:rPr>
          <w:rFonts w:asciiTheme="majorHAnsi" w:eastAsia="Calibri" w:hAnsiTheme="majorHAnsi" w:cstheme="majorHAnsi"/>
        </w:rPr>
        <w:t xml:space="preserve">hare </w:t>
      </w:r>
      <w:r>
        <w:rPr>
          <w:rFonts w:asciiTheme="majorHAnsi" w:eastAsia="Calibri" w:hAnsiTheme="majorHAnsi" w:cstheme="majorHAnsi"/>
        </w:rPr>
        <w:t>r</w:t>
      </w:r>
      <w:r w:rsidRPr="00B6688A">
        <w:rPr>
          <w:rFonts w:asciiTheme="majorHAnsi" w:eastAsia="Calibri" w:hAnsiTheme="majorHAnsi" w:cstheme="majorHAnsi"/>
        </w:rPr>
        <w:t>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grew at an average rate of about 18.5% per year from 2018 to 2023, rising from about $50 billion to more than $116 billion over that period.</w:t>
      </w:r>
      <w:r w:rsidRPr="00B6688A">
        <w:rPr>
          <w:rFonts w:asciiTheme="majorHAnsi" w:eastAsia="Calibri" w:hAnsiTheme="majorHAnsi" w:cstheme="majorHAnsi"/>
          <w:vertAlign w:val="superscript"/>
        </w:rPr>
        <w:footnoteReference w:id="101"/>
      </w:r>
      <w:r>
        <w:rPr>
          <w:rFonts w:asciiTheme="majorHAnsi" w:eastAsia="Calibri" w:hAnsiTheme="majorHAnsi" w:cstheme="majorHAnsi"/>
        </w:rPr>
        <w:t xml:space="preserve"> </w:t>
      </w:r>
      <w:r w:rsidRPr="00B6688A">
        <w:rPr>
          <w:rFonts w:asciiTheme="majorHAnsi" w:eastAsia="Calibri" w:hAnsiTheme="majorHAnsi" w:cstheme="majorHAnsi"/>
        </w:rPr>
        <w:t>This expansion and growth of surplus lines carriers reflect shifts within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40" w:name="_nwmscja9ke9" w:colFirst="0" w:colLast="0"/>
      <w:bookmarkEnd w:id="40"/>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High and rising loss costs </w:t>
      </w:r>
      <w:r w:rsidR="007D351F" w:rsidRPr="00B6688A">
        <w:rPr>
          <w:rFonts w:asciiTheme="majorHAnsi" w:eastAsia="Calibri" w:hAnsiTheme="majorHAnsi" w:cstheme="majorHAnsi"/>
          <w:color w:val="000000"/>
        </w:rPr>
        <w:t xml:space="preserve">directly drive </w:t>
      </w:r>
      <w:r w:rsidR="001201C4">
        <w:rPr>
          <w:rFonts w:asciiTheme="majorHAnsi" w:eastAsia="Calibri" w:hAnsiTheme="majorHAnsi" w:cstheme="majorHAnsi"/>
          <w:color w:val="000000"/>
        </w:rPr>
        <w:t xml:space="preserve">challenges in </w:t>
      </w:r>
      <w:r w:rsidR="007D351F" w:rsidRPr="00B6688A">
        <w:rPr>
          <w:rFonts w:asciiTheme="majorHAnsi" w:eastAsia="Calibri" w:hAnsiTheme="majorHAnsi" w:cstheme="majorHAnsi"/>
          <w:color w:val="000000"/>
        </w:rPr>
        <w:t xml:space="preserve">homeowners insurance availability and affordability </w:t>
      </w:r>
      <w:r w:rsidRPr="00B6688A">
        <w:rPr>
          <w:rFonts w:asciiTheme="majorHAnsi" w:eastAsia="Calibri" w:hAnsiTheme="majorHAnsi" w:cstheme="majorHAnsi"/>
          <w:color w:val="000000"/>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w:t>
      </w:r>
      <w:r w:rsidRPr="00B6688A">
        <w:rPr>
          <w:rFonts w:asciiTheme="majorHAnsi" w:eastAsia="Calibri" w:hAnsiTheme="majorHAnsi" w:cstheme="majorHAnsi"/>
          <w:color w:val="000000"/>
        </w:rPr>
        <w:lastRenderedPageBreak/>
        <w:t xml:space="preserve">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tightening availability and affordability of homeowners insurance also affect property values and </w:t>
      </w:r>
      <w:r w:rsidR="007438C8" w:rsidRPr="00B6688A">
        <w:rPr>
          <w:rFonts w:asciiTheme="majorHAnsi" w:eastAsia="Calibri" w:hAnsiTheme="majorHAnsi" w:cstheme="majorHAnsi"/>
          <w:color w:val="000000"/>
        </w:rPr>
        <w:t>access to mortgages</w:t>
      </w:r>
      <w:r w:rsidRPr="00B6688A">
        <w:rPr>
          <w:rFonts w:asciiTheme="majorHAnsi" w:eastAsia="Calibri" w:hAnsiTheme="majorHAnsi" w:cstheme="majorHAnsi"/>
          <w:color w:val="000000"/>
        </w:rPr>
        <w:t xml:space="preserve">. Rising premiums and policy nonrenewals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renters, as landlords pass on higher insurance costs </w:t>
      </w:r>
      <w:r w:rsidR="007438C8" w:rsidRPr="00B6688A">
        <w:rPr>
          <w:rFonts w:asciiTheme="majorHAnsi" w:eastAsia="Calibri" w:hAnsiTheme="majorHAnsi" w:cstheme="majorHAnsi"/>
          <w:color w:val="000000"/>
        </w:rPr>
        <w:t>by raising rents, adding pressure to already-strained</w:t>
      </w:r>
      <w:r w:rsidRPr="00B6688A">
        <w:rPr>
          <w:rFonts w:asciiTheme="majorHAnsi" w:eastAsia="Calibri" w:hAnsiTheme="majorHAnsi" w:cstheme="majorHAnsi"/>
          <w:color w:val="000000"/>
        </w:rPr>
        <w:t xml:space="preserve"> rental markets.</w:t>
      </w:r>
    </w:p>
    <w:p w14:paraId="47ED4B26" w14:textId="7CA3F87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Local governments and communities are ultimately affected by fluctuations in insurance availability and affordability within their jurisdictions. Examples include declining home values linked to insurance affordability issues, which can ripple through local economies, slowing construction, reducing employment, and weakening consumer spending. Communities reliant on real estate and construction face particular vulnerability,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for example, affordable housing initiatives</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such as </w:t>
      </w:r>
      <w:r w:rsidRPr="00B42C74">
        <w:rPr>
          <w:rFonts w:asciiTheme="majorHAnsi" w:eastAsia="Calibri" w:hAnsiTheme="majorHAnsi" w:cstheme="majorHAnsi"/>
          <w:color w:val="000000"/>
        </w:rPr>
        <w:t>Proposition 123</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have expanded state investment in affordable housing, but rising insurance costs compound financial pressures for developers and landlords.</w:t>
      </w:r>
      <w:r w:rsidRPr="00B6688A">
        <w:rPr>
          <w:rFonts w:asciiTheme="majorHAnsi" w:eastAsia="Calibri" w:hAnsiTheme="majorHAnsi" w:cstheme="majorHAnsi"/>
          <w:color w:val="000000"/>
          <w:vertAlign w:val="superscript"/>
        </w:rPr>
        <w:footnoteReference w:id="102"/>
      </w:r>
      <w:r w:rsidRPr="00B6688A">
        <w:rPr>
          <w:rFonts w:asciiTheme="majorHAnsi" w:eastAsia="Calibri" w:hAnsiTheme="majorHAnsi" w:cstheme="majorHAnsi"/>
          <w:color w:val="000000"/>
        </w:rPr>
        <w:t xml:space="preserve"> These costs make affordable housing projects more difficult to finance and sustain, limiting the effectiveness of policy interventions aimed at addressing the housing crisis.</w:t>
      </w:r>
    </w:p>
    <w:p w14:paraId="49CCB219" w14:textId="5BEB5E3D" w:rsidR="000F42A0" w:rsidRPr="00B6688A" w:rsidRDefault="007413BF" w:rsidP="00EC6087">
      <w:pPr>
        <w:pBdr>
          <w:top w:val="nil"/>
          <w:left w:val="nil"/>
          <w:bottom w:val="nil"/>
          <w:right w:val="nil"/>
          <w:between w:val="nil"/>
        </w:pBdr>
        <w:jc w:val="both"/>
        <w:rPr>
          <w:rFonts w:asciiTheme="majorHAnsi" w:eastAsia="Calibri" w:hAnsiTheme="majorHAnsi" w:cstheme="majorHAnsi"/>
        </w:rPr>
      </w:pPr>
      <w:r w:rsidRPr="00B6688A">
        <w:rPr>
          <w:rFonts w:asciiTheme="majorHAnsi" w:eastAsia="Calibri" w:hAnsiTheme="majorHAnsi" w:cstheme="majorHAnsi"/>
          <w:color w:val="000000"/>
        </w:rPr>
        <w:t>Ultimately, homeowners insurance challenges are not isolated to individual households</w:t>
      </w:r>
      <w:r w:rsidR="006F4F0F">
        <w:rPr>
          <w:rFonts w:asciiTheme="majorHAnsi" w:eastAsia="Calibri" w:hAnsiTheme="majorHAnsi" w:cstheme="majorHAnsi"/>
          <w:color w:val="000000"/>
        </w:rPr>
        <w:t>. T</w:t>
      </w:r>
      <w:r w:rsidRPr="00B6688A">
        <w:rPr>
          <w:rFonts w:asciiTheme="majorHAnsi" w:eastAsia="Calibri" w:hAnsiTheme="majorHAnsi" w:cstheme="majorHAnsi"/>
          <w:color w:val="000000"/>
        </w:rPr>
        <w:t>hey reverberate across property markets, rental housing, local economies, and government budgets. As premiums rise and availability tightens, consumers may face higher costs, reduced access to mortgages, and declining property values.</w:t>
      </w:r>
      <w:r w:rsidRPr="00B6688A">
        <w:rPr>
          <w:rFonts w:asciiTheme="majorHAnsi" w:eastAsia="Calibri" w:hAnsiTheme="majorHAnsi" w:cstheme="majorHAnsi"/>
          <w:color w:val="000000"/>
          <w:vertAlign w:val="superscript"/>
        </w:rPr>
        <w:footnoteReference w:id="103"/>
      </w:r>
      <w:r w:rsidRPr="00B6688A">
        <w:rPr>
          <w:rFonts w:asciiTheme="majorHAnsi" w:eastAsia="Calibri" w:hAnsiTheme="majorHAnsi" w:cstheme="majorHAnsi"/>
          <w:color w:val="000000"/>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r w:rsidR="009726FC">
        <w:rPr>
          <w:rFonts w:asciiTheme="majorHAnsi" w:hAnsiTheme="majorHAnsi" w:cstheme="majorHAnsi"/>
        </w:rPr>
        <w:pict w14:anchorId="73A987D3">
          <v:rect id="_x0000_i1029" style="width:0;height:1.5pt" o:hralign="center" o:hrstd="t" o:hr="t" fillcolor="#a0a0a0" stroked="f"/>
        </w:pict>
      </w:r>
    </w:p>
    <w:p w14:paraId="47ED4B28" w14:textId="5BEB5E3D" w:rsidR="00FB1243" w:rsidRPr="00702B45" w:rsidRDefault="007413BF" w:rsidP="00D30C73">
      <w:pPr>
        <w:pStyle w:val="Heading1"/>
        <w:pageBreakBefore/>
        <w:rPr>
          <w:rFonts w:asciiTheme="majorHAnsi" w:hAnsiTheme="majorHAnsi" w:cstheme="majorHAnsi"/>
        </w:rPr>
      </w:pPr>
      <w:bookmarkStart w:id="41" w:name="_n5zyfjk3jq8f" w:colFirst="0" w:colLast="0"/>
      <w:bookmarkStart w:id="42" w:name="_Toc236057853"/>
      <w:bookmarkEnd w:id="41"/>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42"/>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43" w:name="_bolpexcionj6" w:colFirst="0" w:colLast="0"/>
      <w:bookmarkStart w:id="44" w:name="_Toc236057854"/>
      <w:bookmarkEnd w:id="43"/>
      <w:r w:rsidRPr="00702B45">
        <w:rPr>
          <w:rFonts w:asciiTheme="majorHAnsi" w:hAnsiTheme="majorHAnsi" w:cstheme="majorHAnsi"/>
        </w:rPr>
        <w:t>Section A: Overview</w:t>
      </w:r>
      <w:bookmarkEnd w:id="44"/>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45" w:name="_7ficraoj8qb" w:colFirst="0" w:colLast="0"/>
      <w:bookmarkStart w:id="46" w:name="_cyz0sreqef3o" w:colFirst="0" w:colLast="0"/>
      <w:bookmarkStart w:id="47" w:name="_Toc236057855"/>
      <w:bookmarkEnd w:id="45"/>
      <w:bookmarkEnd w:id="46"/>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47"/>
    </w:p>
    <w:p w14:paraId="47ED4B2E" w14:textId="4B97EB2E" w:rsidR="00FB1243" w:rsidRPr="00702B45" w:rsidRDefault="007413BF">
      <w:pPr>
        <w:jc w:val="both"/>
        <w:rPr>
          <w:rFonts w:asciiTheme="majorHAnsi" w:eastAsia="Calibri" w:hAnsiTheme="majorHAnsi" w:cstheme="majorHAnsi"/>
        </w:rPr>
      </w:pPr>
      <w:r w:rsidRPr="00702B45">
        <w:rPr>
          <w:rFonts w:asciiTheme="majorHAnsi" w:eastAsia="Calibri" w:hAnsiTheme="majorHAnsi" w:cstheme="majorHAnsi"/>
        </w:rPr>
        <w:t>Some states where litigation</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Litigation"</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costs and legal uncertainties are driving up premiums and reducing insurer participation have enacted tort reform</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Tort reform"</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Measures such as adjusting standards for bad-faith claims, changing attorney-fee rules, or clarifying liability thresholds aim to reduce claim frequency and severity, limit frivolous claims, and promote a balanced judicial environment for plaintiffs and insurers.</w:t>
      </w:r>
      <w:r w:rsidRPr="00702B45">
        <w:rPr>
          <w:rFonts w:asciiTheme="majorHAnsi" w:eastAsia="Calibri" w:hAnsiTheme="majorHAnsi" w:cstheme="majorHAnsi"/>
          <w:vertAlign w:val="superscript"/>
        </w:rPr>
        <w:footnoteReference w:id="104"/>
      </w:r>
      <w:r w:rsidRPr="00702B45">
        <w:rPr>
          <w:rFonts w:asciiTheme="majorHAnsi" w:eastAsia="Calibri" w:hAnsiTheme="majorHAnsi" w:cstheme="majorHAnsi"/>
        </w:rPr>
        <w:t> A notable example of this approach can be seen in 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where the effects of the 2023 tort reforms have already proven significant.</w:t>
      </w:r>
    </w:p>
    <w:p w14:paraId="47ED4B2F" w14:textId="71CA98DA" w:rsidR="00FB1243" w:rsidRPr="00702B45" w:rsidRDefault="007413BF">
      <w:pPr>
        <w:jc w:val="both"/>
        <w:rPr>
          <w:rFonts w:asciiTheme="majorHAnsi" w:eastAsia="Calibri" w:hAnsiTheme="majorHAnsi" w:cstheme="majorHAnsi"/>
          <w:color w:val="0070C0"/>
        </w:rPr>
      </w:pPr>
      <w:r w:rsidRPr="00702B45">
        <w:rPr>
          <w:rFonts w:asciiTheme="majorHAnsi" w:eastAsia="Calibri" w:hAnsiTheme="majorHAnsi" w:cstheme="majorHAnsi"/>
        </w:rPr>
        <w:t>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has enacted historic, unprecedented reforms to promote market stability</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Market stability"</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F20372">
        <w:rPr>
          <w:rFonts w:asciiTheme="majorHAnsi" w:eastAsia="Calibri" w:hAnsiTheme="majorHAnsi" w:cstheme="majorHAnsi"/>
        </w:rPr>
        <w:t xml:space="preserve"> </w:t>
      </w:r>
      <w:r w:rsidRPr="00702B45">
        <w:rPr>
          <w:rFonts w:asciiTheme="majorHAnsi" w:eastAsia="Calibri" w:hAnsiTheme="majorHAnsi" w:cstheme="majorHAnsi"/>
        </w:rPr>
        <w:t xml:space="preserve">The Florida Office of Insurance Regulation closely tracks the impact of legislation on Florida’s property insurance market. Recent legislative reforms for Florida’s property insurance market, along with links, </w:t>
      </w:r>
      <w:r w:rsidR="00F508A4" w:rsidRPr="00702B45">
        <w:rPr>
          <w:rFonts w:asciiTheme="majorHAnsi" w:eastAsia="Calibri" w:hAnsiTheme="majorHAnsi" w:cstheme="majorHAnsi"/>
        </w:rPr>
        <w:t>are available</w:t>
      </w:r>
      <w:r w:rsidRPr="00702B45">
        <w:rPr>
          <w:rFonts w:asciiTheme="majorHAnsi" w:eastAsia="Calibri" w:hAnsiTheme="majorHAnsi" w:cstheme="majorHAnsi"/>
        </w:rPr>
        <w:t xml:space="preserve"> </w:t>
      </w:r>
      <w:hyperlink r:id="rId15" w:history="1">
        <w:r w:rsidR="000D48E5" w:rsidRPr="000D48E5">
          <w:rPr>
            <w:rStyle w:val="Hyperlink"/>
            <w:rFonts w:asciiTheme="majorHAnsi" w:eastAsia="Calibri" w:hAnsiTheme="majorHAnsi" w:cstheme="majorHAnsi"/>
          </w:rPr>
          <w:t>here</w:t>
        </w:r>
      </w:hyperlink>
      <w:r w:rsidRPr="00702B45">
        <w:rPr>
          <w:rFonts w:asciiTheme="majorHAnsi" w:eastAsia="Calibri" w:hAnsiTheme="majorHAnsi" w:cstheme="majorHAnsi"/>
        </w:rPr>
        <w:t>. Florida House Bill 837 made numerous changes to Florida’s civil justice system. The bill 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Pr>
          <w:rFonts w:asciiTheme="majorHAnsi" w:eastAsia="Calibri" w:hAnsiTheme="majorHAnsi" w:cstheme="majorHAnsi"/>
        </w:rPr>
        <w:t xml:space="preserve"> </w:t>
      </w:r>
      <w:r w:rsidRPr="00702B45">
        <w:rPr>
          <w:rFonts w:asciiTheme="majorHAnsi" w:eastAsia="Calibri" w:hAnsiTheme="majorHAnsi" w:cstheme="majorHAnsi"/>
        </w:rPr>
        <w:t>The bill also stipulates that a contingency fee multiplier for an attorney's fee award is appropriate only in rare and exceptional circumstances.</w:t>
      </w:r>
      <w:r w:rsidR="00F20372">
        <w:rPr>
          <w:rFonts w:asciiTheme="majorHAnsi" w:eastAsia="Calibri" w:hAnsiTheme="majorHAnsi" w:cstheme="majorHAnsi"/>
        </w:rPr>
        <w:t xml:space="preserve"> </w:t>
      </w:r>
      <w:r w:rsidRPr="00702B45">
        <w:rPr>
          <w:rFonts w:asciiTheme="majorHAnsi" w:eastAsia="Calibri" w:hAnsiTheme="majorHAnsi" w:cstheme="majorHAnsi"/>
        </w:rPr>
        <w:t>The bill strengthened some reforms from HB 2A by repealing Florida’s one-way attorney-fee statutes, with very limited exceptions.</w:t>
      </w:r>
      <w:r w:rsidRPr="00702B45">
        <w:rPr>
          <w:rFonts w:asciiTheme="majorHAnsi" w:eastAsia="Calibri" w:hAnsiTheme="majorHAnsi" w:cstheme="majorHAnsi"/>
          <w:vertAlign w:val="superscript"/>
        </w:rPr>
        <w:footnoteReference w:id="105"/>
      </w:r>
      <w:r w:rsidRPr="00702B45">
        <w:rPr>
          <w:rFonts w:asciiTheme="majorHAnsi" w:eastAsia="Calibri" w:hAnsiTheme="majorHAnsi" w:cstheme="majorHAnsi"/>
        </w:rPr>
        <w:t xml:space="preserve"> </w:t>
      </w:r>
    </w:p>
    <w:p w14:paraId="47ED4B30" w14:textId="0456D757" w:rsidR="00FB1243" w:rsidRPr="00B6688A" w:rsidRDefault="002E4BF8" w:rsidP="00A33790">
      <w:pPr>
        <w:pStyle w:val="Heading2"/>
        <w:rPr>
          <w:rFonts w:asciiTheme="majorHAnsi" w:hAnsiTheme="majorHAnsi" w:cstheme="majorHAnsi"/>
        </w:rPr>
      </w:pPr>
      <w:bookmarkStart w:id="48" w:name="_x2t3wju1dpt" w:colFirst="0" w:colLast="0"/>
      <w:bookmarkStart w:id="49" w:name="_Toc236057856"/>
      <w:bookmarkEnd w:id="48"/>
      <w:r w:rsidRPr="00702B45">
        <w:rPr>
          <w:rFonts w:asciiTheme="majorHAnsi" w:hAnsiTheme="majorHAnsi" w:cstheme="majorHAnsi"/>
        </w:rPr>
        <w:lastRenderedPageBreak/>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49"/>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39BFE2F2" w:rsidR="00FB1243" w:rsidRPr="00B6688A" w:rsidRDefault="007413BF" w:rsidP="00A72B38">
      <w:pPr>
        <w:jc w:val="both"/>
        <w:rPr>
          <w:rFonts w:asciiTheme="majorHAnsi" w:hAnsiTheme="majorHAnsi" w:cstheme="majorHAnsi"/>
        </w:rPr>
      </w:pPr>
      <w:r w:rsidRPr="00B6688A">
        <w:rPr>
          <w:rFonts w:asciiTheme="majorHAnsi" w:hAnsiTheme="majorHAnsi" w:cstheme="majorHAnsi"/>
        </w:rPr>
        <w:t>Parametric insurance differs from traditional property</w:t>
      </w:r>
      <w:r w:rsidR="00396549">
        <w:rPr>
          <w:rFonts w:asciiTheme="majorHAnsi" w:hAnsiTheme="majorHAnsi" w:cstheme="majorHAnsi"/>
        </w:rPr>
        <w:t>/</w:t>
      </w:r>
      <w:r w:rsidRPr="00B6688A">
        <w:rPr>
          <w:rFonts w:asciiTheme="majorHAnsi" w:hAnsiTheme="majorHAnsi" w:cstheme="majorHAnsi"/>
        </w:rPr>
        <w:t xml:space="preserve">casualty </w:t>
      </w:r>
      <w:r w:rsidR="00396549">
        <w:rPr>
          <w:rFonts w:asciiTheme="majorHAnsi" w:hAnsiTheme="majorHAnsi" w:cstheme="majorHAnsi"/>
        </w:rPr>
        <w:t xml:space="preserve">(P/C) </w:t>
      </w:r>
      <w:r w:rsidRPr="00B6688A">
        <w:rPr>
          <w:rFonts w:asciiTheme="majorHAnsi" w:hAnsiTheme="majorHAnsi" w:cstheme="majorHAnsi"/>
        </w:rPr>
        <w:t>products in that it does not indemnify actual loss. While many parametric products in the property context are currently offered through excess and surplus lines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"Surplus lines"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markets, similar predefined</w:t>
      </w:r>
      <w:r w:rsidRPr="00B6688A">
        <w:rPr>
          <w:rFonts w:ascii="Cambria Math" w:eastAsia="Cambria Math" w:hAnsi="Cambria Math" w:cs="Cambria Math"/>
        </w:rPr>
        <w:t>‑</w:t>
      </w:r>
      <w:r w:rsidRPr="00B6688A">
        <w:rPr>
          <w:rFonts w:asciiTheme="majorHAnsi" w:hAnsiTheme="majorHAnsi" w:cstheme="majorHAnsi"/>
        </w:rPr>
        <w:t>benefit structures have long existed in regulated life and health insurance products. As a result, dedicated regulatory frameworks for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 property lines remain limited and differ across states, reflecting variation in how jurisdictions address non</w:t>
      </w:r>
      <w:r w:rsidRPr="00B6688A">
        <w:rPr>
          <w:rFonts w:ascii="Cambria Math" w:eastAsia="Cambria Math" w:hAnsi="Cambria Math" w:cs="Cambria Math"/>
        </w:rPr>
        <w:t>‑</w:t>
      </w:r>
      <w:r w:rsidRPr="00B6688A">
        <w:rPr>
          <w:rFonts w:asciiTheme="majorHAnsi" w:hAnsiTheme="majorHAnsi" w:cstheme="majorHAnsi"/>
        </w:rPr>
        <w:t xml:space="preserve">indemnity insurance designs. </w:t>
      </w:r>
    </w:p>
    <w:p w14:paraId="6DC389C3" w14:textId="5B354D28" w:rsidR="00893CEF" w:rsidRDefault="007413BF" w:rsidP="00A72B38">
      <w:pPr>
        <w:jc w:val="both"/>
        <w:rPr>
          <w:rFonts w:asciiTheme="majorHAnsi" w:hAnsiTheme="majorHAnsi" w:cstheme="majorHAnsi"/>
        </w:rPr>
      </w:pPr>
      <w:r w:rsidRPr="00B6688A">
        <w:rPr>
          <w:rFonts w:asciiTheme="majorHAnsi" w:hAnsiTheme="majorHAnsi" w:cstheme="majorHAnsi"/>
        </w:rPr>
        <w:t>In states like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interest in this type of insurance is increasing as a way to help manage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earthquake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"Earthquake"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California's Department of Insurance </w:t>
      </w:r>
      <w:r w:rsidR="001521F5">
        <w:rPr>
          <w:rFonts w:asciiTheme="majorHAnsi" w:hAnsiTheme="majorHAnsi" w:cstheme="majorHAnsi"/>
        </w:rPr>
        <w:t xml:space="preserve">has a </w:t>
      </w:r>
      <w:r w:rsidRPr="00B6688A">
        <w:rPr>
          <w:rFonts w:asciiTheme="majorHAnsi" w:hAnsiTheme="majorHAnsi" w:cstheme="majorHAnsi"/>
        </w:rPr>
        <w:t>pilot grant program for 2025</w:t>
      </w:r>
      <w:r w:rsidR="006C0373" w:rsidRPr="006C0373">
        <w:rPr>
          <w:rFonts w:asciiTheme="majorHAnsi" w:hAnsiTheme="majorHAnsi" w:cstheme="majorHAnsi"/>
        </w:rPr>
        <w:t>–</w:t>
      </w:r>
      <w:r w:rsidRPr="00B6688A">
        <w:rPr>
          <w:rFonts w:asciiTheme="majorHAnsi" w:hAnsiTheme="majorHAnsi" w:cstheme="majorHAnsi"/>
        </w:rPr>
        <w:t>2026 to support scalable, community-based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products aimed at low-income residents.</w:t>
      </w:r>
      <w:r w:rsidRPr="00B6688A">
        <w:rPr>
          <w:rFonts w:asciiTheme="majorHAnsi" w:hAnsiTheme="majorHAnsi" w:cstheme="majorHAnsi"/>
          <w:vertAlign w:val="superscript"/>
        </w:rPr>
        <w:footnoteReference w:id="106"/>
      </w:r>
      <w:r w:rsidRPr="00B6688A">
        <w:rPr>
          <w:rFonts w:asciiTheme="majorHAnsi" w:hAnsiTheme="majorHAnsi" w:cstheme="majorHAnsi"/>
        </w:rPr>
        <w:t xml:space="preserve"> The state has also introduced new rules requiring catastrophe models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incorporate homeowners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measures, which may support the development of parametric triggers linked to real wildfire risk.</w:t>
      </w:r>
      <w:r w:rsidRPr="00B6688A">
        <w:rPr>
          <w:rFonts w:asciiTheme="majorHAnsi" w:hAnsiTheme="majorHAnsi" w:cstheme="majorHAnsi"/>
          <w:vertAlign w:val="superscript"/>
        </w:rPr>
        <w:footnoteReference w:id="107"/>
      </w:r>
      <w:r w:rsidRPr="00B6688A">
        <w:rPr>
          <w:rFonts w:asciiTheme="majorHAnsi" w:hAnsiTheme="majorHAnsi" w:cstheme="majorHAnsi"/>
        </w:rPr>
        <w:t xml:space="preserve"> Some other states have explored legislation related to parametric coverage, including proposals to establish pilot programs, though these efforts have not been enacted to date. Washington has proposed regulations </w:t>
      </w:r>
      <w:r w:rsidR="008413C5" w:rsidRPr="00B6688A">
        <w:rPr>
          <w:rFonts w:asciiTheme="majorHAnsi" w:hAnsiTheme="majorHAnsi" w:cstheme="majorHAnsi"/>
        </w:rPr>
        <w:t>requiring</w:t>
      </w:r>
      <w:r w:rsidR="00C3193C" w:rsidRPr="00B6688A">
        <w:rPr>
          <w:rFonts w:asciiTheme="majorHAnsi" w:hAnsiTheme="majorHAnsi" w:cstheme="majorHAnsi"/>
        </w:rPr>
        <w:t xml:space="preserve"> insurers to share fire risk scores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"Risk scores" </w:instrText>
      </w:r>
      <w:r w:rsidR="00870578" w:rsidRPr="00B6688A">
        <w:rPr>
          <w:rFonts w:asciiTheme="majorHAnsi" w:hAnsiTheme="majorHAnsi" w:cstheme="majorHAnsi"/>
        </w:rPr>
        <w:fldChar w:fldCharType="end"/>
      </w:r>
      <w:r w:rsidR="00C3193C" w:rsidRPr="00B6688A">
        <w:rPr>
          <w:rFonts w:asciiTheme="majorHAnsi" w:hAnsiTheme="majorHAnsi" w:cstheme="majorHAnsi"/>
        </w:rPr>
        <w:t>, which may be relevant to</w:t>
      </w:r>
      <w:r w:rsidRPr="00B6688A">
        <w:rPr>
          <w:rFonts w:asciiTheme="majorHAnsi" w:hAnsiTheme="majorHAnsi" w:cstheme="majorHAnsi"/>
        </w:rPr>
        <w:t xml:space="preserve"> parametric triggers and pricing.</w:t>
      </w:r>
      <w:r w:rsidRPr="00B6688A">
        <w:rPr>
          <w:rFonts w:asciiTheme="majorHAnsi" w:hAnsiTheme="majorHAnsi" w:cstheme="majorHAnsi"/>
          <w:vertAlign w:val="superscript"/>
        </w:rPr>
        <w:footnoteReference w:id="108"/>
      </w:r>
      <w:r w:rsidRPr="00B6688A">
        <w:rPr>
          <w:rFonts w:asciiTheme="majorHAnsi" w:hAnsiTheme="majorHAnsi" w:cstheme="majorHAnsi"/>
        </w:rPr>
        <w:t xml:space="preserve"> </w:t>
      </w:r>
    </w:p>
    <w:p w14:paraId="47ED4B33" w14:textId="4210CCDA"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Maryland is establishing an official regulatory framework for parametric insurance. In 2026, Maryland passed legislation allowing the </w:t>
      </w:r>
      <w:r w:rsidR="009968AE">
        <w:rPr>
          <w:rFonts w:asciiTheme="majorHAnsi" w:hAnsiTheme="majorHAnsi" w:cstheme="majorHAnsi"/>
        </w:rPr>
        <w:t>i</w:t>
      </w:r>
      <w:r w:rsidRPr="00B6688A">
        <w:rPr>
          <w:rFonts w:asciiTheme="majorHAnsi" w:hAnsiTheme="majorHAnsi" w:cstheme="majorHAnsi"/>
        </w:rPr>
        <w:t xml:space="preserve">nsurance </w:t>
      </w:r>
      <w:r w:rsidR="009968AE">
        <w:rPr>
          <w:rFonts w:asciiTheme="majorHAnsi" w:hAnsiTheme="majorHAnsi" w:cstheme="majorHAnsi"/>
        </w:rPr>
        <w:t>c</w:t>
      </w:r>
      <w:r w:rsidRPr="00B6688A">
        <w:rPr>
          <w:rFonts w:asciiTheme="majorHAnsi" w:hAnsiTheme="majorHAnsi" w:cstheme="majorHAnsi"/>
        </w:rPr>
        <w:t xml:space="preserve">ommissioner to launch a voluntary pilot program for parametric products starting July 1, 2026. This program aims to serve public needs </w:t>
      </w:r>
      <w:r w:rsidRPr="00B6688A">
        <w:rPr>
          <w:rFonts w:asciiTheme="majorHAnsi" w:hAnsiTheme="majorHAnsi" w:cstheme="majorHAnsi"/>
        </w:rPr>
        <w:lastRenderedPageBreak/>
        <w:t>by providing quicker payouts after specific events to vulnerable groups and small businesses, while g</w:t>
      </w:r>
      <w:r w:rsidR="0075446A">
        <w:rPr>
          <w:rFonts w:asciiTheme="majorHAnsi" w:hAnsiTheme="majorHAnsi" w:cstheme="majorHAnsi"/>
        </w:rPr>
        <w:t>ranting</w:t>
      </w:r>
      <w:r w:rsidRPr="00B6688A">
        <w:rPr>
          <w:rFonts w:asciiTheme="majorHAnsi" w:hAnsiTheme="majorHAnsi" w:cstheme="majorHAnsi"/>
        </w:rPr>
        <w:t xml:space="preserve"> the </w:t>
      </w:r>
      <w:r w:rsidR="009968AE">
        <w:rPr>
          <w:rFonts w:asciiTheme="majorHAnsi" w:hAnsiTheme="majorHAnsi" w:cstheme="majorHAnsi"/>
        </w:rPr>
        <w:t>c</w:t>
      </w:r>
      <w:r w:rsidRPr="00B6688A">
        <w:rPr>
          <w:rFonts w:asciiTheme="majorHAnsi" w:hAnsiTheme="majorHAnsi" w:cstheme="majorHAnsi"/>
        </w:rPr>
        <w:t>ommissioner authority to set policy standards and expedite reviews of community programs.</w:t>
      </w:r>
      <w:r w:rsidRPr="00B6688A">
        <w:rPr>
          <w:rFonts w:asciiTheme="majorHAnsi" w:hAnsiTheme="majorHAnsi" w:cstheme="majorHAnsi"/>
          <w:vertAlign w:val="superscript"/>
        </w:rPr>
        <w:footnoteReference w:id="109"/>
      </w:r>
      <w:r w:rsidR="00DA74D5" w:rsidRPr="00B6688A">
        <w:rPr>
          <w:rFonts w:asciiTheme="majorHAnsi" w:hAnsiTheme="majorHAnsi" w:cstheme="majorHAnsi"/>
          <w:vertAlign w:val="superscript"/>
        </w:rPr>
        <w:t>,</w:t>
      </w:r>
      <w:r w:rsidR="00DA74D5" w:rsidRPr="00B6688A">
        <w:rPr>
          <w:rStyle w:val="FootnoteReference"/>
          <w:rFonts w:asciiTheme="majorHAnsi" w:hAnsiTheme="majorHAnsi" w:cstheme="majorHAnsi"/>
          <w:color w:val="000000"/>
        </w:rPr>
        <w:footnoteReference w:id="110"/>
      </w:r>
    </w:p>
    <w:p w14:paraId="47ED4B34" w14:textId="198FA2D6"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By providing rapid, predefined payouts </w:t>
      </w:r>
      <w:r w:rsidR="00F508A4" w:rsidRPr="00B6688A">
        <w:rPr>
          <w:rFonts w:asciiTheme="majorHAnsi" w:hAnsiTheme="majorHAnsi" w:cstheme="majorHAnsi"/>
        </w:rPr>
        <w:t>upon the occurrence of specified events,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00F508A4" w:rsidRPr="00B6688A">
        <w:rPr>
          <w:rFonts w:asciiTheme="majorHAnsi" w:hAnsiTheme="majorHAnsi" w:cstheme="majorHAnsi"/>
        </w:rPr>
        <w:t xml:space="preserve"> may address short-term post-disaster liquidity needs and </w:t>
      </w:r>
      <w:r w:rsidR="008413C5" w:rsidRPr="00B6688A">
        <w:rPr>
          <w:rFonts w:asciiTheme="majorHAnsi" w:hAnsiTheme="majorHAnsi" w:cstheme="majorHAnsi"/>
        </w:rPr>
        <w:t>complement traditional insurance and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008413C5" w:rsidRPr="00B6688A">
        <w:rPr>
          <w:rFonts w:asciiTheme="majorHAnsi" w:hAnsiTheme="majorHAnsi" w:cstheme="majorHAnsi"/>
        </w:rPr>
        <w:t>, as well as residual market mechanisms,</w:t>
      </w:r>
      <w:r w:rsidRPr="00B6688A">
        <w:rPr>
          <w:rFonts w:asciiTheme="majorHAnsi" w:hAnsiTheme="majorHAnsi" w:cstheme="majorHAnsi"/>
        </w:rPr>
        <w:t xml:space="preserve"> by reducing claim volatility, limiting migration into </w:t>
      </w:r>
      <w:r w:rsidR="0075446A" w:rsidRPr="0075446A">
        <w:rPr>
          <w:rFonts w:asciiTheme="majorHAnsi" w:hAnsiTheme="majorHAnsi" w:cstheme="majorHAnsi"/>
        </w:rPr>
        <w:t>Fair Access to Insurance Requirements</w:t>
      </w:r>
      <w:r w:rsidR="0075446A">
        <w:rPr>
          <w:rFonts w:asciiTheme="majorHAnsi" w:hAnsiTheme="majorHAnsi" w:cstheme="majorHAnsi"/>
        </w:rPr>
        <w:t xml:space="preserve"> (</w:t>
      </w:r>
      <w:r w:rsidRPr="00B6688A">
        <w:rPr>
          <w:rFonts w:asciiTheme="majorHAnsi" w:hAnsiTheme="majorHAnsi" w:cstheme="majorHAnsi"/>
        </w:rPr>
        <w:t>FAIR</w:t>
      </w:r>
      <w:r w:rsidR="0075446A">
        <w:rPr>
          <w:rFonts w:asciiTheme="majorHAnsi" w:hAnsiTheme="majorHAnsi" w:cstheme="majorHAnsi"/>
        </w:rPr>
        <w:t>)</w:t>
      </w:r>
      <w:r w:rsidRPr="00B6688A">
        <w:rPr>
          <w:rFonts w:asciiTheme="majorHAnsi" w:hAnsiTheme="majorHAnsi" w:cstheme="majorHAnsi"/>
        </w:rPr>
        <w:t xml:space="preserve"> </w:t>
      </w:r>
      <w:r w:rsidR="000B1811">
        <w:rPr>
          <w:rFonts w:asciiTheme="majorHAnsi" w:hAnsiTheme="majorHAnsi" w:cstheme="majorHAnsi"/>
        </w:rPr>
        <w:t>p</w:t>
      </w:r>
      <w:r w:rsidRPr="00B6688A">
        <w:rPr>
          <w:rFonts w:asciiTheme="majorHAnsi" w:hAnsiTheme="majorHAnsi" w:cstheme="majorHAnsi"/>
        </w:rPr>
        <w:t>lans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hAnsiTheme="majorHAnsi" w:cstheme="majorHAnsi"/>
        </w:rPr>
        <w:t>, and easing capital strain following catastrophic events.</w:t>
      </w:r>
      <w:r w:rsidRPr="00B6688A">
        <w:rPr>
          <w:rFonts w:asciiTheme="majorHAnsi" w:hAnsiTheme="majorHAnsi" w:cstheme="majorHAnsi"/>
          <w:vertAlign w:val="superscript"/>
        </w:rPr>
        <w:footnoteReference w:id="111"/>
      </w:r>
    </w:p>
    <w:p w14:paraId="47ED4B35" w14:textId="3666A4D7" w:rsidR="00FB1243" w:rsidRPr="00B6688A" w:rsidRDefault="002E4BF8" w:rsidP="00A33790">
      <w:pPr>
        <w:pStyle w:val="Heading2"/>
        <w:rPr>
          <w:rFonts w:asciiTheme="majorHAnsi" w:hAnsiTheme="majorHAnsi" w:cstheme="majorHAnsi"/>
        </w:rPr>
      </w:pPr>
      <w:bookmarkStart w:id="50" w:name="_6bs84qdyrqik" w:colFirst="0" w:colLast="0"/>
      <w:bookmarkStart w:id="51" w:name="_Toc236057857"/>
      <w:bookmarkEnd w:id="50"/>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51"/>
    </w:p>
    <w:p w14:paraId="47ED4B36" w14:textId="77777777" w:rsidR="00FB1243" w:rsidRPr="00B6688A" w:rsidRDefault="007413BF" w:rsidP="00B94132">
      <w:pPr>
        <w:pStyle w:val="Heading3"/>
        <w:rPr>
          <w:rFonts w:asciiTheme="majorHAnsi" w:hAnsiTheme="majorHAnsi" w:cstheme="majorHAnsi"/>
        </w:rPr>
      </w:pPr>
      <w:bookmarkStart w:id="52" w:name="_mky3l6k1v21l" w:colFirst="0" w:colLast="0"/>
      <w:bookmarkStart w:id="53" w:name="_Toc236057858"/>
      <w:bookmarkEnd w:id="52"/>
      <w:r w:rsidRPr="00B6688A">
        <w:rPr>
          <w:rFonts w:asciiTheme="majorHAnsi" w:hAnsiTheme="majorHAnsi" w:cstheme="majorHAnsi"/>
        </w:rPr>
        <w:t>Risk Transfer Programs</w:t>
      </w:r>
      <w:bookmarkEnd w:id="53"/>
    </w:p>
    <w:p w14:paraId="47ED4B37" w14:textId="3D50214C" w:rsidR="00FB1243" w:rsidRPr="00B6688A" w:rsidRDefault="007413BF" w:rsidP="00B94132">
      <w:pPr>
        <w:jc w:val="both"/>
        <w:rPr>
          <w:rFonts w:asciiTheme="majorHAnsi" w:hAnsiTheme="majorHAnsi" w:cstheme="majorHAnsi"/>
        </w:rPr>
      </w:pPr>
      <w:r w:rsidRPr="00B6688A">
        <w:rPr>
          <w:rFonts w:asciiTheme="majorHAnsi" w:hAnsiTheme="majorHAnsi" w:cstheme="majorHAnsi"/>
        </w:rPr>
        <w:t>Insurance departments across the country are implementing and launching risk-transfer programs, such as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 programs, to retrofit homes and minimize losses from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and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For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-related perils, these programs adopt a retrofit standard to achieve a level of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such as the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D4087D">
        <w:rPr>
          <w:rFonts w:asciiTheme="majorHAnsi" w:hAnsiTheme="majorHAnsi" w:cstheme="majorHAnsi"/>
        </w:rPr>
        <w:t>s</w:t>
      </w:r>
      <w:r w:rsidRPr="00B6688A">
        <w:rPr>
          <w:rFonts w:asciiTheme="majorHAnsi" w:hAnsiTheme="majorHAnsi" w:cstheme="majorHAnsi"/>
        </w:rPr>
        <w:t>tandard developed by the Insurance Institute for Business and Home Safety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(IBHS). The FORTIFIED </w:t>
      </w:r>
      <w:r w:rsidR="00D4087D">
        <w:rPr>
          <w:rFonts w:asciiTheme="majorHAnsi" w:hAnsiTheme="majorHAnsi" w:cstheme="majorHAnsi"/>
        </w:rPr>
        <w:t>s</w:t>
      </w:r>
      <w:r w:rsidRPr="00B6688A">
        <w:rPr>
          <w:rFonts w:asciiTheme="majorHAnsi" w:hAnsiTheme="majorHAnsi" w:cstheme="majorHAnsi"/>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verified by a third-party evaluator, who assesses that building science is applied and that the work is documented, thereby confirming </w:t>
      </w:r>
      <w:r w:rsidR="001064C2" w:rsidRPr="00B6688A">
        <w:rPr>
          <w:rFonts w:asciiTheme="majorHAnsi" w:hAnsiTheme="majorHAnsi" w:cstheme="majorHAnsi"/>
        </w:rPr>
        <w:t xml:space="preserve">that </w:t>
      </w:r>
      <w:r w:rsidRPr="00B6688A">
        <w:rPr>
          <w:rFonts w:asciiTheme="majorHAnsi" w:hAnsiTheme="majorHAnsi" w:cstheme="majorHAnsi"/>
        </w:rPr>
        <w:t xml:space="preserve">the standard is met. Once compliance with the standard is documented and approved by IBHS, </w:t>
      </w:r>
      <w:r w:rsidR="00E85A59">
        <w:rPr>
          <w:rFonts w:asciiTheme="majorHAnsi" w:hAnsiTheme="majorHAnsi" w:cstheme="majorHAnsi"/>
        </w:rPr>
        <w:t>it</w:t>
      </w:r>
      <w:r w:rsidRPr="00B6688A">
        <w:rPr>
          <w:rFonts w:asciiTheme="majorHAnsi" w:hAnsiTheme="majorHAnsi" w:cstheme="majorHAnsi"/>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54" w:name="_j4va62axygck" w:colFirst="0" w:colLast="0"/>
      <w:bookmarkStart w:id="55" w:name="_Toc236057859"/>
      <w:bookmarkEnd w:id="54"/>
      <w:r w:rsidRPr="00B6688A">
        <w:rPr>
          <w:rFonts w:asciiTheme="majorHAnsi" w:hAnsiTheme="majorHAnsi" w:cstheme="majorHAnsi"/>
        </w:rPr>
        <w:t>Incentives</w:t>
      </w:r>
      <w:bookmarkEnd w:id="55"/>
    </w:p>
    <w:p w14:paraId="47ED4B39" w14:textId="752A7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Creating resilient communities requires consumers, policymakers</w:t>
      </w:r>
      <w:r w:rsidR="001064C2" w:rsidRPr="00B6688A">
        <w:rPr>
          <w:rFonts w:asciiTheme="majorHAnsi" w:eastAsia="Calibri" w:hAnsiTheme="majorHAnsi" w:cstheme="majorHAnsi"/>
        </w:rPr>
        <w:t>,</w:t>
      </w:r>
      <w:r w:rsidRPr="00B6688A">
        <w:rPr>
          <w:rFonts w:asciiTheme="majorHAnsi" w:eastAsia="Calibri" w:hAnsiTheme="majorHAnsi" w:cstheme="majorHAnsi"/>
        </w:rPr>
        <w:t xml:space="preserve"> and the broader housing industry (</w:t>
      </w:r>
      <w:r w:rsidR="002F57B3" w:rsidRPr="00B6688A">
        <w:rPr>
          <w:rFonts w:asciiTheme="majorHAnsi" w:eastAsia="Calibri" w:hAnsiTheme="majorHAnsi" w:cstheme="majorHAnsi"/>
        </w:rPr>
        <w:t>including insurers) to prioritize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features</w:t>
      </w:r>
      <w:r w:rsidRPr="00B6688A">
        <w:rPr>
          <w:rFonts w:asciiTheme="majorHAnsi" w:eastAsia="Calibri" w:hAnsiTheme="majorHAnsi" w:cstheme="majorHAnsi"/>
        </w:rPr>
        <w:t>. Financial incentives can be one component of a larger suite of comprehensive actions designed to encourage mitigation. In addition to providing monetary grants to retrofit homes,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some states are incentivizing consumers </w:t>
      </w:r>
      <w:r w:rsidRPr="00B6688A">
        <w:rPr>
          <w:rFonts w:asciiTheme="majorHAnsi" w:eastAsia="Calibri" w:hAnsiTheme="majorHAnsi" w:cstheme="majorHAnsi"/>
        </w:rPr>
        <w:lastRenderedPageBreak/>
        <w:t xml:space="preserve">to retrofit by mandating that carriers offer a homeowners insurance premium discount for policies covering homes that have received some level of mitigation. </w:t>
      </w:r>
    </w:p>
    <w:p w14:paraId="47ED4B3A" w14:textId="1E156B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Other states allow insurance companies to offer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voluntarily. Carriers in these states set mitigation premium credits based on their own underwriting strategy. Typically, discounts apply only to homes that have achieved a certain level of mitigation, such as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925AB" w:rsidRPr="00B6688A">
        <w:rPr>
          <w:rFonts w:asciiTheme="majorHAnsi" w:eastAsia="Calibri" w:hAnsiTheme="majorHAnsi" w:cstheme="majorHAnsi"/>
        </w:rPr>
        <w:t>FORTIFIED</w:t>
      </w:r>
      <w:r w:rsidRPr="00B6688A">
        <w:rPr>
          <w:rFonts w:asciiTheme="majorHAnsi" w:eastAsia="Calibri" w:hAnsiTheme="majorHAnsi" w:cstheme="majorHAnsi"/>
        </w:rPr>
        <w:t xml:space="preserve"> or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BF68BA">
        <w:rPr>
          <w:rFonts w:asciiTheme="majorHAnsi" w:eastAsia="Calibri" w:hAnsiTheme="majorHAnsi" w:cstheme="majorHAnsi"/>
        </w:rPr>
        <w:t>s</w:t>
      </w:r>
      <w:r w:rsidRPr="00B6688A">
        <w:rPr>
          <w:rFonts w:asciiTheme="majorHAnsi" w:eastAsia="Calibri" w:hAnsiTheme="majorHAnsi" w:cstheme="majorHAnsi"/>
        </w:rPr>
        <w:t>tandard</w:t>
      </w:r>
      <w:r w:rsidR="00D43F52">
        <w:rPr>
          <w:rFonts w:asciiTheme="majorHAnsi" w:eastAsia="Calibri" w:hAnsiTheme="majorHAnsi" w:cstheme="majorHAnsi"/>
        </w:rPr>
        <w:t>s</w:t>
      </w:r>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3B" w14:textId="68BBB7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However, some states mandate that carriers offer a premium discount, </w:t>
      </w:r>
      <w:r w:rsidR="00D61653" w:rsidRPr="00B6688A">
        <w:rPr>
          <w:rFonts w:asciiTheme="majorHAnsi" w:eastAsia="Calibri" w:hAnsiTheme="majorHAnsi" w:cstheme="majorHAnsi"/>
        </w:rPr>
        <w:t>though</w:t>
      </w:r>
      <w:r w:rsidRPr="00B6688A">
        <w:rPr>
          <w:rFonts w:asciiTheme="majorHAnsi" w:eastAsia="Calibri" w:hAnsiTheme="majorHAnsi" w:cstheme="majorHAnsi"/>
        </w:rPr>
        <w:t xml:space="preserve"> the discount's value is typically not set by the state. Rather, states make a benchmark discount available as a percentage of the premium, reflecting the value of higher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Some states </w:t>
      </w:r>
      <w:r w:rsidR="002F57B3" w:rsidRPr="00B6688A">
        <w:rPr>
          <w:rFonts w:asciiTheme="majorHAnsi" w:eastAsia="Calibri" w:hAnsiTheme="majorHAnsi" w:cstheme="majorHAnsi"/>
        </w:rPr>
        <w:t>allow consumers to use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or other financial options to set aside funds </w:t>
      </w:r>
      <w:r w:rsidRPr="00B6688A">
        <w:rPr>
          <w:rFonts w:asciiTheme="majorHAnsi" w:eastAsia="Calibri" w:hAnsiTheme="majorHAnsi" w:cstheme="majorHAnsi"/>
        </w:rPr>
        <w:t>for insurance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additional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This helps build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will have lasting effects on insurance availability and affordability.</w:t>
      </w:r>
    </w:p>
    <w:p w14:paraId="47ED4B3D" w14:textId="4D85F8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xml:space="preserve">, including combustible shrubbery and wood fences connected to the structure, and using protective measures against embers that can spread fire, such as roofs and ventilation grates. These measures help prevent embers from entering a structure. Importantly, the effectiveness of the standard depends on </w:t>
      </w:r>
      <w:r w:rsidR="00584F2A" w:rsidRPr="00B6688A">
        <w:rPr>
          <w:rFonts w:asciiTheme="majorHAnsi" w:eastAsia="Calibri" w:hAnsiTheme="majorHAnsi" w:cstheme="majorHAnsi"/>
        </w:rPr>
        <w:t>fully adopting these measures;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requirements, and incentives offered in each state. The </w:t>
      </w:r>
      <w:hyperlink r:id="rId16">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56" w:name="_tn83pfpkm2f1" w:colFirst="0" w:colLast="0"/>
      <w:bookmarkStart w:id="57" w:name="_Toc236057860"/>
      <w:bookmarkEnd w:id="56"/>
      <w:r w:rsidRPr="00B6688A">
        <w:rPr>
          <w:rFonts w:asciiTheme="majorHAnsi" w:hAnsiTheme="majorHAnsi" w:cstheme="majorHAnsi"/>
        </w:rPr>
        <w:t>The Future of Mitigation</w:t>
      </w:r>
      <w:bookmarkEnd w:id="57"/>
    </w:p>
    <w:p w14:paraId="47ED4B40" w14:textId="4658C65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As we move into the future and observe the evolution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increasingly robust building standards are emerging in the market. Homes are being built or retrofitted with features </w:t>
      </w:r>
      <w:r w:rsidR="003F646C">
        <w:rPr>
          <w:rFonts w:asciiTheme="majorHAnsi" w:eastAsia="Calibri" w:hAnsiTheme="majorHAnsi" w:cstheme="majorHAnsi"/>
        </w:rPr>
        <w:t>such as</w:t>
      </w:r>
      <w:r w:rsidRPr="00B6688A">
        <w:rPr>
          <w:rFonts w:asciiTheme="majorHAnsi" w:eastAsia="Calibri" w:hAnsiTheme="majorHAnsi" w:cstheme="majorHAnsi"/>
        </w:rPr>
        <w:t xml:space="preserve"> fire-resistant siding/roofs in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zones and elevated foundations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vents in flood-prone areas. New construction increasingly incorporates reinforced frames, and impact-resistant </w:t>
      </w:r>
      <w:r w:rsidRPr="00B6688A">
        <w:rPr>
          <w:rFonts w:asciiTheme="majorHAnsi" w:eastAsia="Calibri" w:hAnsiTheme="majorHAnsi" w:cstheme="majorHAnsi"/>
        </w:rPr>
        <w:lastRenderedPageBreak/>
        <w:t>windows are appearing in areas prone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Greater emphasis is increasingly being placed on retrofits for existing homes, including mitigation actions aligned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3F646C" w:rsidRPr="00B6688A">
        <w:rPr>
          <w:rFonts w:asciiTheme="majorHAnsi" w:eastAsia="Calibri" w:hAnsiTheme="majorHAnsi" w:cstheme="majorHAnsi"/>
        </w:rPr>
        <w:t>FORTIFIED</w:t>
      </w:r>
      <w:r w:rsidRPr="00B6688A">
        <w:rPr>
          <w:rFonts w:asciiTheme="majorHAnsi" w:eastAsia="Calibri" w:hAnsiTheme="majorHAnsi" w:cstheme="majorHAnsi"/>
        </w:rPr>
        <w:t xml:space="preserve"> standard</w:t>
      </w:r>
      <w:r w:rsidR="00EB271A">
        <w:rPr>
          <w:rFonts w:asciiTheme="majorHAnsi" w:eastAsia="Calibri" w:hAnsiTheme="majorHAnsi" w:cstheme="majorHAnsi"/>
        </w:rPr>
        <w:t>,</w:t>
      </w:r>
      <w:r w:rsidRPr="00B6688A">
        <w:rPr>
          <w:rFonts w:asciiTheme="majorHAnsi" w:eastAsia="Calibri" w:hAnsiTheme="majorHAnsi" w:cstheme="majorHAnsi"/>
        </w:rPr>
        <w:t xml:space="preserve"> </w:t>
      </w:r>
      <w:r w:rsidR="00EB271A">
        <w:rPr>
          <w:rFonts w:asciiTheme="majorHAnsi" w:eastAsia="Calibri" w:hAnsiTheme="majorHAnsi" w:cstheme="majorHAnsi"/>
        </w:rPr>
        <w:t>such as</w:t>
      </w:r>
      <w:r w:rsidR="00EB271A" w:rsidRPr="00B6688A">
        <w:rPr>
          <w:rFonts w:asciiTheme="majorHAnsi" w:eastAsia="Calibri" w:hAnsiTheme="majorHAnsi" w:cstheme="majorHAnsi"/>
        </w:rPr>
        <w:t xml:space="preserve"> </w:t>
      </w:r>
      <w:r w:rsidRPr="00B6688A">
        <w:rPr>
          <w:rFonts w:asciiTheme="majorHAnsi" w:eastAsia="Calibri" w:hAnsiTheme="majorHAnsi" w:cstheme="majorHAnsi"/>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Homes are increasingly incorporating smart technologies, such as IoT sensors, real-time monitoring of structural stress, environmental conditions, and early warnings (e.g., water infiltration</w:t>
      </w:r>
      <w:r w:rsidR="0052276B">
        <w:rPr>
          <w:rFonts w:asciiTheme="majorHAnsi" w:eastAsia="Calibri" w:hAnsiTheme="majorHAnsi" w:cstheme="majorHAnsi"/>
        </w:rPr>
        <w:t xml:space="preserve"> and</w:t>
      </w:r>
      <w:r w:rsidRPr="00B6688A">
        <w:rPr>
          <w:rFonts w:asciiTheme="majorHAnsi" w:eastAsia="Calibri" w:hAnsiTheme="majorHAnsi" w:cstheme="majorHAnsi"/>
        </w:rPr>
        <w:t xml:space="preserve"> fire embers), along with </w:t>
      </w:r>
      <w:r w:rsidR="007B4DB1">
        <w:rPr>
          <w:rFonts w:asciiTheme="majorHAnsi" w:eastAsia="Calibri" w:hAnsiTheme="majorHAnsi" w:cstheme="majorHAnsi"/>
        </w:rPr>
        <w:t>artificial intelligence (</w:t>
      </w:r>
      <w:r w:rsidRPr="00B6688A">
        <w:rPr>
          <w:rFonts w:asciiTheme="majorHAnsi" w:eastAsia="Calibri" w:hAnsiTheme="majorHAnsi" w:cstheme="majorHAnsi"/>
        </w:rPr>
        <w:t>AI</w:t>
      </w:r>
      <w:r w:rsidR="007B4DB1">
        <w:rPr>
          <w:rFonts w:asciiTheme="majorHAnsi" w:eastAsia="Calibri" w:hAnsiTheme="majorHAnsi" w:cstheme="majorHAnsi"/>
        </w:rPr>
        <w:t>)</w:t>
      </w:r>
      <w:r w:rsidRPr="00B6688A">
        <w:rPr>
          <w:rFonts w:asciiTheme="majorHAnsi" w:eastAsia="Calibri" w:hAnsiTheme="majorHAnsi" w:cstheme="majorHAnsi"/>
        </w:rPr>
        <w:t>/predictive analytics to assess risk, predict damage, and optimize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investments. For example, research on AI and generative AI in disaster management is growing, including energy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(e.g., solar panels, batteries, and smart controls) to help keep the home functional during </w:t>
      </w:r>
      <w:r w:rsidR="00584F2A" w:rsidRPr="00B6688A">
        <w:rPr>
          <w:rFonts w:asciiTheme="majorHAnsi" w:eastAsia="Calibri" w:hAnsiTheme="majorHAnsi" w:cstheme="majorHAnsi"/>
        </w:rPr>
        <w:t>storms or grid failures</w:t>
      </w:r>
      <w:r w:rsidRPr="00B6688A">
        <w:rPr>
          <w:rFonts w:asciiTheme="majorHAnsi" w:eastAsia="Calibri" w:hAnsiTheme="majorHAnsi" w:cstheme="majorHAnsi"/>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with stronger mitigation generally associated with lower losses; however, homes in very high-risk areas may still face higher costs or difficulty obtaining financing or insurance until mitigation 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adaptation are long-term solutions to improving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58" w:name="_oyw761gvqaaq" w:colFirst="0" w:colLast="0"/>
      <w:bookmarkStart w:id="59" w:name="_Toc236057861"/>
      <w:bookmarkEnd w:id="58"/>
      <w:r w:rsidRPr="00702B45">
        <w:rPr>
          <w:rFonts w:asciiTheme="majorHAnsi" w:hAnsiTheme="majorHAnsi" w:cstheme="majorHAnsi"/>
        </w:rPr>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59"/>
    </w:p>
    <w:p w14:paraId="47ED4B45" w14:textId="1129A90A" w:rsidR="00FB1243" w:rsidRPr="00B6688A" w:rsidRDefault="007413BF" w:rsidP="00B94132">
      <w:pPr>
        <w:pStyle w:val="Heading3"/>
        <w:rPr>
          <w:rFonts w:asciiTheme="majorHAnsi" w:hAnsiTheme="majorHAnsi" w:cstheme="majorHAnsi"/>
        </w:rPr>
      </w:pPr>
      <w:bookmarkStart w:id="60" w:name="_iod0wolt4xit" w:colFirst="0" w:colLast="0"/>
      <w:bookmarkStart w:id="61" w:name="_Toc236057862"/>
      <w:bookmarkEnd w:id="60"/>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61"/>
    </w:p>
    <w:p w14:paraId="47ED4B46" w14:textId="75E4C9A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Thirty-three states and the District of Columbia have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provide coverage to consumers who cannot otherwise obtain property coverage in the private market.</w:t>
      </w:r>
      <w:r w:rsidRPr="00B6688A">
        <w:rPr>
          <w:rFonts w:asciiTheme="majorHAnsi" w:eastAsia="Calibri" w:hAnsiTheme="majorHAnsi" w:cstheme="majorHAnsi"/>
          <w:vertAlign w:val="superscript"/>
        </w:rPr>
        <w:footnoteReference w:id="112"/>
      </w:r>
      <w:r w:rsidRPr="00B6688A">
        <w:rPr>
          <w:rFonts w:asciiTheme="majorHAnsi" w:eastAsia="Calibri" w:hAnsiTheme="majorHAnsi" w:cstheme="majorHAnsi"/>
        </w:rPr>
        <w:t xml:space="preserve"> Thirty-one states have FAIR </w:t>
      </w:r>
      <w:r w:rsidR="009D25FA">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D25FA">
        <w:rPr>
          <w:rFonts w:asciiTheme="majorHAnsi" w:eastAsia="Calibri" w:hAnsiTheme="majorHAnsi" w:cstheme="majorHAnsi"/>
        </w:rPr>
        <w:t>;</w:t>
      </w:r>
      <w:r w:rsidRPr="00B6688A">
        <w:rPr>
          <w:rFonts w:asciiTheme="majorHAnsi" w:eastAsia="Calibri" w:hAnsiTheme="majorHAnsi" w:cstheme="majorHAnsi"/>
        </w:rPr>
        <w:t xml:space="preserve"> five states have </w:t>
      </w:r>
      <w:r w:rsidR="009D25FA">
        <w:rPr>
          <w:rFonts w:asciiTheme="majorHAnsi" w:eastAsia="Calibri" w:hAnsiTheme="majorHAnsi" w:cstheme="majorHAnsi"/>
        </w:rPr>
        <w:t>b</w:t>
      </w:r>
      <w:r w:rsidRPr="00B6688A">
        <w:rPr>
          <w:rFonts w:asciiTheme="majorHAnsi" w:eastAsia="Calibri" w:hAnsiTheme="majorHAnsi" w:cstheme="majorHAnsi"/>
        </w:rPr>
        <w:t xml:space="preserve">each or </w:t>
      </w:r>
      <w:r w:rsidR="009D25FA">
        <w:rPr>
          <w:rFonts w:asciiTheme="majorHAnsi" w:eastAsia="Calibri" w:hAnsiTheme="majorHAnsi" w:cstheme="majorHAnsi"/>
        </w:rPr>
        <w:t>w</w:t>
      </w:r>
      <w:r w:rsidRPr="00B6688A">
        <w:rPr>
          <w:rFonts w:asciiTheme="majorHAnsi" w:eastAsia="Calibri" w:hAnsiTheme="majorHAnsi" w:cstheme="majorHAnsi"/>
        </w:rPr>
        <w:t xml:space="preserve">ind </w:t>
      </w:r>
      <w:r w:rsidR="009D25FA">
        <w:rPr>
          <w:rFonts w:asciiTheme="majorHAnsi" w:eastAsia="Calibri" w:hAnsiTheme="majorHAnsi" w:cstheme="majorHAnsi"/>
        </w:rPr>
        <w:t>p</w:t>
      </w:r>
      <w:r w:rsidRPr="00B6688A">
        <w:rPr>
          <w:rFonts w:asciiTheme="majorHAnsi" w:eastAsia="Calibri" w:hAnsiTheme="majorHAnsi" w:cstheme="majorHAnsi"/>
        </w:rPr>
        <w:t xml:space="preserve">lans (which provide more limited </w:t>
      </w:r>
      <w:r w:rsidRPr="00B6688A">
        <w:rPr>
          <w:rFonts w:asciiTheme="majorHAnsi" w:eastAsia="Calibri" w:hAnsiTheme="majorHAnsi" w:cstheme="majorHAnsi"/>
        </w:rPr>
        <w:lastRenderedPageBreak/>
        <w:t>coverage specific to hazards and geographic locations)</w:t>
      </w:r>
      <w:r w:rsidR="009D25FA">
        <w:rPr>
          <w:rFonts w:asciiTheme="majorHAnsi" w:eastAsia="Calibri" w:hAnsiTheme="majorHAnsi" w:cstheme="majorHAnsi"/>
        </w:rPr>
        <w:t>;</w:t>
      </w:r>
      <w:r w:rsidRPr="00B6688A">
        <w:rPr>
          <w:rFonts w:asciiTheme="majorHAnsi" w:eastAsia="Calibri" w:hAnsiTheme="majorHAnsi" w:cstheme="majorHAnsi"/>
        </w:rPr>
        <w:t xml:space="preserve"> and two states operate insurers</w:t>
      </w:r>
      <w:r w:rsidR="00C85548">
        <w:rPr>
          <w:rFonts w:asciiTheme="majorHAnsi" w:eastAsia="Calibri" w:hAnsiTheme="majorHAnsi" w:cstheme="majorHAnsi"/>
        </w:rPr>
        <w:t>-</w:t>
      </w:r>
      <w:r w:rsidRPr="00B6688A">
        <w:rPr>
          <w:rFonts w:asciiTheme="majorHAnsi" w:eastAsia="Calibri" w:hAnsiTheme="majorHAnsi" w:cstheme="majorHAnsi"/>
        </w:rPr>
        <w:t>of</w:t>
      </w:r>
      <w:r w:rsidR="00C85548">
        <w:rPr>
          <w:rFonts w:asciiTheme="majorHAnsi" w:eastAsia="Calibri" w:hAnsiTheme="majorHAnsi" w:cstheme="majorHAnsi"/>
        </w:rPr>
        <w:t>-</w:t>
      </w:r>
      <w:r w:rsidRPr="00B6688A">
        <w:rPr>
          <w:rFonts w:asciiTheme="majorHAnsi" w:eastAsia="Calibri" w:hAnsiTheme="majorHAnsi" w:cstheme="majorHAnsi"/>
        </w:rPr>
        <w:t>last</w:t>
      </w:r>
      <w:r w:rsidR="00C85548">
        <w:rPr>
          <w:rFonts w:asciiTheme="majorHAnsi" w:eastAsia="Calibri" w:hAnsiTheme="majorHAnsi" w:cstheme="majorHAnsi"/>
        </w:rPr>
        <w:t>-</w:t>
      </w:r>
      <w:r w:rsidRPr="00B6688A">
        <w:rPr>
          <w:rFonts w:asciiTheme="majorHAnsi" w:eastAsia="Calibri" w:hAnsiTheme="majorHAnsi" w:cstheme="majorHAnsi"/>
        </w:rPr>
        <w:t>resort programs called Citizens</w:t>
      </w:r>
      <w:r w:rsidR="001E3144">
        <w:rPr>
          <w:rFonts w:asciiTheme="majorHAnsi" w:eastAsia="Calibri" w:hAnsiTheme="majorHAnsi" w:cstheme="majorHAnsi"/>
        </w:rPr>
        <w:t>.</w:t>
      </w:r>
      <w:r w:rsidRPr="00B6688A">
        <w:rPr>
          <w:rFonts w:asciiTheme="majorHAnsi" w:eastAsia="Calibri" w:hAnsiTheme="majorHAnsi" w:cstheme="majorHAnsi"/>
          <w:vertAlign w:val="superscript"/>
        </w:rPr>
        <w:footnoteReference w:id="113"/>
      </w:r>
    </w:p>
    <w:p w14:paraId="47ED4B47" w14:textId="4E83DE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00B6688A">
        <w:rPr>
          <w:rFonts w:asciiTheme="majorHAnsi" w:eastAsia="Calibri" w:hAnsiTheme="majorHAnsi" w:cstheme="majorHAnsi"/>
        </w:rPr>
        <w:t>coverage but</w:t>
      </w:r>
      <w:r w:rsidRPr="00B6688A">
        <w:rPr>
          <w:rFonts w:asciiTheme="majorHAnsi" w:eastAsia="Calibri" w:hAnsiTheme="majorHAnsi" w:cstheme="majorHAnsi"/>
        </w:rPr>
        <w:t xml:space="preserve"> are not designed to be cost-competitive with the private market. States can use these risk pools as tools to enhance coverage availability, but they are limited in their ability to address affordability concerns.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20372">
        <w:rPr>
          <w:rFonts w:asciiTheme="majorHAnsi" w:eastAsia="Calibri" w:hAnsiTheme="majorHAnsi" w:cstheme="majorHAnsi"/>
        </w:rPr>
        <w:t xml:space="preserve"> </w:t>
      </w:r>
      <w:r w:rsidRPr="00B6688A">
        <w:rPr>
          <w:rFonts w:asciiTheme="majorHAnsi" w:eastAsia="Calibri" w:hAnsiTheme="majorHAnsi" w:cstheme="majorHAnsi"/>
        </w:rPr>
        <w:t>established a new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5D2374"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14"/>
      </w:r>
      <w:r w:rsidRPr="00B6688A">
        <w:rPr>
          <w:rFonts w:asciiTheme="majorHAnsi" w:eastAsia="Calibri" w:hAnsiTheme="majorHAnsi" w:cstheme="majorHAnsi"/>
        </w:rPr>
        <w:t xml:space="preserve"> which began operations in 2025.</w:t>
      </w:r>
      <w:r w:rsidRPr="00B6688A">
        <w:rPr>
          <w:rFonts w:asciiTheme="majorHAnsi" w:eastAsia="Calibri" w:hAnsiTheme="majorHAnsi" w:cstheme="majorHAnsi"/>
          <w:vertAlign w:val="superscript"/>
        </w:rPr>
        <w:footnoteReference w:id="115"/>
      </w:r>
      <w:r w:rsidR="002E6937" w:rsidRPr="00B6688A">
        <w:rPr>
          <w:rFonts w:asciiTheme="majorHAnsi" w:eastAsia="Calibri" w:hAnsiTheme="majorHAnsi" w:cstheme="majorHAnsi"/>
        </w:rPr>
        <w:t xml:space="preserve"> This was the first such program created in more than 30 years</w:t>
      </w:r>
      <w:r w:rsidR="007B1AF6" w:rsidRPr="00B6688A">
        <w:rPr>
          <w:rFonts w:asciiTheme="majorHAnsi" w:eastAsia="Calibri" w:hAnsiTheme="majorHAnsi" w:cstheme="majorHAnsi"/>
        </w:rPr>
        <w:t>.</w:t>
      </w:r>
    </w:p>
    <w:p w14:paraId="47ED4B48" w14:textId="702B375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 risk reduction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initiatives. The North Carolina Insurance Underwriting Association (NCUIA) operates a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strengthen roofs within its service area</w:t>
      </w:r>
      <w:r w:rsidR="00D0691B">
        <w:rPr>
          <w:rFonts w:asciiTheme="majorHAnsi" w:eastAsia="Calibri" w:hAnsiTheme="majorHAnsi" w:cstheme="majorHAnsi"/>
        </w:rPr>
        <w:t>.</w:t>
      </w:r>
      <w:r w:rsidRPr="00B6688A">
        <w:rPr>
          <w:rFonts w:asciiTheme="majorHAnsi" w:eastAsia="Calibri" w:hAnsiTheme="majorHAnsi" w:cstheme="majorHAnsi"/>
          <w:vertAlign w:val="superscript"/>
        </w:rPr>
        <w:footnoteReference w:id="116"/>
      </w:r>
      <w:r w:rsidRPr="00B6688A">
        <w:rPr>
          <w:rFonts w:asciiTheme="majorHAnsi" w:eastAsia="Calibri" w:hAnsiTheme="majorHAnsi" w:cstheme="majorHAnsi"/>
        </w:rPr>
        <w:t xml:space="preserve"> In 2025, NCUIA issued a catastrophe bond that included disaster-resilience features. This effort enhances the organization's risk capacity but, importantly, creates a funding stream for resilience efforts that reduce risk before storms occur.</w:t>
      </w:r>
      <w:r w:rsidRPr="00B6688A">
        <w:rPr>
          <w:rFonts w:asciiTheme="majorHAnsi" w:eastAsia="Calibri" w:hAnsiTheme="majorHAnsi" w:cstheme="majorHAnsi"/>
          <w:vertAlign w:val="superscript"/>
        </w:rPr>
        <w:footnoteReference w:id="117"/>
      </w:r>
      <w:r w:rsidR="00BF3AAB">
        <w:rPr>
          <w:rFonts w:asciiTheme="majorHAnsi" w:eastAsia="Calibri" w:hAnsiTheme="majorHAnsi" w:cstheme="majorHAnsi"/>
        </w:rPr>
        <w:t xml:space="preserve"> </w:t>
      </w:r>
    </w:p>
    <w:p w14:paraId="47ED4B49" w14:textId="44F7391C" w:rsidR="00FB1243" w:rsidRPr="00B6688A" w:rsidRDefault="007413BF" w:rsidP="00B94132">
      <w:pPr>
        <w:pStyle w:val="Heading3"/>
        <w:rPr>
          <w:rFonts w:asciiTheme="majorHAnsi" w:hAnsiTheme="majorHAnsi" w:cstheme="majorHAnsi"/>
        </w:rPr>
      </w:pPr>
      <w:bookmarkStart w:id="62" w:name="_rt7z4b5lxy0x" w:colFirst="0" w:colLast="0"/>
      <w:bookmarkStart w:id="63" w:name="_Toc236057863"/>
      <w:bookmarkEnd w:id="62"/>
      <w:r w:rsidRPr="00B6688A">
        <w:rPr>
          <w:rFonts w:asciiTheme="majorHAnsi" w:hAnsiTheme="majorHAnsi" w:cstheme="majorHAnsi"/>
        </w:rPr>
        <w:t>State Programs to Backstop Risk</w:t>
      </w:r>
      <w:bookmarkEnd w:id="63"/>
    </w:p>
    <w:p w14:paraId="47ED4B4A" w14:textId="696FA49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Some states have programs that support their property markets through direct involvement. Created in 1993,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Hurricane Catastrophe Fund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(FHCF) is a state-administered residential property reinsurer that provides a mandatory layer of coverage for nearly all residential properties in the state.</w:t>
      </w:r>
      <w:r w:rsidRPr="00B6688A">
        <w:rPr>
          <w:rFonts w:asciiTheme="majorHAnsi" w:eastAsia="Calibri" w:hAnsiTheme="majorHAnsi" w:cstheme="majorHAnsi"/>
          <w:vertAlign w:val="superscript"/>
        </w:rPr>
        <w:footnoteReference w:id="118"/>
      </w:r>
      <w:r w:rsidRPr="00B6688A">
        <w:rPr>
          <w:rFonts w:asciiTheme="majorHAnsi" w:eastAsia="Calibri" w:hAnsiTheme="majorHAnsi" w:cstheme="majorHAnsi"/>
        </w:rPr>
        <w:t xml:space="preserve"> Florida requires all residential property insurance companies doing business in the state to participate in the FHCF. This requirement augments companies’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and strengthens their ability to write property coverage. State catastrophe funds or reinsurance backstops may be appropriate in limited circumstances, but </w:t>
      </w:r>
      <w:r w:rsidRPr="00B6688A">
        <w:rPr>
          <w:rFonts w:asciiTheme="majorHAnsi" w:eastAsia="Calibri" w:hAnsiTheme="majorHAnsi" w:cstheme="majorHAnsi"/>
        </w:rPr>
        <w:lastRenderedPageBreak/>
        <w:t>should be considered in concert with sound rates, effective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takes a direct approach to increasing its market </w:t>
      </w:r>
      <w:r w:rsidR="00B9261E">
        <w:rPr>
          <w:rFonts w:asciiTheme="majorHAnsi" w:eastAsia="Calibri" w:hAnsiTheme="majorHAnsi" w:cstheme="majorHAnsi"/>
        </w:rPr>
        <w:t xml:space="preserve">capacity </w:t>
      </w:r>
      <w:r w:rsidRPr="00B6688A">
        <w:rPr>
          <w:rFonts w:asciiTheme="majorHAnsi" w:eastAsia="Calibri" w:hAnsiTheme="majorHAnsi" w:cstheme="majorHAnsi"/>
        </w:rPr>
        <w:t xml:space="preserve">to </w:t>
      </w:r>
      <w:r w:rsidR="00B9261E">
        <w:rPr>
          <w:rFonts w:asciiTheme="majorHAnsi" w:eastAsia="Calibri" w:hAnsiTheme="majorHAnsi" w:cstheme="majorHAnsi"/>
        </w:rPr>
        <w:t>mitigate</w:t>
      </w:r>
      <w:r w:rsidR="00B9261E" w:rsidRPr="00B6688A">
        <w:rPr>
          <w:rFonts w:asciiTheme="majorHAnsi" w:eastAsia="Calibri" w:hAnsiTheme="majorHAnsi" w:cstheme="majorHAnsi"/>
        </w:rPr>
        <w:t xml:space="preserve"> </w:t>
      </w:r>
      <w:r w:rsidRPr="00B6688A">
        <w:rPr>
          <w:rFonts w:asciiTheme="majorHAnsi" w:eastAsia="Calibri" w:hAnsiTheme="majorHAnsi" w:cstheme="majorHAnsi"/>
        </w:rPr>
        <w:t>against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state-created program to increase the availability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The California Earthquake Authority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(CEA) is a quasi-public entity that offers residential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sold through private insurers. Established in 1996, the CEA now provides approximately two-thirds of the residential earthquake policies sold in California.</w:t>
      </w:r>
      <w:r w:rsidRPr="00B6688A">
        <w:rPr>
          <w:rFonts w:asciiTheme="majorHAnsi" w:eastAsia="Calibri" w:hAnsiTheme="majorHAnsi" w:cstheme="majorHAnsi"/>
          <w:vertAlign w:val="superscript"/>
        </w:rPr>
        <w:footnoteReference w:id="119"/>
      </w:r>
      <w:r w:rsidRPr="00B6688A">
        <w:rPr>
          <w:rFonts w:asciiTheme="majorHAnsi" w:eastAsia="Calibri" w:hAnsiTheme="majorHAnsi" w:cstheme="majorHAnsi"/>
        </w:rPr>
        <w:t xml:space="preserve"> The CEA expands consumer access to residential earthquake coverage through a policy that complies with homeowners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Disaster contingency accounts provide state-specific support to local communities (typically with some level of local </w:t>
      </w:r>
      <w:r w:rsidR="00FA4E4D" w:rsidRPr="00B6688A">
        <w:rPr>
          <w:rFonts w:asciiTheme="majorHAnsi" w:eastAsia="Calibri" w:hAnsiTheme="majorHAnsi" w:cstheme="majorHAnsi"/>
        </w:rPr>
        <w:t>cost sharing) during emergencies</w:t>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a Disaster Assistance Contingency Account (DACA) in 2014 to </w:t>
      </w:r>
      <w:r w:rsidR="00FF20B8" w:rsidRPr="00B6688A">
        <w:rPr>
          <w:rFonts w:asciiTheme="majorHAnsi" w:eastAsia="Calibri" w:hAnsiTheme="majorHAnsi" w:cstheme="majorHAnsi"/>
        </w:rPr>
        <w:t>enable a prompt response and recovery from state-declared disasters</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0"/>
      </w:r>
      <w:r w:rsidRPr="00B6688A">
        <w:rPr>
          <w:rFonts w:asciiTheme="majorHAnsi" w:eastAsia="Calibri" w:hAnsiTheme="majorHAnsi" w:cstheme="majorHAnsi"/>
        </w:rPr>
        <w:t xml:space="preserve"> In 2024, the Minnesota legislature established a regular replenishment mechanism to bring the account balance to $50 million at the end of each state biennium, rather than replenishing the account on an ad hoc basis.</w:t>
      </w:r>
      <w:r w:rsidRPr="00B6688A">
        <w:rPr>
          <w:rFonts w:asciiTheme="majorHAnsi" w:eastAsia="Calibri" w:hAnsiTheme="majorHAnsi" w:cstheme="majorHAnsi"/>
          <w:vertAlign w:val="superscript"/>
        </w:rPr>
        <w:footnoteReference w:id="121"/>
      </w:r>
      <w:r w:rsidRPr="00B6688A">
        <w:rPr>
          <w:rFonts w:asciiTheme="majorHAnsi" w:eastAsia="Calibri" w:hAnsiTheme="majorHAnsi" w:cstheme="majorHAnsi"/>
        </w:rPr>
        <w:t xml:space="preserve"> </w:t>
      </w:r>
    </w:p>
    <w:p w14:paraId="47ED4B50" w14:textId="437C8B25" w:rsidR="00FB1243" w:rsidRPr="00B6688A" w:rsidRDefault="007413BF" w:rsidP="009C1CBD">
      <w:pPr>
        <w:pStyle w:val="Heading3"/>
        <w:rPr>
          <w:rFonts w:asciiTheme="majorHAnsi" w:hAnsiTheme="majorHAnsi" w:cstheme="majorHAnsi"/>
        </w:rPr>
      </w:pPr>
      <w:bookmarkStart w:id="64" w:name="_ocvh6jek0h4z" w:colFirst="0" w:colLast="0"/>
      <w:bookmarkStart w:id="65" w:name="_Toc236057864"/>
      <w:bookmarkEnd w:id="64"/>
      <w:r w:rsidRPr="00B6688A">
        <w:rPr>
          <w:rFonts w:asciiTheme="majorHAnsi" w:hAnsiTheme="majorHAnsi" w:cstheme="majorHAnsi"/>
        </w:rPr>
        <w:lastRenderedPageBreak/>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65"/>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01574A4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consumer level, education efforts are supported through multiple channels. In addition to information provided by insurers, agents</w:t>
      </w:r>
      <w:r w:rsidR="00FF20B8" w:rsidRPr="00B6688A">
        <w:rPr>
          <w:rFonts w:asciiTheme="majorHAnsi" w:eastAsia="Calibri" w:hAnsiTheme="majorHAnsi" w:cstheme="majorHAnsi"/>
        </w:rPr>
        <w:t>,</w:t>
      </w:r>
      <w:r w:rsidRPr="00B6688A">
        <w:rPr>
          <w:rFonts w:asciiTheme="majorHAnsi" w:eastAsia="Calibri" w:hAnsiTheme="majorHAnsi" w:cstheme="majorHAnsi"/>
        </w:rPr>
        <w:t xml:space="preserve"> and brokers, several NAIC Consumer Representative organizations provide resources to help consumers better understand coverage options and affordability considerations</w:t>
      </w:r>
      <w:r w:rsidR="00FF20B8"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2"/>
      </w:r>
      <w:r w:rsidRPr="00B6688A">
        <w:rPr>
          <w:rFonts w:asciiTheme="majorHAnsi" w:eastAsia="Calibri" w:hAnsiTheme="majorHAnsi" w:cstheme="majorHAnsi"/>
        </w:rPr>
        <w:t xml:space="preserve"> The NAIC has partnered with nonprofit organizations, such as the Federal Alliance for Safe Homes (FLASH), to develop strategies for risk reduction in state insurance markets, which can lower insurance costs for consumers.</w:t>
      </w:r>
      <w:r w:rsidRPr="00B6688A">
        <w:rPr>
          <w:rFonts w:asciiTheme="majorHAnsi" w:eastAsia="Calibri" w:hAnsiTheme="majorHAnsi" w:cstheme="majorHAnsi"/>
          <w:vertAlign w:val="superscript"/>
        </w:rPr>
        <w:footnoteReference w:id="123"/>
      </w:r>
      <w:r w:rsidRPr="00B6688A">
        <w:rPr>
          <w:rFonts w:asciiTheme="majorHAnsi" w:eastAsia="Calibri" w:hAnsiTheme="majorHAnsi" w:cstheme="majorHAnsi"/>
        </w:rPr>
        <w:t xml:space="preserve"> </w:t>
      </w:r>
    </w:p>
    <w:p w14:paraId="47ED4B53" w14:textId="3F26028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program and policy level, the NAIC and state insurance regulators have engaged insurer</w:t>
      </w:r>
      <w:r w:rsidRPr="00B6688A">
        <w:rPr>
          <w:rFonts w:ascii="Cambria Math" w:eastAsia="Cambria Math" w:hAnsi="Cambria Math" w:cs="Cambria Math"/>
        </w:rPr>
        <w:t>‑</w:t>
      </w:r>
      <w:r w:rsidRPr="00B6688A">
        <w:rPr>
          <w:rFonts w:asciiTheme="majorHAnsi" w:eastAsia="Calibri" w:hAnsiTheme="majorHAnsi" w:cstheme="majorHAnsi"/>
        </w:rPr>
        <w:t>supported organizations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grounded in building science. In 2023, the NAIC entered a formal memorandum of understanding with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 insurer</w:t>
      </w:r>
      <w:r w:rsidRPr="00B6688A">
        <w:rPr>
          <w:rFonts w:ascii="Cambria Math" w:eastAsia="Cambria Math" w:hAnsi="Cambria Math" w:cs="Cambria Math"/>
        </w:rPr>
        <w:t>‑</w:t>
      </w:r>
      <w:r w:rsidRPr="00B6688A">
        <w:rPr>
          <w:rFonts w:asciiTheme="majorHAnsi" w:eastAsia="Calibri" w:hAnsiTheme="majorHAnsi" w:cstheme="majorHAnsi"/>
        </w:rPr>
        <w:t xml:space="preserve">supported research organization, to provide regulators access to building science research, training, and field demonstrations. For example, IBHS has partnered with state insurance departments on training and demonstration events showcasing </w:t>
      </w:r>
      <w:r w:rsidR="00BA2FE4" w:rsidRPr="00B6688A">
        <w:rPr>
          <w:rFonts w:asciiTheme="majorHAnsi" w:eastAsia="Calibri" w:hAnsiTheme="majorHAnsi" w:cstheme="majorHAnsi"/>
        </w:rPr>
        <w:t>FORTIFIED</w:t>
      </w:r>
      <w:r w:rsidRPr="00B6688A">
        <w:rPr>
          <w:rFonts w:asciiTheme="majorHAnsi" w:eastAsia="Calibri" w:hAnsiTheme="majorHAnsi" w:cstheme="majorHAnsi"/>
        </w:rPr>
        <w:t xml:space="preserve"> roofs</w:t>
      </w:r>
      <w:r w:rsidRPr="00B6688A">
        <w:rPr>
          <w:rFonts w:asciiTheme="majorHAnsi" w:eastAsia="Calibri" w:hAnsiTheme="majorHAnsi" w:cstheme="majorHAnsi"/>
          <w:vertAlign w:val="superscript"/>
        </w:rPr>
        <w:footnoteReference w:id="124"/>
      </w:r>
      <w:r w:rsidRPr="00B6688A">
        <w:rPr>
          <w:rFonts w:asciiTheme="majorHAnsi" w:eastAsia="Calibri" w:hAnsiTheme="majorHAnsi" w:cstheme="majorHAnsi"/>
        </w:rPr>
        <w:t xml:space="preserve"> and Wildfire Prepared</w:t>
      </w:r>
      <w:r w:rsidR="00510DC4">
        <w:rPr>
          <w:rFonts w:asciiTheme="majorHAnsi" w:eastAsia="Calibri" w:hAnsiTheme="majorHAnsi" w:cstheme="majorHAnsi"/>
        </w:rPr>
        <w:t xml:space="preserve"> Home</w:t>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125"/>
      </w:r>
      <w:r w:rsidRPr="00B6688A">
        <w:rPr>
          <w:rFonts w:asciiTheme="majorHAnsi" w:eastAsia="Calibri" w:hAnsiTheme="majorHAnsi" w:cstheme="majorHAnsi"/>
        </w:rPr>
        <w:t xml:space="preserve"> </w:t>
      </w:r>
    </w:p>
    <w:p w14:paraId="47ED4B54" w14:textId="7FF92F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Through this collaboration, state insurance departments, insurers, and technical experts have jointly participated in training sessions, research briefings, and in</w:t>
      </w:r>
      <w:r w:rsidRPr="00B6688A">
        <w:rPr>
          <w:rFonts w:ascii="Cambria Math" w:eastAsia="Cambria Math" w:hAnsi="Cambria Math" w:cs="Cambria Math"/>
        </w:rPr>
        <w:t>‑</w:t>
      </w:r>
      <w:r w:rsidRPr="00B6688A">
        <w:rPr>
          <w:rFonts w:asciiTheme="majorHAnsi" w:eastAsia="Calibri" w:hAnsiTheme="majorHAnsi" w:cstheme="majorHAnsi"/>
        </w:rPr>
        <w:t>market demonstrations focused on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reinforcing </w:t>
      </w:r>
      <w:r w:rsidR="001C6828" w:rsidRPr="00B6688A">
        <w:rPr>
          <w:rFonts w:asciiTheme="majorHAnsi" w:eastAsia="Calibri" w:hAnsiTheme="majorHAnsi" w:cstheme="majorHAnsi"/>
        </w:rPr>
        <w:t xml:space="preserve">insurers' role </w:t>
      </w:r>
      <w:r w:rsidRPr="00B6688A">
        <w:rPr>
          <w:rFonts w:asciiTheme="majorHAnsi" w:eastAsia="Calibri" w:hAnsiTheme="majorHAnsi" w:cstheme="majorHAnsi"/>
        </w:rPr>
        <w:t>as active contributors to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loss prevention efforts.</w:t>
      </w:r>
    </w:p>
    <w:p w14:paraId="47ED4B55" w14:textId="60AD3FA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implementation level, several states work with nonprofit technical partners that support workforce training and program delivery. For example,</w:t>
      </w:r>
      <w:r w:rsidR="001C6828" w:rsidRPr="00B6688A">
        <w:rPr>
          <w:rFonts w:asciiTheme="majorHAnsi" w:eastAsia="Calibri" w:hAnsiTheme="majorHAnsi" w:cstheme="majorHAnsi"/>
        </w:rPr>
        <w:t xml:space="preserve"> the</w:t>
      </w:r>
      <w:r w:rsidRPr="00B6688A">
        <w:rPr>
          <w:rFonts w:asciiTheme="majorHAnsi" w:eastAsia="Calibri" w:hAnsiTheme="majorHAnsi" w:cstheme="majorHAnsi"/>
        </w:rPr>
        <w:t xml:space="preserv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0764">
        <w:rPr>
          <w:rFonts w:asciiTheme="majorHAnsi" w:eastAsia="Calibri" w:hAnsiTheme="majorHAnsi" w:cstheme="majorHAnsi"/>
        </w:rPr>
        <w:t>d</w:t>
      </w:r>
      <w:r w:rsidRPr="00B6688A">
        <w:rPr>
          <w:rFonts w:asciiTheme="majorHAnsi" w:eastAsia="Calibri" w:hAnsiTheme="majorHAnsi" w:cstheme="majorHAnsi"/>
        </w:rPr>
        <w:t xml:space="preserve">epartments </w:t>
      </w:r>
      <w:r w:rsidR="007C0764">
        <w:rPr>
          <w:rFonts w:asciiTheme="majorHAnsi" w:eastAsia="Calibri" w:hAnsiTheme="majorHAnsi" w:cstheme="majorHAnsi"/>
        </w:rPr>
        <w:t xml:space="preserve">of insurance </w:t>
      </w:r>
      <w:r w:rsidRPr="00B6688A">
        <w:rPr>
          <w:rFonts w:asciiTheme="majorHAnsi" w:eastAsia="Calibri" w:hAnsiTheme="majorHAnsi" w:cstheme="majorHAnsi"/>
        </w:rPr>
        <w:t xml:space="preserve">have collaborated with Smart Home America for subject-matter expertise and technical assistance in designing their respective </w:t>
      </w:r>
      <w:r w:rsidR="007C0764" w:rsidRPr="00B6688A">
        <w:rPr>
          <w:rFonts w:asciiTheme="majorHAnsi" w:eastAsia="Calibri" w:hAnsiTheme="majorHAnsi" w:cstheme="majorHAnsi"/>
        </w:rPr>
        <w:t>FORTIFIED</w:t>
      </w:r>
      <w:r w:rsidRPr="00B6688A">
        <w:rPr>
          <w:rFonts w:asciiTheme="majorHAnsi" w:eastAsia="Calibri" w:hAnsiTheme="majorHAnsi" w:cstheme="majorHAnsi"/>
        </w:rPr>
        <w:t xml:space="preserve"> grant programs. Smart Home </w:t>
      </w:r>
      <w:r w:rsidRPr="00B6688A">
        <w:rPr>
          <w:rFonts w:asciiTheme="majorHAnsi" w:eastAsia="Calibri" w:hAnsiTheme="majorHAnsi" w:cstheme="majorHAnsi"/>
        </w:rPr>
        <w:lastRenderedPageBreak/>
        <w:t>America (as do other nonprofit organizations) provides training and continuing education to home builders, licensed contractors, and real estate professionals</w:t>
      </w:r>
      <w:r w:rsidR="001C6828" w:rsidRPr="00B6688A">
        <w:rPr>
          <w:rFonts w:asciiTheme="majorHAnsi" w:eastAsia="Calibri" w:hAnsiTheme="majorHAnsi" w:cstheme="majorHAnsi"/>
        </w:rPr>
        <w:t>, helping translate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standards into on-the-ground</w:t>
      </w:r>
      <w:r w:rsidRPr="00B6688A">
        <w:rPr>
          <w:rFonts w:asciiTheme="majorHAnsi" w:eastAsia="Calibri" w:hAnsiTheme="majorHAnsi" w:cstheme="majorHAnsi"/>
        </w:rPr>
        <w:t xml:space="preserve"> practices.</w:t>
      </w:r>
      <w:r w:rsidRPr="00B6688A">
        <w:rPr>
          <w:rFonts w:asciiTheme="majorHAnsi" w:eastAsia="Calibri" w:hAnsiTheme="majorHAnsi" w:cstheme="majorHAnsi"/>
          <w:vertAlign w:val="superscript"/>
        </w:rPr>
        <w:footnoteReference w:id="126"/>
      </w:r>
      <w:r w:rsidRPr="00B6688A">
        <w:rPr>
          <w:rFonts w:asciiTheme="majorHAnsi" w:eastAsia="Calibri" w:hAnsiTheme="majorHAnsi" w:cstheme="majorHAnsi"/>
        </w:rPr>
        <w:t xml:space="preserve"> </w:t>
      </w:r>
    </w:p>
    <w:p w14:paraId="47ED4B56" w14:textId="77777777" w:rsidR="00FB1243" w:rsidRPr="00B6688A" w:rsidRDefault="007413BF" w:rsidP="009C1CBD">
      <w:pPr>
        <w:pStyle w:val="Heading3"/>
        <w:rPr>
          <w:rFonts w:asciiTheme="majorHAnsi" w:hAnsiTheme="majorHAnsi" w:cstheme="majorHAnsi"/>
        </w:rPr>
      </w:pPr>
      <w:bookmarkStart w:id="66" w:name="_8ud7v17jt990" w:colFirst="0" w:colLast="0"/>
      <w:bookmarkStart w:id="67" w:name="_Toc236057865"/>
      <w:bookmarkEnd w:id="66"/>
      <w:r w:rsidRPr="00B6688A">
        <w:rPr>
          <w:rFonts w:asciiTheme="majorHAnsi" w:hAnsiTheme="majorHAnsi" w:cstheme="majorHAnsi"/>
        </w:rPr>
        <w:t>Collaboration with Emergency Management and State Agencies for Disaster Response</w:t>
      </w:r>
      <w:bookmarkEnd w:id="67"/>
      <w:r w:rsidRPr="00B6688A">
        <w:rPr>
          <w:rFonts w:asciiTheme="majorHAnsi" w:hAnsiTheme="majorHAnsi" w:cstheme="majorHAnsi"/>
        </w:rPr>
        <w:t xml:space="preserve"> </w:t>
      </w:r>
    </w:p>
    <w:p w14:paraId="47ED4B57" w14:textId="66DB7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Pr>
          <w:rFonts w:asciiTheme="majorHAnsi" w:eastAsia="Calibri" w:hAnsiTheme="majorHAnsi" w:cstheme="majorHAnsi"/>
        </w:rPr>
        <w:t>m</w:t>
      </w:r>
      <w:r w:rsidRPr="00B6688A">
        <w:rPr>
          <w:rFonts w:asciiTheme="majorHAnsi" w:eastAsia="Calibri" w:hAnsiTheme="majorHAnsi" w:cstheme="majorHAnsi"/>
        </w:rPr>
        <w:t>ulti-</w:t>
      </w:r>
      <w:r w:rsidR="00487681">
        <w:rPr>
          <w:rFonts w:asciiTheme="majorHAnsi" w:eastAsia="Calibri" w:hAnsiTheme="majorHAnsi" w:cstheme="majorHAnsi"/>
        </w:rPr>
        <w:t>a</w:t>
      </w:r>
      <w:r w:rsidRPr="00B6688A">
        <w:rPr>
          <w:rFonts w:asciiTheme="majorHAnsi" w:eastAsia="Calibri" w:hAnsiTheme="majorHAnsi" w:cstheme="majorHAnsi"/>
        </w:rPr>
        <w:t xml:space="preserve">gency </w:t>
      </w:r>
      <w:r w:rsidR="00487681">
        <w:rPr>
          <w:rFonts w:asciiTheme="majorHAnsi" w:eastAsia="Calibri" w:hAnsiTheme="majorHAnsi" w:cstheme="majorHAnsi"/>
        </w:rPr>
        <w:t>r</w:t>
      </w:r>
      <w:r w:rsidRPr="00B6688A">
        <w:rPr>
          <w:rFonts w:asciiTheme="majorHAnsi" w:eastAsia="Calibri" w:hAnsiTheme="majorHAnsi" w:cstheme="majorHAnsi"/>
        </w:rPr>
        <w:t xml:space="preserve">esource </w:t>
      </w:r>
      <w:r w:rsidR="00487681">
        <w:rPr>
          <w:rFonts w:asciiTheme="majorHAnsi" w:eastAsia="Calibri" w:hAnsiTheme="majorHAnsi" w:cstheme="majorHAnsi"/>
        </w:rPr>
        <w:t>c</w:t>
      </w:r>
      <w:r w:rsidRPr="00B6688A">
        <w:rPr>
          <w:rFonts w:asciiTheme="majorHAnsi" w:eastAsia="Calibri" w:hAnsiTheme="majorHAnsi" w:cstheme="majorHAnsi"/>
        </w:rPr>
        <w:t>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(MARCs) or </w:t>
      </w:r>
      <w:r w:rsidR="00487681">
        <w:rPr>
          <w:rFonts w:asciiTheme="majorHAnsi" w:eastAsia="Calibri" w:hAnsiTheme="majorHAnsi" w:cstheme="majorHAnsi"/>
        </w:rPr>
        <w:t>d</w:t>
      </w:r>
      <w:r w:rsidRPr="00B6688A">
        <w:rPr>
          <w:rFonts w:asciiTheme="majorHAnsi" w:eastAsia="Calibri" w:hAnsiTheme="majorHAnsi" w:cstheme="majorHAnsi"/>
        </w:rPr>
        <w:t xml:space="preserve">isaster </w:t>
      </w:r>
      <w:r w:rsidR="00487681">
        <w:rPr>
          <w:rFonts w:asciiTheme="majorHAnsi" w:eastAsia="Calibri" w:hAnsiTheme="majorHAnsi" w:cstheme="majorHAnsi"/>
        </w:rPr>
        <w:t>a</w:t>
      </w:r>
      <w:r w:rsidRPr="00B6688A">
        <w:rPr>
          <w:rFonts w:asciiTheme="majorHAnsi" w:eastAsia="Calibri" w:hAnsiTheme="majorHAnsi" w:cstheme="majorHAnsi"/>
        </w:rPr>
        <w:t xml:space="preserve">ssistance </w:t>
      </w:r>
      <w:r w:rsidR="00487681">
        <w:rPr>
          <w:rFonts w:asciiTheme="majorHAnsi" w:eastAsia="Calibri" w:hAnsiTheme="majorHAnsi" w:cstheme="majorHAnsi"/>
        </w:rPr>
        <w:t>c</w:t>
      </w:r>
      <w:r w:rsidRPr="00B6688A">
        <w:rPr>
          <w:rFonts w:asciiTheme="majorHAnsi" w:eastAsia="Calibri" w:hAnsiTheme="majorHAnsi" w:cstheme="majorHAnsi"/>
        </w:rPr>
        <w:t xml:space="preserve">enters (DACs). Recent MARCs/DACs in Missouri supported thousands of individuals impacted by storms in 2025, including the St. Louis EF-3 tornado. </w:t>
      </w:r>
    </w:p>
    <w:p w14:paraId="47ED4B58" w14:textId="5FA289E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formal structures have been established within </w:t>
      </w:r>
      <w:r w:rsidR="001C6828" w:rsidRPr="00B6688A">
        <w:rPr>
          <w:rFonts w:asciiTheme="majorHAnsi" w:eastAsia="Calibri" w:hAnsiTheme="majorHAnsi" w:cstheme="majorHAnsi"/>
        </w:rPr>
        <w:t>state governments that bring the state’s insurance commissioner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leadership to</w:t>
      </w:r>
      <w:r w:rsidRPr="00B6688A">
        <w:rPr>
          <w:rFonts w:asciiTheme="majorHAnsi" w:eastAsia="Calibri" w:hAnsiTheme="majorHAnsi" w:cstheme="majorHAnsi"/>
        </w:rPr>
        <w:t xml:space="preserve"> the same table. 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 Council was created by executive order in 2023.</w:t>
      </w:r>
      <w:r w:rsidRPr="00B6688A">
        <w:rPr>
          <w:rFonts w:asciiTheme="majorHAnsi" w:eastAsia="Calibri" w:hAnsiTheme="majorHAnsi" w:cstheme="majorHAnsi"/>
          <w:vertAlign w:val="superscript"/>
        </w:rPr>
        <w:footnoteReference w:id="127"/>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ouncil coordinates state government activities and facilitates interactions between the state and private entities to proactively address impacts to Alabamians before they occur.</w:t>
      </w:r>
      <w:r w:rsidRPr="00B6688A">
        <w:rPr>
          <w:rFonts w:asciiTheme="majorHAnsi" w:eastAsia="Calibri" w:hAnsiTheme="majorHAnsi" w:cstheme="majorHAnsi"/>
          <w:vertAlign w:val="superscript"/>
        </w:rPr>
        <w:footnoteReference w:id="128"/>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 xml:space="preserve">ouncil includes an additional 12 state entities, and its work provides a forum </w:t>
      </w:r>
      <w:r w:rsidR="001C6828" w:rsidRPr="00B6688A">
        <w:rPr>
          <w:rFonts w:asciiTheme="majorHAnsi" w:eastAsia="Calibri" w:hAnsiTheme="majorHAnsi" w:cstheme="majorHAnsi"/>
        </w:rPr>
        <w:t>to advance strategies t</w:t>
      </w:r>
      <w:r w:rsidR="009C5FFC">
        <w:rPr>
          <w:rFonts w:asciiTheme="majorHAnsi" w:eastAsia="Calibri" w:hAnsiTheme="majorHAnsi" w:cstheme="majorHAnsi"/>
        </w:rPr>
        <w:t>o</w:t>
      </w:r>
      <w:r w:rsidR="001C6828" w:rsidRPr="00B6688A">
        <w:rPr>
          <w:rFonts w:asciiTheme="majorHAnsi" w:eastAsia="Calibri" w:hAnsiTheme="majorHAnsi" w:cstheme="majorHAnsi"/>
        </w:rPr>
        <w:t xml:space="preserve"> reduce risk exposure </w:t>
      </w:r>
      <w:r w:rsidR="004B001B">
        <w:rPr>
          <w:rFonts w:asciiTheme="majorHAnsi" w:eastAsia="Calibri" w:hAnsiTheme="majorHAnsi" w:cstheme="majorHAnsi"/>
        </w:rPr>
        <w:t>by improving</w:t>
      </w:r>
      <w:r w:rsidR="001C6828"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translates into better insurance affordability for consumers and businesses). </w:t>
      </w:r>
    </w:p>
    <w:p w14:paraId="47ED4B59" w14:textId="0E907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the Connecticut Insurance Department formed a multidisciplinary advisory council in 2024 to develop and recommend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in that state.</w:t>
      </w:r>
      <w:r w:rsidRPr="00B6688A">
        <w:rPr>
          <w:rFonts w:asciiTheme="majorHAnsi" w:eastAsia="Calibri" w:hAnsiTheme="majorHAnsi" w:cstheme="majorHAnsi"/>
          <w:vertAlign w:val="superscript"/>
        </w:rPr>
        <w:footnoteReference w:id="129"/>
      </w:r>
      <w:r w:rsidRPr="00B6688A">
        <w:rPr>
          <w:rFonts w:asciiTheme="majorHAnsi" w:eastAsia="Calibri" w:hAnsiTheme="majorHAnsi" w:cstheme="majorHAnsi"/>
        </w:rPr>
        <w:t xml:space="preserve"> The </w:t>
      </w:r>
      <w:r w:rsidRPr="00B6688A">
        <w:rPr>
          <w:rFonts w:asciiTheme="majorHAnsi" w:eastAsia="Calibri" w:hAnsiTheme="majorHAnsi" w:cstheme="majorHAnsi"/>
        </w:rPr>
        <w:lastRenderedPageBreak/>
        <w:t xml:space="preserve">advisory council continues to discuss strategies for mitigation, consumer incentives, funding sources, and </w:t>
      </w:r>
      <w:r w:rsidR="001C6828" w:rsidRPr="00B6688A">
        <w:rPr>
          <w:rFonts w:asciiTheme="majorHAnsi" w:eastAsia="Calibri" w:hAnsiTheme="majorHAnsi" w:cstheme="majorHAnsi"/>
        </w:rPr>
        <w:t>targeting</w:t>
      </w:r>
      <w:r w:rsidRPr="00B6688A">
        <w:rPr>
          <w:rFonts w:asciiTheme="majorHAnsi" w:eastAsia="Calibri" w:hAnsiTheme="majorHAnsi" w:cstheme="majorHAnsi"/>
        </w:rPr>
        <w:t xml:space="preserve"> state resources for maximum impact.</w:t>
      </w:r>
      <w:r w:rsidRPr="00B6688A">
        <w:rPr>
          <w:rFonts w:asciiTheme="majorHAnsi" w:eastAsia="Calibri" w:hAnsiTheme="majorHAnsi" w:cstheme="majorHAnsi"/>
          <w:vertAlign w:val="superscript"/>
        </w:rPr>
        <w:footnoteReference w:id="130"/>
      </w:r>
    </w:p>
    <w:p w14:paraId="47ED4B5A" w14:textId="22329ED9" w:rsidR="00FB1243" w:rsidRPr="00B6688A" w:rsidRDefault="002E4BF8" w:rsidP="00A33790">
      <w:pPr>
        <w:pStyle w:val="Heading2"/>
        <w:rPr>
          <w:rFonts w:asciiTheme="majorHAnsi" w:hAnsiTheme="majorHAnsi" w:cstheme="majorHAnsi"/>
        </w:rPr>
      </w:pPr>
      <w:bookmarkStart w:id="68" w:name="_98txkvaukmbf" w:colFirst="0" w:colLast="0"/>
      <w:bookmarkStart w:id="69" w:name="_Toc236057866"/>
      <w:bookmarkEnd w:id="68"/>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69"/>
    </w:p>
    <w:p w14:paraId="47ED4B5B" w14:textId="3C22B081" w:rsidR="00FB1243" w:rsidRPr="00B6688A" w:rsidRDefault="002278D7" w:rsidP="009C1CBD">
      <w:pPr>
        <w:pStyle w:val="Heading3"/>
        <w:rPr>
          <w:rFonts w:asciiTheme="majorHAnsi" w:hAnsiTheme="majorHAnsi" w:cstheme="majorHAnsi"/>
        </w:rPr>
      </w:pPr>
      <w:bookmarkStart w:id="70" w:name="_5uqyh95wxqw0" w:colFirst="0" w:colLast="0"/>
      <w:bookmarkStart w:id="71" w:name="_Toc236057867"/>
      <w:bookmarkEnd w:id="70"/>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71"/>
    </w:p>
    <w:p w14:paraId="47ED4B5C" w14:textId="776A57A6"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00B6688A">
        <w:rPr>
          <w:rFonts w:asciiTheme="majorHAnsi" w:eastAsia="Calibri" w:hAnsiTheme="majorHAnsi" w:cstheme="majorHAnsi"/>
        </w:rPr>
        <w:t>compliant with applicable</w:t>
      </w:r>
      <w:r w:rsidRPr="00B6688A">
        <w:rPr>
          <w:rFonts w:asciiTheme="majorHAnsi" w:eastAsia="Calibri" w:hAnsiTheme="majorHAnsi" w:cstheme="majorHAnsi"/>
        </w:rPr>
        <w:t xml:space="preserve"> state laws. </w:t>
      </w:r>
    </w:p>
    <w:p w14:paraId="47ED4B5D" w14:textId="19DA168A" w:rsidR="00FB1243" w:rsidRPr="00B6688A" w:rsidRDefault="007413BF">
      <w:pPr>
        <w:keepNext/>
        <w:keepLines/>
        <w:jc w:val="both"/>
        <w:rPr>
          <w:rFonts w:asciiTheme="majorHAnsi" w:eastAsia="Calibri" w:hAnsiTheme="majorHAnsi" w:cstheme="majorHAnsi"/>
        </w:rPr>
      </w:pPr>
      <w:r w:rsidRPr="00B6688A">
        <w:rPr>
          <w:rFonts w:asciiTheme="majorHAnsi" w:eastAsia="Calibri" w:hAnsiTheme="majorHAnsi" w:cstheme="majorHAnsi"/>
        </w:rPr>
        <w:t>For example,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long been used by insurers to understand the risk profile of specific geographic areas. Satellite and drone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Drone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p>
    <w:p w14:paraId="47ED4B5E" w14:textId="77777777" w:rsidR="00FB1243" w:rsidRPr="00B6688A" w:rsidRDefault="007413BF" w:rsidP="009C1CBD">
      <w:pPr>
        <w:pStyle w:val="Heading3"/>
        <w:rPr>
          <w:rFonts w:asciiTheme="majorHAnsi" w:hAnsiTheme="majorHAnsi" w:cstheme="majorHAnsi"/>
        </w:rPr>
      </w:pPr>
      <w:bookmarkStart w:id="72" w:name="_28bqotw9if8b" w:colFirst="0" w:colLast="0"/>
      <w:bookmarkStart w:id="73" w:name="_Toc236057868"/>
      <w:bookmarkEnd w:id="72"/>
      <w:r w:rsidRPr="00B6688A">
        <w:rPr>
          <w:rFonts w:asciiTheme="majorHAnsi" w:hAnsiTheme="majorHAnsi" w:cstheme="majorHAnsi"/>
        </w:rPr>
        <w:t>Catastrophe Model Integrations with State Affordability Forecasts</w:t>
      </w:r>
      <w:bookmarkEnd w:id="73"/>
      <w:r w:rsidRPr="00B6688A">
        <w:rPr>
          <w:rFonts w:asciiTheme="majorHAnsi" w:hAnsiTheme="majorHAnsi" w:cstheme="majorHAnsi"/>
        </w:rPr>
        <w:t xml:space="preserve"> </w:t>
      </w:r>
    </w:p>
    <w:p w14:paraId="47ED4B5F"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19ABE22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Public Hurricane Loss Model (FPHLM) was established by the Florida legislature in 1995 and released its first version in 2006.</w:t>
      </w:r>
      <w:r w:rsidRPr="00B6688A">
        <w:rPr>
          <w:rFonts w:asciiTheme="majorHAnsi" w:eastAsia="Calibri" w:hAnsiTheme="majorHAnsi" w:cstheme="majorHAnsi"/>
          <w:vertAlign w:val="superscript"/>
        </w:rPr>
        <w:footnoteReference w:id="131"/>
      </w:r>
      <w:r w:rsidRPr="00B6688A">
        <w:rPr>
          <w:rFonts w:asciiTheme="majorHAnsi" w:eastAsia="Calibri" w:hAnsiTheme="majorHAnsi" w:cstheme="majorHAnsi"/>
        </w:rPr>
        <w:t xml:space="preserve"> The FPHLM is used in insurance ratemaking, disaster planning, and state financial oversight of insurance companies. The model is a collaboration between the state, </w:t>
      </w:r>
      <w:r w:rsidR="00512DA3">
        <w:rPr>
          <w:rFonts w:asciiTheme="majorHAnsi" w:eastAsia="Calibri" w:hAnsiTheme="majorHAnsi" w:cstheme="majorHAnsi"/>
        </w:rPr>
        <w:t xml:space="preserve">the </w:t>
      </w:r>
      <w:r w:rsidR="00512DA3" w:rsidRPr="00512DA3">
        <w:rPr>
          <w:rFonts w:asciiTheme="majorHAnsi" w:eastAsia="Calibri" w:hAnsiTheme="majorHAnsi" w:cstheme="majorHAnsi"/>
        </w:rPr>
        <w:t xml:space="preserve">National Oceanic and Atmospheric Administration </w:t>
      </w:r>
      <w:r w:rsidR="00512DA3">
        <w:rPr>
          <w:rFonts w:asciiTheme="majorHAnsi" w:eastAsia="Calibri" w:hAnsiTheme="majorHAnsi" w:cstheme="majorHAnsi"/>
        </w:rPr>
        <w:t>(</w:t>
      </w:r>
      <w:r w:rsidRPr="00B6688A">
        <w:rPr>
          <w:rFonts w:asciiTheme="majorHAnsi" w:eastAsia="Calibri" w:hAnsiTheme="majorHAnsi" w:cstheme="majorHAnsi"/>
        </w:rPr>
        <w:t>NOAA</w:t>
      </w:r>
      <w:r w:rsidR="00512DA3">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 consultants, and researchers from several universities in Florida and across the country.</w:t>
      </w:r>
      <w:r w:rsidRPr="00B6688A">
        <w:rPr>
          <w:rFonts w:asciiTheme="majorHAnsi" w:eastAsia="Calibri" w:hAnsiTheme="majorHAnsi" w:cstheme="majorHAnsi"/>
          <w:vertAlign w:val="superscript"/>
        </w:rPr>
        <w:footnoteReference w:id="132"/>
      </w:r>
      <w:r w:rsidRPr="00B6688A">
        <w:rPr>
          <w:rFonts w:asciiTheme="majorHAnsi" w:eastAsia="Calibri" w:hAnsiTheme="majorHAnsi" w:cstheme="majorHAnsi"/>
        </w:rPr>
        <w:t xml:space="preserve"> It is </w:t>
      </w:r>
      <w:r w:rsidRPr="00B6688A">
        <w:rPr>
          <w:rFonts w:asciiTheme="majorHAnsi" w:eastAsia="Calibri" w:hAnsiTheme="majorHAnsi" w:cstheme="majorHAnsi"/>
        </w:rPr>
        <w:lastRenderedPageBreak/>
        <w:t>often cited as an example for states evaluating whether and how to integrate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into their insurance oversight. </w:t>
      </w:r>
    </w:p>
    <w:p w14:paraId="47ED4B61" w14:textId="5501959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During the 2025 session,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passed a new law requiring the creation of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3"/>
      </w:r>
      <w:r w:rsidRPr="00B6688A">
        <w:rPr>
          <w:rFonts w:asciiTheme="majorHAnsi" w:eastAsia="Calibri" w:hAnsiTheme="majorHAnsi" w:cstheme="majorHAnsi"/>
        </w:rPr>
        <w:t xml:space="preserve">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 in partnership with Cal Poly Humboldt, has convened a strategy group to inform the development of this new model and make recommendations on its construction and use.</w:t>
      </w:r>
      <w:r w:rsidRPr="00B6688A">
        <w:rPr>
          <w:rFonts w:asciiTheme="majorHAnsi" w:eastAsia="Calibri" w:hAnsiTheme="majorHAnsi" w:cstheme="majorHAnsi"/>
          <w:vertAlign w:val="superscript"/>
        </w:rPr>
        <w:footnoteReference w:id="134"/>
      </w:r>
      <w:r w:rsidRPr="00B6688A">
        <w:rPr>
          <w:rFonts w:asciiTheme="majorHAnsi" w:eastAsia="Calibri" w:hAnsiTheme="majorHAnsi" w:cstheme="majorHAnsi"/>
        </w:rPr>
        <w:t xml:space="preserve"> The new model will be public and intended to support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assessment, communication,</w:t>
      </w:r>
      <w:r w:rsidR="001C6828" w:rsidRPr="00B6688A">
        <w:rPr>
          <w:rFonts w:asciiTheme="majorHAnsi" w:eastAsia="Calibri" w:hAnsiTheme="majorHAnsi" w:cstheme="majorHAnsi"/>
        </w:rPr>
        <w:t xml:space="preserve"> </w:t>
      </w:r>
      <w:r w:rsidRPr="00B6688A">
        <w:rPr>
          <w:rFonts w:asciiTheme="majorHAnsi" w:eastAsia="Calibri" w:hAnsiTheme="majorHAnsi" w:cstheme="majorHAnsi"/>
        </w:rPr>
        <w:t>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as well as inform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’s review of insurers'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p>
    <w:p w14:paraId="46F9ED2B" w14:textId="38D51694" w:rsidR="009F6161" w:rsidRDefault="007413BF">
      <w:pPr>
        <w:jc w:val="both"/>
        <w:rPr>
          <w:rFonts w:asciiTheme="majorHAnsi" w:eastAsia="Calibri" w:hAnsiTheme="majorHAnsi" w:cstheme="majorHAnsi"/>
        </w:rPr>
      </w:pPr>
      <w:r w:rsidRPr="00B6688A">
        <w:rPr>
          <w:rFonts w:asciiTheme="majorHAnsi" w:eastAsia="Calibri" w:hAnsiTheme="majorHAnsi" w:cstheme="majorHAnsi"/>
        </w:rPr>
        <w:t>In addition to developing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both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processes to strengthen regulatory review of the catastrophe models </w:t>
      </w:r>
      <w:r w:rsidR="00BC74B8" w:rsidRPr="00B6688A">
        <w:rPr>
          <w:rFonts w:asciiTheme="majorHAnsi" w:eastAsia="Calibri" w:hAnsiTheme="majorHAnsi" w:cstheme="majorHAnsi"/>
        </w:rPr>
        <w:t>insurers use</w:t>
      </w:r>
      <w:r w:rsidRPr="00B6688A">
        <w:rPr>
          <w:rFonts w:asciiTheme="majorHAnsi" w:eastAsia="Calibri" w:hAnsiTheme="majorHAnsi" w:cstheme="majorHAnsi"/>
        </w:rPr>
        <w:t xml:space="preserve"> in ratemaking. Florida’s long-standing framework includes a formal review process through the </w:t>
      </w:r>
      <w:hyperlink r:id="rId17">
        <w:r w:rsidR="00FB1243" w:rsidRPr="00B6688A">
          <w:rPr>
            <w:rFonts w:asciiTheme="majorHAnsi" w:eastAsia="Calibri" w:hAnsiTheme="majorHAnsi" w:cstheme="majorHAnsi"/>
            <w:color w:val="0000FF"/>
            <w:u w:val="single"/>
          </w:rPr>
          <w:t>Florida Commission on Hurricane Loss Projection Methodology</w:t>
        </w:r>
      </w:hyperlink>
      <w:r w:rsidRPr="00B6688A">
        <w:rPr>
          <w:rFonts w:asciiTheme="majorHAnsi" w:eastAsia="Calibri" w:hAnsiTheme="majorHAnsi" w:cstheme="majorHAnsi"/>
        </w:rPr>
        <w:t>, which evaluates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models against defined standards before they may be used for certain regulatory purposes. California has adopted a related, though distinct, approach through its </w:t>
      </w:r>
      <w:hyperlink r:id="rId18">
        <w:r w:rsidR="00FB1243" w:rsidRPr="00B6688A">
          <w:rPr>
            <w:rFonts w:asciiTheme="majorHAnsi" w:eastAsia="Calibri" w:hAnsiTheme="majorHAnsi" w:cstheme="majorHAnsi"/>
            <w:color w:val="0000FF"/>
            <w:u w:val="single"/>
          </w:rPr>
          <w:t>Pre-Application Required Information Determination (PRID)</w:t>
        </w:r>
      </w:hyperlink>
      <w:r w:rsidRPr="00B6688A">
        <w:rPr>
          <w:rFonts w:asciiTheme="majorHAnsi" w:eastAsia="Calibri" w:hAnsiTheme="majorHAnsi" w:cstheme="majorHAnsi"/>
        </w:rPr>
        <w:t xml:space="preserve"> </w:t>
      </w:r>
      <w:r w:rsidR="004301CD">
        <w:rPr>
          <w:rFonts w:asciiTheme="majorHAnsi" w:eastAsia="Calibri" w:hAnsiTheme="majorHAnsi" w:cstheme="majorHAnsi"/>
        </w:rPr>
        <w:t>procedure</w:t>
      </w:r>
      <w:r w:rsidRPr="00B6688A">
        <w:rPr>
          <w:rFonts w:asciiTheme="majorHAnsi" w:eastAsia="Calibri" w:hAnsiTheme="majorHAnsi" w:cstheme="majorHAnsi"/>
        </w:rPr>
        <w:t xml:space="preserve">. This process allows for rigorous public review with built-in confidentiality protections. The PRID review ensures </w:t>
      </w:r>
      <w:r w:rsidR="00BC74B8" w:rsidRPr="00B6688A">
        <w:rPr>
          <w:rFonts w:asciiTheme="majorHAnsi" w:eastAsia="Calibri" w:hAnsiTheme="majorHAnsi" w:cstheme="majorHAnsi"/>
        </w:rPr>
        <w:t xml:space="preserve">that models used by insurers calculate risks accurately, reliably, and fairly, and </w:t>
      </w:r>
      <w:r w:rsidRPr="00B6688A">
        <w:rPr>
          <w:rFonts w:asciiTheme="majorHAnsi" w:eastAsia="Calibri" w:hAnsiTheme="majorHAnsi" w:cstheme="majorHAnsi"/>
        </w:rPr>
        <w:t>ultimately benefit consumers by promoting insurance availability and reliability while addressing the impacts of climate change.</w:t>
      </w:r>
      <w:r w:rsidR="00BC74B8" w:rsidRPr="00B6688A">
        <w:rPr>
          <w:rFonts w:asciiTheme="majorHAnsi" w:eastAsia="Calibri" w:hAnsiTheme="majorHAnsi" w:cstheme="majorHAnsi"/>
        </w:rPr>
        <w:t xml:space="preserve"> </w:t>
      </w:r>
    </w:p>
    <w:p w14:paraId="47ED4B62" w14:textId="789A6D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(COE) was established within the NAIC’s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(CIPR) to help regulators build technical capacity.</w:t>
      </w:r>
      <w:r w:rsidRPr="00B6688A">
        <w:rPr>
          <w:rFonts w:asciiTheme="majorHAnsi" w:eastAsia="Calibri" w:hAnsiTheme="majorHAnsi" w:cstheme="majorHAnsi"/>
          <w:vertAlign w:val="superscript"/>
        </w:rPr>
        <w:footnoteReference w:id="135"/>
      </w:r>
      <w:r w:rsidRPr="00B6688A">
        <w:rPr>
          <w:rFonts w:asciiTheme="majorHAnsi" w:eastAsia="Calibri" w:hAnsiTheme="majorHAnsi" w:cstheme="majorHAnsi"/>
        </w:rPr>
        <w:t xml:space="preserve"> The COE facilitates regulator access 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evaluating and developing a discount floor for mandatory insurance premium reductions for homeowners who install a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 Similarly, NAIC staff are assisting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with an assessment of how insurers calculate</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discounts for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roofs to improve the state’s </w:t>
      </w:r>
      <w:r w:rsidR="002C4DEC" w:rsidRPr="00B6688A">
        <w:rPr>
          <w:rFonts w:asciiTheme="majorHAnsi" w:eastAsia="Calibri" w:hAnsiTheme="majorHAnsi" w:cstheme="majorHAnsi"/>
        </w:rPr>
        <w:t>speed to market</w:t>
      </w:r>
      <w:r w:rsidRPr="00B6688A">
        <w:rPr>
          <w:rFonts w:asciiTheme="majorHAnsi" w:eastAsia="Calibri" w:hAnsiTheme="majorHAnsi" w:cstheme="majorHAnsi"/>
        </w:rPr>
        <w:t xml:space="preserve"> in reviewing discount filings. </w:t>
      </w:r>
    </w:p>
    <w:p w14:paraId="47ED4B63" w14:textId="062FBE2D" w:rsidR="00FB1243" w:rsidRPr="00B6688A" w:rsidRDefault="007413BF">
      <w:pPr>
        <w:jc w:val="both"/>
        <w:rPr>
          <w:rFonts w:asciiTheme="majorHAnsi" w:hAnsiTheme="majorHAnsi" w:cstheme="majorHAnsi"/>
          <w:vertAlign w:val="superscript"/>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collaborated with the COE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use data collected through the</w:t>
      </w:r>
      <w:r w:rsidR="00BF3AAB">
        <w:rPr>
          <w:rFonts w:asciiTheme="majorHAnsi" w:eastAsia="Calibri" w:hAnsiTheme="majorHAnsi" w:cstheme="majorHAnsi"/>
        </w:rPr>
        <w:t xml:space="preserve"> </w:t>
      </w:r>
      <w:r w:rsidR="00EC5A89" w:rsidRPr="00EC5A89">
        <w:rPr>
          <w:rFonts w:asciiTheme="majorHAnsi" w:eastAsia="Calibri" w:hAnsiTheme="majorHAnsi" w:cstheme="majorHAnsi"/>
        </w:rPr>
        <w:t xml:space="preserve">Property &amp; Casualty Market Intelligence </w:t>
      </w:r>
      <w:r w:rsidR="00EC5A89">
        <w:rPr>
          <w:rFonts w:asciiTheme="majorHAnsi" w:eastAsia="Calibri" w:hAnsiTheme="majorHAnsi" w:cstheme="majorHAnsi"/>
        </w:rPr>
        <w:t>(</w:t>
      </w:r>
      <w:r w:rsidRPr="00B6688A">
        <w:rPr>
          <w:rFonts w:asciiTheme="majorHAnsi" w:eastAsia="Calibri" w:hAnsiTheme="majorHAnsi" w:cstheme="majorHAnsi"/>
        </w:rPr>
        <w:t>PCMI</w:t>
      </w:r>
      <w:r w:rsidR="00EC5A89">
        <w:rPr>
          <w:rFonts w:asciiTheme="majorHAnsi" w:eastAsia="Calibri" w:hAnsiTheme="majorHAnsi" w:cstheme="majorHAnsi"/>
        </w:rPr>
        <w:t>)</w:t>
      </w:r>
      <w:r w:rsidRPr="00B6688A">
        <w:rPr>
          <w:rFonts w:asciiTheme="majorHAnsi" w:eastAsia="Calibri" w:hAnsiTheme="majorHAnsi" w:cstheme="majorHAnsi"/>
        </w:rPr>
        <w:t xml:space="preserve"> </w:t>
      </w:r>
      <w:r w:rsidR="00EC5A89">
        <w:rPr>
          <w:rFonts w:asciiTheme="majorHAnsi" w:eastAsia="Calibri" w:hAnsiTheme="majorHAnsi" w:cstheme="majorHAnsi"/>
        </w:rPr>
        <w:t>D</w:t>
      </w:r>
      <w:r w:rsidRPr="00B6688A">
        <w:rPr>
          <w:rFonts w:asciiTheme="majorHAnsi" w:eastAsia="Calibri" w:hAnsiTheme="majorHAnsi" w:cstheme="majorHAnsi"/>
        </w:rPr>
        <w:t xml:space="preserve">ata </w:t>
      </w:r>
      <w:r w:rsidR="00EC5A89">
        <w:rPr>
          <w:rFonts w:asciiTheme="majorHAnsi" w:eastAsia="Calibri" w:hAnsiTheme="majorHAnsi" w:cstheme="majorHAnsi"/>
        </w:rPr>
        <w:t>C</w:t>
      </w:r>
      <w:r w:rsidRPr="00B6688A">
        <w:rPr>
          <w:rFonts w:asciiTheme="majorHAnsi" w:eastAsia="Calibri" w:hAnsiTheme="majorHAnsi" w:cstheme="majorHAnsi"/>
        </w:rPr>
        <w:t xml:space="preserve">all to target high-insurance-risk </w:t>
      </w:r>
      <w:r w:rsidR="00EC5A89">
        <w:rPr>
          <w:rFonts w:asciiTheme="majorHAnsi" w:eastAsia="Calibri" w:hAnsiTheme="majorHAnsi" w:cstheme="majorHAnsi"/>
        </w:rPr>
        <w:t>ZIP</w:t>
      </w:r>
      <w:r w:rsidRPr="00B6688A">
        <w:rPr>
          <w:rFonts w:asciiTheme="majorHAnsi" w:eastAsia="Calibri" w:hAnsiTheme="majorHAnsi" w:cstheme="majorHAnsi"/>
        </w:rPr>
        <w:t xml:space="preserve"> codes in population centers within the state for initial grants from the Strengthen Oklahoma Homes pilot project. This project integrates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w:t>
      </w:r>
      <w:r w:rsidR="00BC74B8" w:rsidRPr="00B6688A">
        <w:rPr>
          <w:rFonts w:asciiTheme="majorHAnsi" w:eastAsia="Calibri" w:hAnsiTheme="majorHAnsi" w:cstheme="majorHAnsi"/>
        </w:rPr>
        <w:t xml:space="preserve">directly support </w:t>
      </w:r>
      <w:r w:rsidRPr="00B6688A">
        <w:rPr>
          <w:rFonts w:asciiTheme="majorHAnsi" w:eastAsia="Calibri" w:hAnsiTheme="majorHAnsi" w:cstheme="majorHAnsi"/>
        </w:rPr>
        <w:t xml:space="preserve">insurance affordability and accessibility for consumers. An additional source of comparative information by state and county is </w:t>
      </w:r>
      <w:r w:rsidR="00051DBC">
        <w:rPr>
          <w:rFonts w:asciiTheme="majorHAnsi" w:eastAsia="Calibri" w:hAnsiTheme="majorHAnsi" w:cstheme="majorHAnsi"/>
        </w:rPr>
        <w:t xml:space="preserve">the </w:t>
      </w:r>
      <w:r w:rsidR="00051DBC" w:rsidRPr="00051DBC">
        <w:rPr>
          <w:rFonts w:asciiTheme="majorHAnsi" w:eastAsia="Calibri" w:hAnsiTheme="majorHAnsi" w:cstheme="majorHAnsi"/>
        </w:rPr>
        <w:t>Federal Emergency Management Agency</w:t>
      </w:r>
      <w:r w:rsidR="00051DBC">
        <w:rPr>
          <w:rFonts w:asciiTheme="majorHAnsi" w:eastAsia="Calibri" w:hAnsiTheme="majorHAnsi" w:cstheme="majorHAnsi"/>
        </w:rPr>
        <w:t>’s (</w:t>
      </w:r>
      <w:r w:rsidRPr="00B6688A">
        <w:rPr>
          <w:rFonts w:asciiTheme="majorHAnsi" w:eastAsia="Calibri" w:hAnsiTheme="majorHAnsi" w:cstheme="majorHAnsi"/>
        </w:rPr>
        <w:t>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051DBC">
        <w:rPr>
          <w:rFonts w:asciiTheme="majorHAnsi" w:eastAsia="Calibri" w:hAnsiTheme="majorHAnsi" w:cstheme="majorHAnsi"/>
        </w:rPr>
        <w:t>)</w:t>
      </w:r>
      <w:r w:rsidRPr="00B6688A">
        <w:rPr>
          <w:rFonts w:asciiTheme="majorHAnsi" w:eastAsia="Calibri" w:hAnsiTheme="majorHAnsi" w:cstheme="majorHAnsi"/>
        </w:rPr>
        <w:t xml:space="preserve"> National Risk Index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Risk Index"</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BC74B8" w:rsidRPr="00B6688A">
        <w:rPr>
          <w:rFonts w:asciiTheme="majorHAnsi" w:eastAsia="Calibri" w:hAnsiTheme="majorHAnsi" w:cstheme="majorHAnsi"/>
        </w:rPr>
        <w:t>,</w:t>
      </w:r>
      <w:r w:rsidRPr="00B6688A">
        <w:rPr>
          <w:rFonts w:asciiTheme="majorHAnsi" w:eastAsia="Calibri" w:hAnsiTheme="majorHAnsi" w:cstheme="majorHAnsi"/>
        </w:rPr>
        <w:t xml:space="preserve"> which illustrates which communities are most at risk for 18 natural hazards.</w:t>
      </w:r>
      <w:r w:rsidRPr="00B6688A">
        <w:rPr>
          <w:rFonts w:asciiTheme="majorHAnsi" w:eastAsia="Calibri" w:hAnsiTheme="majorHAnsi" w:cstheme="majorHAnsi"/>
          <w:vertAlign w:val="superscript"/>
        </w:rPr>
        <w:footnoteReference w:id="136"/>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74" w:name="_b5tj9rd56a1s" w:colFirst="0" w:colLast="0"/>
      <w:bookmarkStart w:id="75" w:name="_Toc236057869"/>
      <w:bookmarkEnd w:id="74"/>
      <w:r w:rsidRPr="00B6688A">
        <w:rPr>
          <w:rFonts w:asciiTheme="majorHAnsi" w:hAnsiTheme="majorHAnsi" w:cstheme="majorHAnsi"/>
        </w:rPr>
        <w:t>Artificial Intelligence for Claims Handling</w:t>
      </w:r>
      <w:bookmarkEnd w:id="75"/>
      <w:r w:rsidRPr="00B6688A">
        <w:rPr>
          <w:rFonts w:asciiTheme="majorHAnsi" w:hAnsiTheme="majorHAnsi" w:cstheme="majorHAnsi"/>
        </w:rPr>
        <w:t xml:space="preserve"> </w:t>
      </w:r>
    </w:p>
    <w:p w14:paraId="47ED4B68" w14:textId="52B3B11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insurers seek to leverage </w:t>
      </w:r>
      <w:r w:rsidR="008A041C">
        <w:rPr>
          <w:rFonts w:asciiTheme="majorHAnsi" w:eastAsia="Calibri" w:hAnsiTheme="majorHAnsi" w:cstheme="majorHAnsi"/>
        </w:rPr>
        <w:t>AI</w:t>
      </w:r>
      <w:r w:rsidRPr="00B6688A">
        <w:rPr>
          <w:rFonts w:asciiTheme="majorHAnsi" w:eastAsia="Calibri" w:hAnsiTheme="majorHAnsi" w:cstheme="majorHAnsi"/>
        </w:rPr>
        <w:t xml:space="preserve"> to increase speed and efficiency, regulators must ensure transparency into how carriers use these tools in a rapidly evolving space. AI use has the potential to help insurers detect or prevent fraud within the claims system, </w:t>
      </w:r>
      <w:r w:rsidR="008A041C">
        <w:rPr>
          <w:rFonts w:asciiTheme="majorHAnsi" w:eastAsia="Calibri" w:hAnsiTheme="majorHAnsi" w:cstheme="majorHAnsi"/>
        </w:rPr>
        <w:t>reducing</w:t>
      </w:r>
      <w:r w:rsidRPr="00B6688A">
        <w:rPr>
          <w:rFonts w:asciiTheme="majorHAnsi" w:eastAsia="Calibri" w:hAnsiTheme="majorHAnsi" w:cstheme="majorHAnsi"/>
        </w:rPr>
        <w:t xml:space="preserve"> administrative costs over time that could be passed on to consumers. However, AI use also raises several factors that pose risks to the affordability and availability of insurance for consumers and businesses. The NAIC Big Data and Artificial Intelligence (H) Working Group has developed a tool to assist regulators in support of their examinations or regulatory inquiries. The tool is now being piloted by 12 states. The pilot's experience will provide insights into updating the tool, which may be adopted later in 2026.</w:t>
      </w:r>
    </w:p>
    <w:p w14:paraId="0ABE8FC0" w14:textId="26C880F8" w:rsidR="002E4BF8" w:rsidRPr="00B6688A" w:rsidRDefault="009726FC" w:rsidP="002E4BF8">
      <w:pPr>
        <w:jc w:val="both"/>
        <w:rPr>
          <w:rFonts w:asciiTheme="majorHAnsi" w:eastAsia="Calibri" w:hAnsiTheme="majorHAnsi" w:cstheme="majorHAnsi"/>
        </w:rPr>
      </w:pPr>
      <w:bookmarkStart w:id="76" w:name="_rggmwc5xpbk7" w:colFirst="0" w:colLast="0"/>
      <w:bookmarkEnd w:id="76"/>
      <w:r>
        <w:rPr>
          <w:rFonts w:asciiTheme="majorHAnsi" w:hAnsiTheme="majorHAnsi" w:cstheme="majorHAnsi"/>
        </w:rPr>
        <w:pict w14:anchorId="353699FF">
          <v:rect id="_x0000_i1030" style="width:0;height:1.5pt" o:hralign="center" o:hrstd="t" o:hr="t" fillcolor="#a0a0a0" stroked="f"/>
        </w:pict>
      </w:r>
    </w:p>
    <w:p w14:paraId="4B9D707F" w14:textId="26C880F8" w:rsidR="002E4BF8" w:rsidRPr="00702B45" w:rsidRDefault="002E4BF8" w:rsidP="00D30C73">
      <w:pPr>
        <w:pStyle w:val="Heading1"/>
        <w:pageBreakBefore/>
        <w:rPr>
          <w:rFonts w:asciiTheme="majorHAnsi" w:hAnsiTheme="majorHAnsi" w:cstheme="majorHAnsi"/>
        </w:rPr>
      </w:pPr>
      <w:bookmarkStart w:id="77" w:name="_Toc236057870"/>
      <w:r w:rsidRPr="00702B45">
        <w:rPr>
          <w:rFonts w:asciiTheme="majorHAnsi" w:hAnsiTheme="majorHAnsi" w:cstheme="majorHAnsi"/>
        </w:rPr>
        <w:lastRenderedPageBreak/>
        <w:t>Part 3: Peril-Specific State Innovation and Action</w:t>
      </w:r>
      <w:bookmarkEnd w:id="77"/>
    </w:p>
    <w:p w14:paraId="71F1975E" w14:textId="3DF64756" w:rsidR="002E4BF8" w:rsidRPr="00702B45" w:rsidRDefault="002E4BF8" w:rsidP="002E4BF8">
      <w:pPr>
        <w:pStyle w:val="Heading2"/>
        <w:rPr>
          <w:rFonts w:asciiTheme="majorHAnsi" w:hAnsiTheme="majorHAnsi" w:cstheme="majorHAnsi"/>
        </w:rPr>
      </w:pPr>
      <w:bookmarkStart w:id="78" w:name="_Toc236057871"/>
      <w:r w:rsidRPr="00702B45">
        <w:rPr>
          <w:rFonts w:asciiTheme="majorHAnsi" w:hAnsiTheme="majorHAnsi" w:cstheme="majorHAnsi"/>
        </w:rPr>
        <w:t>Section A: Overview</w:t>
      </w:r>
      <w:bookmarkEnd w:id="78"/>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Part 3 highlights strategies that policymakers may consider to improve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79" w:name="_Toc236057872"/>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79"/>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80" w:name="_anwgjkllggxg" w:colFirst="0" w:colLast="0"/>
      <w:bookmarkStart w:id="81" w:name="_Toc236057873"/>
      <w:bookmarkEnd w:id="80"/>
      <w:r w:rsidRPr="00B6688A">
        <w:rPr>
          <w:rFonts w:asciiTheme="majorHAnsi" w:hAnsiTheme="majorHAnsi" w:cstheme="majorHAnsi"/>
        </w:rPr>
        <w:t>Overview</w:t>
      </w:r>
      <w:bookmarkEnd w:id="81"/>
    </w:p>
    <w:p w14:paraId="74516B83" w14:textId="51309989" w:rsidR="006A3CDE" w:rsidRPr="00B6688A" w:rsidRDefault="007413BF" w:rsidP="006A3CDE">
      <w:pPr>
        <w:spacing w:after="0"/>
        <w:jc w:val="both"/>
        <w:rPr>
          <w:rFonts w:asciiTheme="majorHAnsi" w:eastAsia="Calibri" w:hAnsiTheme="majorHAnsi" w:cstheme="majorHAnsi"/>
        </w:rPr>
      </w:pPr>
      <w:r w:rsidRPr="00B6688A">
        <w:rPr>
          <w:rFonts w:asciiTheme="majorHAnsi" w:eastAsia="Calibri" w:hAnsiTheme="majorHAnsi" w:cstheme="majorHAnsi"/>
        </w:rPr>
        <w:t>Hurricanes continue to be one of the most challenging risks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especially in states along the Gulf Coast and Atlantic. In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rapid </w:t>
      </w:r>
      <w:r w:rsidR="00C32A42">
        <w:rPr>
          <w:rFonts w:asciiTheme="majorHAnsi" w:eastAsia="Calibri" w:hAnsiTheme="majorHAnsi" w:cstheme="majorHAnsi"/>
        </w:rPr>
        <w:t>statewide growth</w:t>
      </w:r>
      <w:r w:rsidRPr="00B6688A">
        <w:rPr>
          <w:rFonts w:asciiTheme="majorHAnsi" w:eastAsia="Calibri" w:hAnsiTheme="majorHAnsi" w:cstheme="majorHAnsi"/>
        </w:rPr>
        <w:t xml:space="preserve"> and rising sea levels are increasing the number of homes exposed to storm surge,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repeated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Pr>
          <w:rFonts w:asciiTheme="majorHAnsi" w:eastAsia="Calibri" w:hAnsiTheme="majorHAnsi" w:cstheme="majorHAnsi"/>
        </w:rPr>
        <w:t xml:space="preserve"> </w:t>
      </w:r>
      <w:r w:rsidRPr="00B6688A">
        <w:rPr>
          <w:rFonts w:asciiTheme="majorHAnsi" w:eastAsia="Calibri" w:hAnsiTheme="majorHAnsi" w:cstheme="majorHAnsi"/>
        </w:rPr>
        <w:t>While these challenges are shared, each state has responded differently through building standards,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legal and regulatory reform</w:t>
      </w:r>
      <w:r w:rsidR="008137A5">
        <w:rPr>
          <w:rFonts w:asciiTheme="majorHAnsi" w:eastAsia="Calibri" w:hAnsiTheme="majorHAnsi" w:cstheme="majorHAnsi"/>
        </w:rPr>
        <w:t>,</w:t>
      </w:r>
      <w:r w:rsidRPr="00B6688A">
        <w:rPr>
          <w:rFonts w:asciiTheme="majorHAnsi" w:eastAsia="Calibri" w:hAnsiTheme="majorHAnsi" w:cstheme="majorHAnsi"/>
        </w:rPr>
        <w:t xml:space="preserve"> and market oversight. The examples in this section are intended to highlight approaches that may be </w:t>
      </w:r>
      <w:r w:rsidR="006C4EDB" w:rsidRPr="00B6688A">
        <w:rPr>
          <w:rFonts w:asciiTheme="majorHAnsi" w:eastAsia="Calibri" w:hAnsiTheme="majorHAnsi" w:cstheme="majorHAnsi"/>
        </w:rPr>
        <w:t xml:space="preserve">useful </w:t>
      </w:r>
      <w:r w:rsidR="008137A5">
        <w:rPr>
          <w:rFonts w:asciiTheme="majorHAnsi" w:eastAsia="Calibri" w:hAnsiTheme="majorHAnsi" w:cstheme="majorHAnsi"/>
        </w:rPr>
        <w:t>to</w:t>
      </w:r>
      <w:r w:rsidRPr="00B6688A">
        <w:rPr>
          <w:rFonts w:asciiTheme="majorHAnsi" w:eastAsia="Calibri" w:hAnsiTheme="majorHAnsi" w:cstheme="majorHAnsi"/>
        </w:rPr>
        <w:t xml:space="preserve"> other states that face hurricane risk now or may face it more frequently in the future.</w:t>
      </w:r>
      <w:bookmarkStart w:id="82" w:name="_12niahpnzgwv" w:colFirst="0" w:colLast="0"/>
      <w:bookmarkEnd w:id="82"/>
    </w:p>
    <w:p w14:paraId="3B022875" w14:textId="77777777" w:rsidR="008237F9" w:rsidRPr="00B6688A" w:rsidRDefault="00D16DF4" w:rsidP="008237F9">
      <w:pPr>
        <w:pStyle w:val="Heading3"/>
        <w:rPr>
          <w:rFonts w:asciiTheme="majorHAnsi" w:hAnsiTheme="majorHAnsi" w:cstheme="majorHAnsi"/>
        </w:rPr>
      </w:pPr>
      <w:bookmarkStart w:id="83" w:name="_Toc236057874"/>
      <w:r w:rsidRPr="00B6688A">
        <w:rPr>
          <w:rFonts w:asciiTheme="majorHAnsi" w:hAnsiTheme="majorHAnsi" w:cstheme="majorHAnsi"/>
        </w:rPr>
        <w:t>Alabama</w:t>
      </w:r>
      <w:bookmarkEnd w:id="8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84" w:name="_siux3m4zdmd8" w:colFirst="0" w:colLast="0"/>
      <w:bookmarkEnd w:id="84"/>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008237F9">
      <w:pPr>
        <w:spacing w:after="0"/>
        <w:jc w:val="both"/>
        <w:rPr>
          <w:rFonts w:asciiTheme="majorHAnsi" w:hAnsiTheme="majorHAnsi" w:cstheme="majorHAnsi"/>
          <w:color w:val="000000"/>
          <w:highlight w:val="yellow"/>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is continuing its efforts to become more resilient statewide. </w:t>
      </w:r>
      <w:r w:rsidR="00832BE6">
        <w:rPr>
          <w:rFonts w:asciiTheme="majorHAnsi" w:hAnsiTheme="majorHAnsi" w:cstheme="majorHAnsi"/>
          <w:color w:val="000000"/>
        </w:rPr>
        <w:t xml:space="preserve">Although </w:t>
      </w:r>
      <w:r w:rsidR="00C049CF">
        <w:rPr>
          <w:rFonts w:asciiTheme="majorHAnsi" w:hAnsiTheme="majorHAnsi" w:cstheme="majorHAnsi"/>
          <w:color w:val="000000"/>
        </w:rPr>
        <w:t>A</w:t>
      </w:r>
      <w:r w:rsidR="00C049CF" w:rsidRPr="00C049CF">
        <w:rPr>
          <w:rFonts w:asciiTheme="majorHAnsi" w:hAnsiTheme="majorHAnsi" w:cstheme="majorHAnsi"/>
          <w:color w:val="000000"/>
        </w:rPr>
        <w:t>labama’s relatively short coastline spans only two counties</w:t>
      </w:r>
      <w:r w:rsidRPr="00B6688A">
        <w:rPr>
          <w:rFonts w:asciiTheme="majorHAnsi" w:hAnsiTheme="majorHAnsi" w:cstheme="majorHAnsi"/>
          <w:color w:val="000000"/>
        </w:rPr>
        <w:t xml:space="preserve">, </w:t>
      </w:r>
      <w:r w:rsidR="00C049CF">
        <w:rPr>
          <w:rFonts w:asciiTheme="majorHAnsi" w:hAnsiTheme="majorHAnsi" w:cstheme="majorHAnsi"/>
          <w:color w:val="000000"/>
        </w:rPr>
        <w:t>the state</w:t>
      </w:r>
      <w:r w:rsidRPr="00B6688A">
        <w:rPr>
          <w:rFonts w:asciiTheme="majorHAnsi" w:hAnsiTheme="majorHAnsi" w:cstheme="majorHAnsi"/>
          <w:color w:val="000000"/>
        </w:rPr>
        <w:t xml:space="preserve"> has suffered numerous catastrophic hurricanes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00832BE6">
        <w:rPr>
          <w:rFonts w:asciiTheme="majorHAnsi" w:hAnsiTheme="majorHAnsi" w:cstheme="majorHAnsi"/>
          <w:color w:val="000000"/>
        </w:rPr>
        <w:t>, as well as</w:t>
      </w:r>
      <w:r w:rsidRPr="00B6688A">
        <w:rPr>
          <w:rFonts w:asciiTheme="majorHAnsi" w:hAnsiTheme="majorHAnsi" w:cstheme="majorHAnsi"/>
          <w:color w:val="000000"/>
        </w:rPr>
        <w:t xml:space="preserve"> many </w:t>
      </w:r>
      <w:r w:rsidR="00832BE6">
        <w:rPr>
          <w:rFonts w:asciiTheme="majorHAnsi" w:hAnsiTheme="majorHAnsi" w:cstheme="majorHAnsi"/>
          <w:color w:val="000000"/>
        </w:rPr>
        <w:t xml:space="preserve">other </w:t>
      </w:r>
      <w:r w:rsidRPr="00B6688A">
        <w:rPr>
          <w:rFonts w:asciiTheme="majorHAnsi" w:hAnsiTheme="majorHAnsi" w:cstheme="majorHAnsi"/>
          <w:color w:val="000000"/>
        </w:rPr>
        <w:t>perils.</w:t>
      </w:r>
      <w:r w:rsidR="00F20372">
        <w:rPr>
          <w:rFonts w:asciiTheme="majorHAnsi" w:hAnsiTheme="majorHAnsi" w:cstheme="majorHAnsi"/>
          <w:color w:val="000000"/>
        </w:rPr>
        <w:t xml:space="preserve"> </w:t>
      </w:r>
      <w:r w:rsidRPr="00B6688A">
        <w:rPr>
          <w:rFonts w:asciiTheme="majorHAnsi" w:hAnsiTheme="majorHAnsi" w:cstheme="majorHAnsi"/>
          <w:color w:val="000000"/>
        </w:rPr>
        <w:t>The effects of the hurricanes are felt from the coast to the northernmost state boundaries. Tornadoes, hailstorms, and convective windstorms are dealt with all year long by Alabama residents.</w:t>
      </w:r>
      <w:r w:rsidR="00F20372">
        <w:rPr>
          <w:rFonts w:asciiTheme="majorHAnsi" w:hAnsiTheme="majorHAnsi" w:cstheme="majorHAnsi"/>
          <w:color w:val="000000"/>
        </w:rPr>
        <w:t xml:space="preserve"> </w:t>
      </w:r>
      <w:r w:rsidRPr="00B6688A">
        <w:rPr>
          <w:rFonts w:asciiTheme="majorHAnsi" w:hAnsiTheme="majorHAnsi" w:cstheme="majorHAnsi"/>
          <w:color w:val="000000"/>
        </w:rPr>
        <w:t>Resilience work 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85" w:name="_rey8f0uvacmd" w:colFirst="0" w:colLast="0"/>
      <w:bookmarkEnd w:id="85"/>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19">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 xml:space="preserve">Insurance </w:t>
      </w:r>
      <w:r w:rsidR="00877DB1" w:rsidRPr="00877DB1">
        <w:rPr>
          <w:rFonts w:asciiTheme="majorHAnsi" w:eastAsia="Calibri" w:hAnsiTheme="majorHAnsi" w:cstheme="majorHAnsi"/>
        </w:rPr>
        <w:lastRenderedPageBreak/>
        <w:t>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1">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2">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86" w:name="_p6ne6q8sfste" w:colFirst="0" w:colLast="0"/>
      <w:bookmarkEnd w:id="86"/>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3"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homeowners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87" w:name="_n4j8vryy8e1" w:colFirst="0" w:colLast="0"/>
      <w:bookmarkEnd w:id="87"/>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24">
        <w:r w:rsidRPr="00B6688A">
          <w:rPr>
            <w:rFonts w:asciiTheme="majorHAnsi" w:eastAsia="Calibri" w:hAnsiTheme="majorHAnsi" w:cstheme="majorHAnsi"/>
            <w:color w:val="467886"/>
            <w:u w:val="single"/>
          </w:rPr>
          <w:t>Strengthen 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Homes</w:t>
        </w:r>
      </w:hyperlink>
      <w:r w:rsidRPr="00B6688A">
        <w:rPr>
          <w:rFonts w:asciiTheme="majorHAnsi" w:eastAsia="Calibri" w:hAnsiTheme="majorHAnsi" w:cstheme="majorHAnsi"/>
        </w:rPr>
        <w:t xml:space="preserve"> </w:t>
      </w:r>
      <w:r w:rsidR="00CA6A5F">
        <w:rPr>
          <w:rFonts w:asciiTheme="majorHAnsi" w:eastAsia="Calibri" w:hAnsiTheme="majorHAnsi" w:cstheme="majorHAnsi"/>
        </w:rPr>
        <w:t xml:space="preserve">(SAH) </w:t>
      </w:r>
      <w:r w:rsidRPr="00B6688A">
        <w:rPr>
          <w:rFonts w:asciiTheme="majorHAnsi" w:eastAsia="Calibri" w:hAnsiTheme="majorHAnsi" w:cstheme="majorHAnsi"/>
        </w:rPr>
        <w:t>program offers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homeowners, particularly in coastal areas, to help them retrofit their homes to meet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 This initiative aims to protect properties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convective windstorms,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thereby reducing homeowners insurance premiums through legislation passed in 2012. </w:t>
      </w:r>
      <w:r w:rsidR="00CA6A5F">
        <w:rPr>
          <w:rFonts w:asciiTheme="majorHAnsi" w:eastAsia="Calibri" w:hAnsiTheme="majorHAnsi" w:cstheme="majorHAnsi"/>
        </w:rPr>
        <w:t xml:space="preserve">SAH </w:t>
      </w:r>
      <w:r w:rsidRPr="00B6688A">
        <w:rPr>
          <w:rFonts w:asciiTheme="majorHAnsi" w:eastAsia="Calibri" w:hAnsiTheme="majorHAnsi" w:cstheme="majorHAnsi"/>
        </w:rPr>
        <w:t xml:space="preserve">is quickly approaching 10,000 homes that have received roof mitigation, and </w:t>
      </w:r>
      <w:r w:rsidR="0049568B">
        <w:rPr>
          <w:rFonts w:asciiTheme="majorHAnsi" w:eastAsia="Calibri" w:hAnsiTheme="majorHAnsi" w:cstheme="majorHAnsi"/>
        </w:rPr>
        <w:t>the Alabama Department of Insurance has invested $100 million in the program</w:t>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The Hurricane Sally data call conducted by the Alabama Department of Insurance </w:t>
      </w:r>
      <w:r w:rsidR="00CA6A5F">
        <w:rPr>
          <w:rFonts w:asciiTheme="majorHAnsi" w:eastAsia="Calibri" w:hAnsiTheme="majorHAnsi" w:cstheme="majorHAnsi"/>
        </w:rPr>
        <w:t>and the</w:t>
      </w:r>
      <w:r w:rsidRPr="00B6688A">
        <w:rPr>
          <w:rFonts w:asciiTheme="majorHAnsi" w:eastAsia="Calibri" w:hAnsiTheme="majorHAnsi" w:cstheme="majorHAnsi"/>
        </w:rPr>
        <w:t xml:space="preserve"> Center for Risk and Insurance Research validated the FORTIFIED program, showing that it reduced claims by 70% and claim severity by up to 60%.</w:t>
      </w:r>
      <w:r w:rsidR="00BF3AAB">
        <w:rPr>
          <w:rFonts w:asciiTheme="majorHAnsi" w:eastAsia="Calibri" w:hAnsiTheme="majorHAnsi" w:cstheme="majorHAnsi"/>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Underwriting Association (AIUA) offers various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to help homeowners and businesses protect against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Key incentives available include wind mitigation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w:t>
      </w:r>
      <w:r w:rsidR="00AE788B">
        <w:rPr>
          <w:rFonts w:asciiTheme="majorHAnsi" w:eastAsia="Calibri" w:hAnsiTheme="majorHAnsi" w:cstheme="majorHAnsi"/>
        </w:rPr>
        <w:t>are tied to</w:t>
      </w:r>
      <w:r w:rsidR="00AE788B" w:rsidRPr="00B6688A">
        <w:rPr>
          <w:rFonts w:asciiTheme="majorHAnsi" w:eastAsia="Calibri" w:hAnsiTheme="majorHAnsi" w:cstheme="majorHAnsi"/>
        </w:rPr>
        <w:t xml:space="preserve"> </w:t>
      </w:r>
      <w:r w:rsidRPr="00B6688A">
        <w:rPr>
          <w:rFonts w:asciiTheme="majorHAnsi" w:eastAsia="Calibri" w:hAnsiTheme="majorHAnsi" w:cstheme="majorHAnsi"/>
        </w:rPr>
        <w:t>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certifications</w:t>
      </w:r>
      <w:r w:rsidR="008137C2">
        <w:rPr>
          <w:rFonts w:asciiTheme="majorHAnsi" w:eastAsia="Calibri" w:hAnsiTheme="majorHAnsi" w:cstheme="majorHAnsi"/>
        </w:rPr>
        <w:t xml:space="preserve"> and significantly reduce</w:t>
      </w:r>
      <w:r w:rsidRPr="00B6688A">
        <w:rPr>
          <w:rFonts w:asciiTheme="majorHAnsi" w:eastAsia="Calibri" w:hAnsiTheme="majorHAnsi" w:cstheme="majorHAnsi"/>
        </w:rPr>
        <w:t xml:space="preserve"> insurance premiums. Homes certified by the IBHS as F</w:t>
      </w:r>
      <w:r w:rsidR="00F6593A" w:rsidRPr="00B6688A">
        <w:rPr>
          <w:rFonts w:asciiTheme="majorHAnsi" w:eastAsia="Calibri" w:hAnsiTheme="majorHAnsi" w:cstheme="majorHAnsi"/>
        </w:rPr>
        <w:t>ORTIFIED</w:t>
      </w:r>
      <w:r w:rsidRPr="00B6688A">
        <w:rPr>
          <w:rFonts w:asciiTheme="majorHAnsi" w:eastAsia="Calibri" w:hAnsiTheme="majorHAnsi" w:cstheme="majorHAnsi"/>
        </w:rPr>
        <w:t xml:space="preserve"> for Safer Living receive a minimum of 40% insurance discount. Additionally, community enforcement discounts are available for homes certified for the IBHS mitigation program, </w:t>
      </w:r>
      <w:r w:rsidR="00067DFB" w:rsidRPr="00B6688A">
        <w:rPr>
          <w:rFonts w:asciiTheme="majorHAnsi" w:eastAsia="Calibri" w:hAnsiTheme="majorHAnsi" w:cstheme="majorHAnsi"/>
        </w:rPr>
        <w:t>FORTIFIED</w:t>
      </w:r>
      <w:r w:rsidRPr="00B6688A">
        <w:rPr>
          <w:rFonts w:asciiTheme="majorHAnsi" w:eastAsia="Calibri" w:hAnsiTheme="majorHAnsi" w:cstheme="majorHAnsi"/>
        </w:rPr>
        <w:t xml:space="preserve"> for </w:t>
      </w:r>
      <w:r w:rsidRPr="00B6688A">
        <w:rPr>
          <w:rFonts w:asciiTheme="majorHAnsi" w:eastAsia="Calibri" w:hAnsiTheme="majorHAnsi" w:cstheme="majorHAnsi"/>
        </w:rPr>
        <w:lastRenderedPageBreak/>
        <w:t xml:space="preserve">Existing Homes. Homeowners can also qualify for insurance discounts by installing a FORTIFIED </w:t>
      </w:r>
      <w:r w:rsidR="008137C2">
        <w:rPr>
          <w:rFonts w:asciiTheme="majorHAnsi" w:eastAsia="Calibri" w:hAnsiTheme="majorHAnsi" w:cstheme="majorHAnsi"/>
        </w:rPr>
        <w:t>r</w:t>
      </w:r>
      <w:r w:rsidRPr="00B6688A">
        <w:rPr>
          <w:rFonts w:asciiTheme="majorHAnsi" w:eastAsia="Calibri" w:hAnsiTheme="majorHAnsi" w:cstheme="majorHAnsi"/>
        </w:rPr>
        <w:t>oof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building a FORTIFIED </w:t>
      </w:r>
      <w:r w:rsidR="00067DFB">
        <w:rPr>
          <w:rFonts w:asciiTheme="majorHAnsi" w:eastAsia="Calibri" w:hAnsiTheme="majorHAnsi" w:cstheme="majorHAnsi"/>
        </w:rPr>
        <w:t>h</w:t>
      </w:r>
      <w:r w:rsidRPr="00B6688A">
        <w:rPr>
          <w:rFonts w:asciiTheme="majorHAnsi" w:eastAsia="Calibri" w:hAnsiTheme="majorHAnsi" w:cstheme="majorHAnsi"/>
        </w:rPr>
        <w:t>ome, with savings ranging from 20</w:t>
      </w:r>
      <w:r w:rsidR="008137C2">
        <w:rPr>
          <w:rFonts w:asciiTheme="majorHAnsi" w:eastAsia="Calibri" w:hAnsiTheme="majorHAnsi" w:cstheme="majorHAnsi"/>
        </w:rPr>
        <w:t>%</w:t>
      </w:r>
      <w:r w:rsidR="00067DFB" w:rsidRPr="00067DFB">
        <w:rPr>
          <w:rFonts w:asciiTheme="majorHAnsi" w:eastAsia="Calibri" w:hAnsiTheme="majorHAnsi" w:cstheme="majorHAnsi"/>
        </w:rPr>
        <w:t>–</w:t>
      </w:r>
      <w:r w:rsidRPr="00B6688A">
        <w:rPr>
          <w:rFonts w:asciiTheme="majorHAnsi" w:eastAsia="Calibri" w:hAnsiTheme="majorHAnsi" w:cstheme="majorHAnsi"/>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5">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 Roof</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25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–35% discount on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88" w:name="_vuokqro0sqqx" w:colFirst="0" w:colLast="0"/>
      <w:bookmarkEnd w:id="88"/>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After major storms, deploying staff to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 xml:space="preserve">isaster </w:t>
      </w:r>
      <w:r w:rsidR="00AD7E8B">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ecovery </w:t>
      </w:r>
      <w:r w:rsidR="00AD7E8B">
        <w:rPr>
          <w:rFonts w:asciiTheme="majorHAnsi" w:eastAsia="Calibri" w:hAnsiTheme="majorHAnsi" w:cstheme="majorHAnsi"/>
          <w:color w:val="000000"/>
        </w:rPr>
        <w:t>c</w:t>
      </w:r>
      <w:r w:rsidRPr="00B6688A">
        <w:rPr>
          <w:rFonts w:asciiTheme="majorHAnsi" w:eastAsia="Calibri" w:hAnsiTheme="majorHAnsi" w:cstheme="majorHAnsi"/>
          <w:color w:val="000000"/>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Offering tools to compare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premiums from different companies on the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epartment</w:t>
      </w:r>
      <w:r w:rsidR="00AD7E8B">
        <w:rPr>
          <w:rFonts w:asciiTheme="majorHAnsi" w:eastAsia="Calibri" w:hAnsiTheme="majorHAnsi" w:cstheme="majorHAnsi"/>
          <w:color w:val="000000"/>
        </w:rPr>
        <w:t xml:space="preserve"> of insurance</w:t>
      </w:r>
      <w:r w:rsidRPr="00B6688A">
        <w:rPr>
          <w:rFonts w:asciiTheme="majorHAnsi" w:eastAsia="Calibri" w:hAnsiTheme="majorHAnsi" w:cstheme="majorHAnsi"/>
          <w:color w:val="000000"/>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6">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27">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89" w:name="_Toc236057875"/>
      <w:r w:rsidRPr="00B6688A">
        <w:rPr>
          <w:rFonts w:asciiTheme="majorHAnsi" w:hAnsiTheme="majorHAnsi" w:cstheme="majorHAnsi"/>
        </w:rPr>
        <w:lastRenderedPageBreak/>
        <w:t>Florida</w:t>
      </w:r>
      <w:bookmarkEnd w:id="8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90" w:name="_m726cxf588yt" w:colFirst="0" w:colLast="0"/>
      <w:bookmarkEnd w:id="90"/>
      <w:r w:rsidRPr="00B6688A">
        <w:rPr>
          <w:rFonts w:asciiTheme="majorHAnsi" w:hAnsiTheme="majorHAnsi" w:cstheme="majorHAnsi"/>
        </w:rPr>
        <w:t>Introduction</w:t>
      </w:r>
    </w:p>
    <w:p w14:paraId="47ED4B73" w14:textId="0D3860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On Aug</w:t>
      </w:r>
      <w:r w:rsidR="00AD7E8B">
        <w:rPr>
          <w:rFonts w:asciiTheme="majorHAnsi" w:eastAsia="Calibri" w:hAnsiTheme="majorHAnsi" w:cstheme="majorHAnsi"/>
        </w:rPr>
        <w:t>.</w:t>
      </w:r>
      <w:r w:rsidRPr="00B6688A">
        <w:rPr>
          <w:rFonts w:asciiTheme="majorHAnsi" w:eastAsia="Calibri" w:hAnsiTheme="majorHAnsi" w:cstheme="majorHAnsi"/>
        </w:rPr>
        <w:t xml:space="preserve"> 24, 1992,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insurance market was changed forever when Hurricane Andrew made landfall near Homestead, F</w:t>
      </w:r>
      <w:r w:rsidR="00957F00">
        <w:rPr>
          <w:rFonts w:asciiTheme="majorHAnsi" w:eastAsia="Calibri" w:hAnsiTheme="majorHAnsi" w:cstheme="majorHAnsi"/>
        </w:rPr>
        <w:t>L</w:t>
      </w:r>
      <w:r w:rsidRPr="00B6688A">
        <w:rPr>
          <w:rFonts w:asciiTheme="majorHAnsi" w:eastAsia="Calibri" w:hAnsiTheme="majorHAnsi" w:cstheme="majorHAnsi"/>
        </w:rPr>
        <w:t>.</w:t>
      </w:r>
      <w:r w:rsidR="00957F00">
        <w:rPr>
          <w:rFonts w:asciiTheme="majorHAnsi" w:eastAsia="Calibri" w:hAnsiTheme="majorHAnsi" w:cstheme="majorHAnsi"/>
        </w:rPr>
        <w:t xml:space="preserve"> </w:t>
      </w:r>
      <w:r w:rsidRPr="00B6688A">
        <w:rPr>
          <w:rFonts w:asciiTheme="majorHAnsi" w:eastAsia="Calibri" w:hAnsiTheme="majorHAnsi" w:cstheme="majorHAnsi"/>
        </w:rPr>
        <w:t>In response,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957F00">
        <w:rPr>
          <w:rFonts w:asciiTheme="majorHAnsi" w:eastAsia="Calibri" w:hAnsiTheme="majorHAnsi" w:cstheme="majorHAnsi"/>
        </w:rPr>
        <w:t>i</w:t>
      </w:r>
      <w:r w:rsidRPr="00B6688A">
        <w:rPr>
          <w:rFonts w:asciiTheme="majorHAnsi" w:eastAsia="Calibri" w:hAnsiTheme="majorHAnsi" w:cstheme="majorHAnsi"/>
        </w:rPr>
        <w:t xml:space="preserve">nsurance </w:t>
      </w:r>
      <w:r w:rsidR="00957F00">
        <w:rPr>
          <w:rFonts w:asciiTheme="majorHAnsi" w:eastAsia="Calibri" w:hAnsiTheme="majorHAnsi" w:cstheme="majorHAnsi"/>
        </w:rPr>
        <w:t>c</w:t>
      </w:r>
      <w:r w:rsidRPr="00B6688A">
        <w:rPr>
          <w:rFonts w:asciiTheme="majorHAnsi" w:eastAsia="Calibri" w:hAnsiTheme="majorHAnsi" w:cstheme="majorHAnsi"/>
        </w:rPr>
        <w:t xml:space="preserve">ommissioner issued 27 </w:t>
      </w:r>
      <w:r w:rsidR="00957F00">
        <w:rPr>
          <w:rFonts w:asciiTheme="majorHAnsi" w:eastAsia="Calibri" w:hAnsiTheme="majorHAnsi" w:cstheme="majorHAnsi"/>
        </w:rPr>
        <w:t>e</w:t>
      </w:r>
      <w:r w:rsidRPr="00B6688A">
        <w:rPr>
          <w:rFonts w:asciiTheme="majorHAnsi" w:eastAsia="Calibri" w:hAnsiTheme="majorHAnsi" w:cstheme="majorHAnsi"/>
        </w:rPr>
        <w:t xml:space="preserve">mergency </w:t>
      </w:r>
      <w:r w:rsidR="00957F00">
        <w:rPr>
          <w:rFonts w:asciiTheme="majorHAnsi" w:eastAsia="Calibri" w:hAnsiTheme="majorHAnsi" w:cstheme="majorHAnsi"/>
        </w:rPr>
        <w:t>r</w:t>
      </w:r>
      <w:r w:rsidRPr="00B6688A">
        <w:rPr>
          <w:rFonts w:asciiTheme="majorHAnsi" w:eastAsia="Calibri" w:hAnsiTheme="majorHAnsi" w:cstheme="majorHAnsi"/>
        </w:rPr>
        <w:t>ules in 1992 and 30 additional rules in 1993, beginning on Aug</w:t>
      </w:r>
      <w:r w:rsidR="00957F00">
        <w:rPr>
          <w:rFonts w:asciiTheme="majorHAnsi" w:eastAsia="Calibri" w:hAnsiTheme="majorHAnsi" w:cstheme="majorHAnsi"/>
        </w:rPr>
        <w:t>.</w:t>
      </w:r>
      <w:r w:rsidRPr="00B6688A">
        <w:rPr>
          <w:rFonts w:asciiTheme="majorHAnsi" w:eastAsia="Calibri" w:hAnsiTheme="majorHAnsi" w:cstheme="majorHAnsi"/>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005F430D">
      <w:pPr>
        <w:numPr>
          <w:ilvl w:val="0"/>
          <w:numId w:val="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Implementing a </w:t>
      </w:r>
      <w:r w:rsidRPr="00663E65">
        <w:rPr>
          <w:rFonts w:asciiTheme="majorHAnsi" w:eastAsia="Calibri" w:hAnsiTheme="majorHAnsi" w:cstheme="majorHAnsi"/>
          <w:color w:val="000000"/>
        </w:rPr>
        <w:t>moratorium</w:t>
      </w:r>
      <w:r w:rsidRPr="00B6688A">
        <w:rPr>
          <w:rFonts w:asciiTheme="majorHAnsi" w:eastAsia="Calibri" w:hAnsiTheme="majorHAnsi" w:cstheme="majorHAnsi"/>
          <w:color w:val="000000"/>
        </w:rPr>
        <w:t xml:space="preserve"> preventing insurers </w:t>
      </w:r>
      <w:r w:rsidRPr="00663E65">
        <w:rPr>
          <w:rFonts w:asciiTheme="majorHAnsi" w:eastAsia="Calibri" w:hAnsiTheme="majorHAnsi" w:cstheme="majorHAnsi"/>
          <w:color w:val="000000"/>
        </w:rPr>
        <w:t>from canceling or nonrenewing policies</w:t>
      </w:r>
      <w:r w:rsidRPr="00B6688A">
        <w:rPr>
          <w:rFonts w:asciiTheme="majorHAnsi" w:eastAsia="Calibri" w:hAnsiTheme="majorHAnsi" w:cstheme="majorHAnsi"/>
          <w:b/>
          <w:bCs/>
          <w:color w:val="000000"/>
        </w:rPr>
        <w:t>.</w:t>
      </w:r>
      <w:r w:rsidRPr="00B6688A">
        <w:rPr>
          <w:rFonts w:asciiTheme="majorHAnsi" w:eastAsia="Calibri" w:hAnsiTheme="majorHAnsi" w:cstheme="majorHAnsi"/>
          <w:color w:val="000000"/>
        </w:rPr>
        <w:t xml:space="preserve"> </w:t>
      </w:r>
    </w:p>
    <w:p w14:paraId="47ED4B76" w14:textId="520D7C3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Resulting market pressures led to insurer insolvencies</w:t>
      </w:r>
      <w:r w:rsidR="00957F00">
        <w:rPr>
          <w:rFonts w:asciiTheme="majorHAnsi" w:eastAsia="Calibri" w:hAnsiTheme="majorHAnsi" w:cstheme="majorHAnsi"/>
        </w:rPr>
        <w:t>,</w:t>
      </w:r>
      <w:r w:rsidRPr="00B6688A">
        <w:rPr>
          <w:rFonts w:asciiTheme="majorHAnsi" w:eastAsia="Calibri" w:hAnsiTheme="majorHAnsi" w:cstheme="majorHAnsi"/>
        </w:rPr>
        <w:t xml:space="preserve"> and after Hurricane Andrew and the </w:t>
      </w:r>
      <w:r w:rsidRPr="00663E65">
        <w:rPr>
          <w:rFonts w:asciiTheme="majorHAnsi" w:eastAsia="Calibri" w:hAnsiTheme="majorHAnsi" w:cstheme="majorHAnsi"/>
          <w:i/>
          <w:iCs/>
        </w:rPr>
        <w:t>Report of the Study Commission on Property Insurance and Reinsurance</w:t>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Hurricane Catastrophe Fund</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 Hurricane Catastrophe Fund (FHCF)"</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(FHCF)</w:t>
      </w:r>
      <w:r w:rsidRPr="00B6688A">
        <w:rPr>
          <w:rFonts w:asciiTheme="majorHAnsi" w:eastAsia="Calibri" w:hAnsiTheme="majorHAnsi" w:cstheme="majorHAnsi"/>
          <w:color w:val="000000"/>
        </w:rPr>
        <w:t xml:space="preserve"> to provide catastrophe reinsurance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residential property insurers at more affordable rates than private reinsurers. This approach helps maintain market capacity</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moderate premium volatility</w:t>
      </w:r>
      <w:r w:rsidR="00F72E72">
        <w:rPr>
          <w:rFonts w:asciiTheme="majorHAnsi" w:eastAsia="Calibri" w:hAnsiTheme="majorHAnsi" w:cstheme="majorHAnsi"/>
          <w:color w:val="000000"/>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Instituting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7ED4B7B" w14:textId="0A18A982"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91" w:name="_x1wp3cqwsk9" w:colFirst="0" w:colLast="0"/>
      <w:bookmarkEnd w:id="91"/>
      <w:r w:rsidRPr="00B6688A">
        <w:rPr>
          <w:rFonts w:asciiTheme="majorHAnsi" w:hAnsiTheme="majorHAnsi" w:cstheme="majorHAnsi"/>
        </w:rPr>
        <w:lastRenderedPageBreak/>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28">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92" w:name="_47ed3lm80cfd" w:colFirst="0" w:colLast="0"/>
      <w:bookmarkEnd w:id="92"/>
      <w:r w:rsidRPr="00B6688A">
        <w:rPr>
          <w:rFonts w:asciiTheme="majorHAnsi" w:hAnsiTheme="majorHAnsi" w:cstheme="majorHAnsi"/>
        </w:rPr>
        <w:t xml:space="preserve">Data Collection </w:t>
      </w:r>
    </w:p>
    <w:p w14:paraId="47ED4B80" w14:textId="09C7F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of Insurance Regulation (OIR) maintains robust, granular insurance market data, including:</w:t>
      </w:r>
    </w:p>
    <w:p w14:paraId="47ED4B81" w14:textId="03502927" w:rsidR="00FB1243" w:rsidRPr="00CB2C79" w:rsidRDefault="007413BF"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r w:rsidRPr="00CB2C79">
        <w:rPr>
          <w:rFonts w:asciiTheme="majorHAnsi" w:eastAsia="Calibri" w:hAnsiTheme="majorHAnsi" w:cstheme="majorHAnsi"/>
          <w:color w:val="000000"/>
        </w:rPr>
        <w:t xml:space="preserve">A </w:t>
      </w:r>
      <w:hyperlink r:id="rId29">
        <w:r w:rsidR="00FB1243" w:rsidRPr="00CB2C79">
          <w:rPr>
            <w:rFonts w:asciiTheme="majorHAnsi" w:eastAsia="Calibri" w:hAnsiTheme="majorHAnsi" w:cstheme="majorHAnsi"/>
            <w:color w:val="467886"/>
            <w:u w:val="single"/>
          </w:rPr>
          <w:t>Market Intelligence Report</w:t>
        </w:r>
      </w:hyperlink>
      <w:r w:rsidRPr="00CB2C79">
        <w:rPr>
          <w:rFonts w:asciiTheme="majorHAnsi" w:eastAsia="Calibri" w:hAnsiTheme="majorHAnsi" w:cstheme="majorHAnsi"/>
          <w:color w:val="000000"/>
        </w:rPr>
        <w:t xml:space="preserve"> that captures personal, residential, and commercial policies </w:t>
      </w:r>
      <w:r w:rsidR="001B134B">
        <w:rPr>
          <w:rFonts w:asciiTheme="majorHAnsi" w:eastAsia="Calibri" w:hAnsiTheme="majorHAnsi" w:cstheme="majorHAnsi"/>
          <w:color w:val="000000"/>
        </w:rPr>
        <w:t>by</w:t>
      </w:r>
      <w:r w:rsidRPr="00CB2C79">
        <w:rPr>
          <w:rFonts w:asciiTheme="majorHAnsi" w:eastAsia="Calibri" w:hAnsiTheme="majorHAnsi" w:cstheme="majorHAnsi"/>
          <w:color w:val="000000"/>
        </w:rPr>
        <w:t xml:space="preserve"> </w:t>
      </w:r>
      <w:r w:rsidR="00FA6FD2">
        <w:rPr>
          <w:rFonts w:asciiTheme="majorHAnsi" w:eastAsia="Calibri" w:hAnsiTheme="majorHAnsi" w:cstheme="majorHAnsi"/>
          <w:color w:val="000000"/>
        </w:rPr>
        <w:t>ZIP</w:t>
      </w:r>
      <w:r w:rsidR="00FA6FD2"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code on a monthly basis.</w:t>
      </w:r>
    </w:p>
    <w:p w14:paraId="47ED4B82" w14:textId="412EB7EC" w:rsidR="00FB1243" w:rsidRPr="00CB2C79"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0">
        <w:r w:rsidRPr="00CB2C79">
          <w:rPr>
            <w:rFonts w:asciiTheme="majorHAnsi" w:eastAsia="Calibri" w:hAnsiTheme="majorHAnsi" w:cstheme="majorHAnsi"/>
            <w:color w:val="467886"/>
            <w:u w:val="single"/>
          </w:rPr>
          <w:t>Catastrophe Claims Data and Reporting</w:t>
        </w:r>
      </w:hyperlink>
      <w:r w:rsidR="00DD589B">
        <w:rPr>
          <w:rFonts w:asciiTheme="majorHAnsi" w:eastAsia="Calibri" w:hAnsiTheme="majorHAnsi" w:cstheme="majorHAnsi"/>
          <w:color w:val="000000"/>
        </w:rPr>
        <w:t>, which</w:t>
      </w:r>
      <w:r w:rsidRPr="00CB2C79">
        <w:rPr>
          <w:rFonts w:asciiTheme="majorHAnsi" w:eastAsia="Calibri" w:hAnsiTheme="majorHAnsi" w:cstheme="majorHAnsi"/>
          <w:color w:val="000000"/>
        </w:rPr>
        <w:t xml:space="preserve"> collects </w:t>
      </w:r>
      <w:r w:rsidR="002F57F6">
        <w:rPr>
          <w:rFonts w:asciiTheme="majorHAnsi" w:eastAsia="Calibri" w:hAnsiTheme="majorHAnsi" w:cstheme="majorHAnsi"/>
          <w:color w:val="000000"/>
        </w:rPr>
        <w:t>ZIP</w:t>
      </w:r>
      <w:r w:rsidRPr="00CB2C79">
        <w:rPr>
          <w:rFonts w:asciiTheme="majorHAnsi" w:eastAsia="Calibri" w:hAnsiTheme="majorHAnsi" w:cstheme="majorHAnsi"/>
          <w:color w:val="000000"/>
        </w:rPr>
        <w:t xml:space="preserve">-code-level claims data </w:t>
      </w:r>
      <w:r w:rsidR="00AB02F1">
        <w:rPr>
          <w:rFonts w:asciiTheme="majorHAnsi" w:eastAsia="Calibri" w:hAnsiTheme="majorHAnsi" w:cstheme="majorHAnsi"/>
          <w:color w:val="000000"/>
        </w:rPr>
        <w:t>after</w:t>
      </w:r>
      <w:r w:rsidR="00AB02F1"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landfalling hurricanes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Hurricanes"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for homeowners, dwelling, mobile homeowners, and other</w:t>
      </w:r>
      <w:r w:rsidR="006A2B50">
        <w:rPr>
          <w:rFonts w:asciiTheme="majorHAnsi" w:eastAsia="Calibri" w:hAnsiTheme="majorHAnsi" w:cstheme="majorHAnsi"/>
          <w:color w:val="000000"/>
        </w:rPr>
        <w:t xml:space="preserve"> </w:t>
      </w:r>
      <w:r w:rsidR="00E22E57">
        <w:rPr>
          <w:rFonts w:asciiTheme="majorHAnsi" w:eastAsia="Calibri" w:hAnsiTheme="majorHAnsi" w:cstheme="majorHAnsi"/>
          <w:color w:val="000000"/>
        </w:rPr>
        <w:t>insurance</w:t>
      </w:r>
      <w:r w:rsidRPr="00CB2C79">
        <w:rPr>
          <w:rFonts w:asciiTheme="majorHAnsi" w:eastAsia="Calibri" w:hAnsiTheme="majorHAnsi" w:cstheme="majorHAnsi"/>
          <w:color w:val="000000"/>
        </w:rPr>
        <w:t xml:space="preserve"> lines. </w:t>
      </w:r>
    </w:p>
    <w:p w14:paraId="47ED4B83" w14:textId="3852AEAE" w:rsidR="00FB1243" w:rsidRPr="00B6688A"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1">
        <w:r w:rsidRPr="00CB2C79">
          <w:rPr>
            <w:rFonts w:asciiTheme="majorHAnsi" w:eastAsia="Calibri" w:hAnsiTheme="majorHAnsi" w:cstheme="majorHAnsi"/>
            <w:color w:val="467886"/>
            <w:u w:val="single"/>
          </w:rPr>
          <w:t xml:space="preserve">Data Call Reporting </w:t>
        </w:r>
        <w:r w:rsidR="002F57F6">
          <w:rPr>
            <w:rFonts w:asciiTheme="majorHAnsi" w:eastAsia="Calibri" w:hAnsiTheme="majorHAnsi" w:cstheme="majorHAnsi"/>
            <w:color w:val="467886"/>
            <w:u w:val="single"/>
          </w:rPr>
          <w:t>w</w:t>
        </w:r>
        <w:r w:rsidRPr="00CB2C79">
          <w:rPr>
            <w:rFonts w:asciiTheme="majorHAnsi" w:eastAsia="Calibri" w:hAnsiTheme="majorHAnsi" w:cstheme="majorHAnsi"/>
            <w:color w:val="467886"/>
            <w:u w:val="single"/>
          </w:rPr>
          <w:t>ebpage</w:t>
        </w:r>
      </w:hyperlink>
      <w:r w:rsidRPr="00CB2C79">
        <w:rPr>
          <w:rFonts w:asciiTheme="majorHAnsi" w:eastAsia="Calibri" w:hAnsiTheme="majorHAnsi" w:cstheme="majorHAnsi"/>
          <w:color w:val="000000"/>
        </w:rPr>
        <w:t xml:space="preserve"> that contains many helpful data calls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Data calls"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including the Florida</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Florida"</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Property Claims</w:t>
      </w:r>
      <w:r w:rsidRPr="00B6688A">
        <w:rPr>
          <w:rFonts w:asciiTheme="majorHAnsi" w:eastAsia="Calibri" w:hAnsiTheme="majorHAnsi" w:cstheme="majorHAnsi"/>
          <w:color w:val="000000"/>
        </w:rPr>
        <w:t xml:space="preserve">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93" w:name="_tqi0joy54q0b" w:colFirst="0" w:colLast="0"/>
      <w:bookmarkEnd w:id="93"/>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2">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3">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4">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5">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36">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also implemented targeted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assistance programs, including:</w:t>
      </w:r>
    </w:p>
    <w:p w14:paraId="47ED4B8C" w14:textId="39A54338"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7">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Home </w:t>
        </w:r>
        <w:r w:rsidR="00553D51">
          <w:rPr>
            <w:rFonts w:asciiTheme="majorHAnsi" w:eastAsia="Calibri" w:hAnsiTheme="majorHAnsi" w:cstheme="majorHAnsi"/>
            <w:u w:val="single"/>
          </w:rPr>
          <w:t>p</w:t>
        </w:r>
        <w:r w:rsidRPr="00830F03">
          <w:rPr>
            <w:rFonts w:asciiTheme="majorHAnsi" w:eastAsia="Calibri" w:hAnsiTheme="majorHAnsi" w:cstheme="majorHAnsi"/>
            <w:u w:val="single"/>
          </w:rPr>
          <w:t>rogram</w:t>
        </w:r>
      </w:hyperlink>
      <w:r w:rsidR="0068774E" w:rsidRPr="00663E65">
        <w:rPr>
          <w:rFonts w:asciiTheme="majorHAnsi" w:hAnsiTheme="majorHAnsi" w:cstheme="majorHAnsi"/>
        </w:rPr>
        <w:t>, which</w:t>
      </w:r>
      <w:r w:rsidR="0068774E">
        <w:t xml:space="preserve"> </w:t>
      </w:r>
      <w:r w:rsidRPr="00830F03">
        <w:rPr>
          <w:rFonts w:asciiTheme="majorHAnsi" w:eastAsia="Calibri" w:hAnsiTheme="majorHAnsi" w:cstheme="majorHAnsi"/>
          <w:color w:val="000000"/>
        </w:rPr>
        <w:t>helps homeowners strengthen their homes through wind</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Wind"</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mitigation</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Mitigation"</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inspections and grant assistance</w:t>
      </w:r>
      <w:r w:rsidR="0015758E" w:rsidRPr="0015758E">
        <w:rPr>
          <w:rFonts w:asciiTheme="majorHAnsi" w:eastAsia="Calibri" w:hAnsiTheme="majorHAnsi" w:cstheme="majorHAnsi"/>
          <w:color w:val="000000"/>
        </w:rPr>
        <w:t>, potentially reducing their homeowners insurance premiums</w:t>
      </w:r>
      <w:r w:rsidR="0015758E">
        <w:rPr>
          <w:rFonts w:asciiTheme="majorHAnsi" w:eastAsia="Calibri" w:hAnsiTheme="majorHAnsi" w:cstheme="majorHAnsi"/>
          <w:color w:val="000000"/>
        </w:rPr>
        <w:t xml:space="preserve"> </w:t>
      </w:r>
      <w:r w:rsidRPr="00830F03">
        <w:rPr>
          <w:rFonts w:asciiTheme="majorHAnsi" w:eastAsia="Calibri" w:hAnsiTheme="majorHAnsi" w:cstheme="majorHAnsi"/>
          <w:color w:val="000000"/>
        </w:rPr>
        <w:t>(</w:t>
      </w:r>
      <w:hyperlink r:id="rId38">
        <w:r w:rsidR="00EE37C7">
          <w:rPr>
            <w:rFonts w:asciiTheme="majorHAnsi" w:eastAsia="Calibri" w:hAnsiTheme="majorHAnsi" w:cstheme="majorHAnsi"/>
            <w:color w:val="0000FF"/>
            <w:u w:val="single"/>
          </w:rPr>
          <w:t>S</w:t>
        </w:r>
        <w:r w:rsidRPr="00830F03">
          <w:rPr>
            <w:rFonts w:asciiTheme="majorHAnsi" w:eastAsia="Calibri" w:hAnsiTheme="majorHAnsi" w:cstheme="majorHAnsi"/>
            <w:color w:val="0000FF"/>
            <w:u w:val="single"/>
          </w:rPr>
          <w:t>ection 215.5586, Florida Statutes</w:t>
        </w:r>
      </w:hyperlink>
      <w:r w:rsidRPr="00830F03">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9">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0">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requires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through the </w:t>
      </w:r>
      <w:hyperlink r:id="rId41">
        <w:r w:rsidR="00FB1243" w:rsidRPr="00B6688A">
          <w:rPr>
            <w:rFonts w:asciiTheme="majorHAnsi" w:eastAsia="Calibri" w:hAnsiTheme="majorHAnsi" w:cstheme="majorHAnsi"/>
            <w:color w:val="467886"/>
            <w:u w:val="single"/>
          </w:rPr>
          <w:t xml:space="preserve">Uniform Mitigation </w:t>
        </w:r>
        <w:r w:rsidR="00A15309">
          <w:rPr>
            <w:rFonts w:asciiTheme="majorHAnsi" w:eastAsia="Calibri" w:hAnsiTheme="majorHAnsi" w:cstheme="majorHAnsi"/>
            <w:color w:val="467886"/>
            <w:u w:val="single"/>
          </w:rPr>
          <w:t xml:space="preserve">Verification </w:t>
        </w:r>
        <w:r w:rsidR="00FB1243" w:rsidRPr="00B6688A">
          <w:rPr>
            <w:rFonts w:asciiTheme="majorHAnsi" w:eastAsia="Calibri" w:hAnsiTheme="majorHAnsi" w:cstheme="majorHAnsi"/>
            <w:color w:val="467886"/>
            <w:u w:val="single"/>
          </w:rPr>
          <w:t>Inspection Form (OIR-B1-1802)</w:t>
        </w:r>
      </w:hyperlink>
      <w:r w:rsidRPr="00B6688A">
        <w:rPr>
          <w:rFonts w:asciiTheme="majorHAnsi" w:eastAsia="Calibri" w:hAnsiTheme="majorHAnsi" w:cstheme="majorHAnsi"/>
        </w:rPr>
        <w:t>. This form is completed by a licensed home inspector who validates the mitigation attributes or construction techniques. Insurers then evaluate the form to determine if the policyholder/applicant is eligible for any discounts to reduce their 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2">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3">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4">
        <w:r w:rsidR="00FB1243" w:rsidRPr="00B6688A">
          <w:rPr>
            <w:rFonts w:asciiTheme="majorHAnsi" w:eastAsia="Calibri" w:hAnsiTheme="majorHAnsi" w:cstheme="majorHAnsi"/>
            <w:color w:val="467886"/>
            <w:u w:val="single"/>
          </w:rPr>
          <w:t>Notice of Premium Discounts for Hurricane Loss Mitigation (OIR-B1-1655)</w:t>
        </w:r>
      </w:hyperlink>
      <w:r w:rsidRPr="00B6688A">
        <w:rPr>
          <w:rFonts w:asciiTheme="majorHAnsi" w:eastAsia="Calibri" w:hAnsiTheme="majorHAnsi" w:cstheme="majorHAnsi"/>
          <w:color w:val="000000"/>
        </w:rPr>
        <w:t xml:space="preserve"> form</w:t>
      </w:r>
      <w:r w:rsidR="001807E9">
        <w:rPr>
          <w:rFonts w:asciiTheme="majorHAnsi" w:eastAsia="Calibri" w:hAnsiTheme="majorHAnsi" w:cstheme="majorHAnsi"/>
          <w:color w:val="000000"/>
        </w:rPr>
        <w:t xml:space="preserve"> </w:t>
      </w:r>
      <w:r w:rsidR="001807E9" w:rsidRPr="001807E9">
        <w:rPr>
          <w:rFonts w:asciiTheme="majorHAnsi" w:eastAsia="Calibri" w:hAnsiTheme="majorHAnsi" w:cstheme="majorHAnsi"/>
          <w:color w:val="000000"/>
        </w:rPr>
        <w:t>describes actions policyholders may be able to take to reduce their windstorm premiums. Insurers provide the form to policyholders when issuing and renewing personal lines residential policies</w:t>
      </w:r>
      <w:r w:rsidRPr="00B6688A">
        <w:rPr>
          <w:rFonts w:asciiTheme="majorHAnsi" w:eastAsia="Calibri" w:hAnsiTheme="majorHAnsi" w:cstheme="majorHAnsi"/>
          <w:color w:val="000000"/>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Evaluate the fixtures or construction techniques demonstrated to reduce the amount of loss in a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01DD3">
        <w:rPr>
          <w:rFonts w:asciiTheme="majorHAnsi" w:eastAsia="Calibri" w:hAnsiTheme="majorHAnsi" w:cstheme="majorHAnsi"/>
          <w:color w:val="000000"/>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Quantify the discounts, credits, rate differentials, and deductible reductions that reflect the full actuarial value of such fixtures or construction techniques.</w:t>
      </w:r>
    </w:p>
    <w:p w14:paraId="47ED4B9A" w14:textId="3433B684" w:rsidR="00FB1243" w:rsidRPr="00B6688A" w:rsidRDefault="007413BF">
      <w:pPr>
        <w:widowControl w:val="0"/>
        <w:spacing w:before="80" w:after="0"/>
        <w:jc w:val="both"/>
        <w:rPr>
          <w:rFonts w:asciiTheme="majorHAnsi" w:eastAsia="Calibri" w:hAnsiTheme="majorHAnsi" w:cstheme="majorHAnsi"/>
        </w:rPr>
      </w:pPr>
      <w:r w:rsidRPr="00B6688A">
        <w:rPr>
          <w:rFonts w:asciiTheme="majorHAnsi" w:eastAsia="Calibri" w:hAnsiTheme="majorHAnsi" w:cstheme="majorHAnsi"/>
        </w:rPr>
        <w:t xml:space="preserve">Consumer education is an essential role of the state </w:t>
      </w:r>
      <w:r w:rsidR="00C01DD3">
        <w:rPr>
          <w:rFonts w:asciiTheme="majorHAnsi" w:eastAsia="Calibri" w:hAnsiTheme="majorHAnsi" w:cstheme="majorHAnsi"/>
        </w:rPr>
        <w:t>to help</w:t>
      </w:r>
      <w:r w:rsidRPr="00B6688A">
        <w:rPr>
          <w:rFonts w:asciiTheme="majorHAnsi" w:eastAsia="Calibri" w:hAnsiTheme="majorHAnsi" w:cstheme="majorHAnsi"/>
        </w:rPr>
        <w:t xml:space="preserve"> homeowners navigate the unpredictable insurance market.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Insurance Consumer Advocate and the Florida Department of Financial Services maintain </w:t>
      </w:r>
      <w:r w:rsidR="00E42AFE">
        <w:rPr>
          <w:rFonts w:asciiTheme="majorHAnsi" w:eastAsia="Calibri" w:hAnsiTheme="majorHAnsi" w:cstheme="majorHAnsi"/>
        </w:rPr>
        <w:t>these</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5">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6">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7">
        <w:r w:rsidRPr="00B6688A">
          <w:rPr>
            <w:rFonts w:asciiTheme="majorHAnsi" w:eastAsia="Calibri" w:hAnsiTheme="majorHAnsi" w:cstheme="majorHAnsi"/>
            <w:color w:val="467886"/>
            <w:u w:val="single"/>
          </w:rPr>
          <w:t>Demolish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8">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94" w:name="_hdmis4ud6cn" w:colFirst="0" w:colLast="0"/>
      <w:bookmarkEnd w:id="94"/>
      <w:r w:rsidRPr="00B6688A">
        <w:rPr>
          <w:rFonts w:asciiTheme="majorHAnsi" w:hAnsiTheme="majorHAnsi" w:cstheme="majorHAnsi"/>
        </w:rPr>
        <w:t xml:space="preserve">Partnerships </w:t>
      </w:r>
    </w:p>
    <w:p w14:paraId="47ED4BA0" w14:textId="6F11DB27" w:rsidR="00FB1243" w:rsidRPr="00B6688A" w:rsidRDefault="00FB1243">
      <w:pPr>
        <w:widowControl w:val="0"/>
        <w:spacing w:after="0"/>
        <w:jc w:val="both"/>
        <w:rPr>
          <w:rFonts w:asciiTheme="majorHAnsi" w:eastAsia="Calibri" w:hAnsiTheme="majorHAnsi" w:cstheme="majorHAnsi"/>
        </w:rPr>
      </w:pPr>
      <w:hyperlink r:id="rId49">
        <w:r w:rsidRPr="00B6688A">
          <w:rPr>
            <w:rFonts w:asciiTheme="majorHAnsi" w:eastAsia="Calibri" w:hAnsiTheme="majorHAnsi" w:cstheme="majorHAnsi"/>
            <w:b/>
            <w:bCs/>
            <w:u w:val="single"/>
          </w:rPr>
          <w:t>Citizens Property Insurance Corporation (Citizens)</w:t>
        </w:r>
      </w:hyperlink>
      <w:r w:rsidRPr="00B6688A">
        <w:rPr>
          <w:rFonts w:asciiTheme="majorHAnsi" w:eastAsia="Calibri" w:hAnsiTheme="majorHAnsi" w:cstheme="majorHAnsi"/>
        </w:rPr>
        <w:t xml:space="preserve"> is a state-run insurer created by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Citizens is funded by policyholder premiums, and if its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50">
        <w:r w:rsidR="00FB1243" w:rsidRPr="00B6688A">
          <w:rPr>
            <w:rFonts w:asciiTheme="majorHAnsi" w:eastAsia="Calibri" w:hAnsiTheme="majorHAnsi" w:cstheme="majorHAnsi"/>
            <w:color w:val="467886"/>
            <w:u w:val="single"/>
          </w:rPr>
          <w:t>Citizens Property Insurance Corporation</w:t>
        </w:r>
      </w:hyperlink>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Depopulation/Takeout Program</w:t>
      </w:r>
      <w:r w:rsidRPr="00B6688A">
        <w:rPr>
          <w:rFonts w:asciiTheme="majorHAnsi" w:eastAsia="Calibri" w:hAnsiTheme="majorHAnsi" w:cstheme="majorHAnsi"/>
        </w:rPr>
        <w:t xml:space="preserve"> was created to help return Citizens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The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 begins approximately 100 days prior to the actual assumption date. All information required for the depopulation application </w:t>
      </w:r>
      <w:r w:rsidR="00C01DD3">
        <w:rPr>
          <w:rFonts w:asciiTheme="majorHAnsi" w:eastAsia="Calibri" w:hAnsiTheme="majorHAnsi" w:cstheme="majorHAnsi"/>
        </w:rPr>
        <w:t>is available</w:t>
      </w:r>
      <w:r w:rsidRPr="00B6688A">
        <w:rPr>
          <w:rFonts w:asciiTheme="majorHAnsi" w:eastAsia="Calibri" w:hAnsiTheme="majorHAnsi" w:cstheme="majorHAnsi"/>
        </w:rPr>
        <w:t xml:space="preserve"> on </w:t>
      </w:r>
      <w:r w:rsidR="00C01DD3">
        <w:rPr>
          <w:rFonts w:asciiTheme="majorHAnsi" w:eastAsia="Calibri" w:hAnsiTheme="majorHAnsi" w:cstheme="majorHAnsi"/>
        </w:rPr>
        <w:t xml:space="preserve">the OIR’s </w:t>
      </w:r>
      <w:hyperlink r:id="rId51">
        <w:r w:rsidR="00FB1243" w:rsidRPr="00B6688A">
          <w:rPr>
            <w:rFonts w:asciiTheme="majorHAnsi" w:eastAsia="Calibri" w:hAnsiTheme="majorHAnsi" w:cstheme="majorHAnsi"/>
            <w:color w:val="0000FF"/>
            <w:u w:val="single"/>
          </w:rPr>
          <w:t xml:space="preserve">Take-Out </w:t>
        </w:r>
        <w:r w:rsidR="00C01DD3">
          <w:rPr>
            <w:rFonts w:asciiTheme="majorHAnsi" w:eastAsia="Calibri" w:hAnsiTheme="majorHAnsi" w:cstheme="majorHAnsi"/>
            <w:color w:val="0000FF"/>
            <w:u w:val="single"/>
          </w:rPr>
          <w:t>w</w:t>
        </w:r>
        <w:r w:rsidR="00FB1243" w:rsidRPr="00B6688A">
          <w:rPr>
            <w:rFonts w:asciiTheme="majorHAnsi" w:eastAsia="Calibri" w:hAnsiTheme="majorHAnsi" w:cstheme="majorHAnsi"/>
            <w:color w:val="0000FF"/>
            <w:u w:val="single"/>
          </w:rPr>
          <w:t>ebpage.</w:t>
        </w:r>
      </w:hyperlink>
      <w:r w:rsidRPr="00B6688A">
        <w:rPr>
          <w:rFonts w:asciiTheme="majorHAnsi" w:eastAsia="Calibri" w:hAnsiTheme="majorHAnsi" w:cstheme="majorHAnsi"/>
        </w:rPr>
        <w:t xml:space="preserve"> </w:t>
      </w:r>
      <w:r w:rsidR="00C01DD3">
        <w:rPr>
          <w:rFonts w:asciiTheme="majorHAnsi" w:eastAsia="Calibri" w:hAnsiTheme="majorHAnsi" w:cstheme="majorHAnsi"/>
        </w:rPr>
        <w:t xml:space="preserve">The </w:t>
      </w:r>
      <w:r w:rsidRPr="00B6688A">
        <w:rPr>
          <w:rFonts w:asciiTheme="majorHAnsi" w:eastAsia="Calibri" w:hAnsiTheme="majorHAnsi" w:cstheme="majorHAnsi"/>
        </w:rPr>
        <w:t>OIR must review all submitted documentation</w:t>
      </w:r>
      <w:r w:rsidR="00C01DD3">
        <w:rPr>
          <w:rFonts w:asciiTheme="majorHAnsi" w:eastAsia="Calibri" w:hAnsiTheme="majorHAnsi" w:cstheme="majorHAnsi"/>
        </w:rPr>
        <w:t xml:space="preserve"> and, i</w:t>
      </w:r>
      <w:r w:rsidRPr="00B6688A">
        <w:rPr>
          <w:rFonts w:asciiTheme="majorHAnsi" w:eastAsia="Calibri" w:hAnsiTheme="majorHAnsi" w:cstheme="majorHAnsi"/>
        </w:rPr>
        <w:t xml:space="preserve">f </w:t>
      </w:r>
      <w:r w:rsidR="00C01DD3">
        <w:rPr>
          <w:rFonts w:asciiTheme="majorHAnsi" w:eastAsia="Calibri" w:hAnsiTheme="majorHAnsi" w:cstheme="majorHAnsi"/>
        </w:rPr>
        <w:t>it</w:t>
      </w:r>
      <w:r w:rsidRPr="00B6688A">
        <w:rPr>
          <w:rFonts w:asciiTheme="majorHAnsi" w:eastAsia="Calibri" w:hAnsiTheme="majorHAnsi" w:cstheme="majorHAnsi"/>
        </w:rPr>
        <w:t xml:space="preserve"> determines that the take-out company is approved to participate in the depopulation, </w:t>
      </w:r>
      <w:r w:rsidR="00C25AA4">
        <w:rPr>
          <w:rFonts w:asciiTheme="majorHAnsi" w:eastAsia="Calibri" w:hAnsiTheme="majorHAnsi" w:cstheme="majorHAnsi"/>
        </w:rPr>
        <w:t xml:space="preserve">grant </w:t>
      </w:r>
      <w:r w:rsidRPr="00B6688A">
        <w:rPr>
          <w:rFonts w:asciiTheme="majorHAnsi" w:eastAsia="Calibri" w:hAnsiTheme="majorHAnsi" w:cstheme="majorHAnsi"/>
        </w:rPr>
        <w:t xml:space="preserve">approval via a </w:t>
      </w:r>
      <w:r w:rsidR="00C25AA4">
        <w:rPr>
          <w:rFonts w:asciiTheme="majorHAnsi" w:eastAsia="Calibri" w:hAnsiTheme="majorHAnsi" w:cstheme="majorHAnsi"/>
        </w:rPr>
        <w:t>c</w:t>
      </w:r>
      <w:r w:rsidRPr="00B6688A">
        <w:rPr>
          <w:rFonts w:asciiTheme="majorHAnsi" w:eastAsia="Calibri" w:hAnsiTheme="majorHAnsi" w:cstheme="majorHAnsi"/>
        </w:rPr>
        <w:t xml:space="preserve">onsent </w:t>
      </w:r>
      <w:r w:rsidR="00C25AA4">
        <w:rPr>
          <w:rFonts w:asciiTheme="majorHAnsi" w:eastAsia="Calibri" w:hAnsiTheme="majorHAnsi" w:cstheme="majorHAnsi"/>
        </w:rPr>
        <w:t>o</w:t>
      </w:r>
      <w:r w:rsidRPr="00B6688A">
        <w:rPr>
          <w:rFonts w:asciiTheme="majorHAnsi" w:eastAsia="Calibri" w:hAnsiTheme="majorHAnsi" w:cstheme="majorHAnsi"/>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95" w:name="_8s81myu8g3yz" w:colFirst="0" w:colLast="0"/>
      <w:bookmarkStart w:id="96" w:name="_Toc236057876"/>
      <w:bookmarkEnd w:id="95"/>
      <w:r w:rsidRPr="00B6688A">
        <w:rPr>
          <w:rFonts w:asciiTheme="majorHAnsi" w:hAnsiTheme="majorHAnsi" w:cstheme="majorHAnsi"/>
        </w:rPr>
        <w:t>Louisiana</w:t>
      </w:r>
      <w:bookmarkEnd w:id="9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00793052">
      <w:pPr>
        <w:jc w:val="both"/>
        <w:rPr>
          <w:rFonts w:asciiTheme="majorHAnsi" w:hAnsiTheme="majorHAnsi" w:cstheme="majorHAnsi"/>
        </w:rPr>
      </w:pPr>
      <w:r w:rsidRPr="00B6688A">
        <w:rPr>
          <w:rFonts w:asciiTheme="majorHAnsi" w:hAnsiTheme="majorHAnsi" w:cstheme="majorHAnsi"/>
        </w:rPr>
        <w:t>Following Hurricane Katrina in 2005,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restructured its approach to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 homeowners insurance, and residential construction. The storm exposed significant gaps in building standards and risk management, which led to the development of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Louisiana has continued to adopt updated construction codes and additional requirements focused on improving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overall building performance in hurricane conditions.</w:t>
      </w:r>
    </w:p>
    <w:p w14:paraId="4FA262D4" w14:textId="0575C045" w:rsidR="00793052" w:rsidRPr="00B6688A" w:rsidRDefault="00793052" w:rsidP="00793052">
      <w:pPr>
        <w:jc w:val="both"/>
        <w:rPr>
          <w:rFonts w:asciiTheme="majorHAnsi" w:hAnsiTheme="majorHAnsi" w:cstheme="majorHAnsi"/>
        </w:rPr>
      </w:pPr>
      <w:r w:rsidRPr="00B6688A">
        <w:rPr>
          <w:rFonts w:asciiTheme="majorHAnsi" w:hAnsiTheme="majorHAnsi" w:cstheme="majorHAnsi"/>
        </w:rPr>
        <w:t>More recently, the 2020 and 2021 storm seasons, including Hurricanes Laura, Delta, Zeta, and Ida</w:t>
      </w:r>
      <w:r w:rsidR="00D7551D">
        <w:rPr>
          <w:rFonts w:asciiTheme="majorHAnsi" w:hAnsiTheme="majorHAnsi" w:cstheme="majorHAnsi"/>
        </w:rPr>
        <w:t>,</w:t>
      </w:r>
      <w:r w:rsidRPr="00B6688A">
        <w:rPr>
          <w:rFonts w:asciiTheme="majorHAnsi" w:hAnsiTheme="majorHAnsi" w:cstheme="majorHAnsi"/>
        </w:rPr>
        <w:t xml:space="preserve"> played a key role in destabilizing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’s homeowners insurance market. In response, </w:t>
      </w:r>
      <w:r w:rsidRPr="00B6688A">
        <w:rPr>
          <w:rFonts w:asciiTheme="majorHAnsi" w:hAnsiTheme="majorHAnsi" w:cstheme="majorHAnsi"/>
        </w:rPr>
        <w:lastRenderedPageBreak/>
        <w:t>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2"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3"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participates in the NAIC Homeowners Market Data Call</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"Homeowners Market Data Call" </w:instrText>
      </w:r>
      <w:r w:rsidR="00870578" w:rsidRPr="003D782C">
        <w:rPr>
          <w:rFonts w:asciiTheme="majorHAnsi" w:hAnsiTheme="majorHAnsi" w:cstheme="majorHAnsi"/>
        </w:rPr>
        <w:fldChar w:fldCharType="end"/>
      </w:r>
      <w:r w:rsidRPr="003D782C">
        <w:rPr>
          <w:rFonts w:asciiTheme="majorHAnsi" w:hAnsiTheme="majorHAnsi" w:cstheme="majorHAnsi"/>
        </w:rPr>
        <w:t>, which provides detailed information on policies, premiums, claims, and nonrenewal</w:t>
      </w:r>
      <w:r w:rsidR="0057699C">
        <w:rPr>
          <w:rFonts w:asciiTheme="majorHAnsi" w:hAnsiTheme="majorHAnsi" w:cstheme="majorHAnsi"/>
        </w:rPr>
        <w:t>s</w:t>
      </w:r>
      <w:r w:rsidRPr="003D782C">
        <w:rPr>
          <w:rFonts w:asciiTheme="majorHAnsi" w:hAnsiTheme="majorHAnsi" w:cstheme="majorHAnsi"/>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uses </w:t>
      </w:r>
      <w:r w:rsidR="003408E1">
        <w:rPr>
          <w:rFonts w:asciiTheme="majorHAnsi" w:hAnsiTheme="majorHAnsi" w:cstheme="majorHAnsi"/>
        </w:rPr>
        <w:t>p</w:t>
      </w:r>
      <w:r w:rsidRPr="003D782C">
        <w:rPr>
          <w:rFonts w:asciiTheme="majorHAnsi" w:hAnsiTheme="majorHAnsi" w:cstheme="majorHAnsi"/>
        </w:rPr>
        <w:t xml:space="preserve">roperty </w:t>
      </w:r>
      <w:r w:rsidR="003408E1">
        <w:rPr>
          <w:rFonts w:asciiTheme="majorHAnsi" w:hAnsiTheme="majorHAnsi" w:cstheme="majorHAnsi"/>
        </w:rPr>
        <w:t>m</w:t>
      </w:r>
      <w:r w:rsidRPr="003D782C">
        <w:rPr>
          <w:rFonts w:asciiTheme="majorHAnsi" w:hAnsiTheme="majorHAnsi" w:cstheme="majorHAnsi"/>
        </w:rPr>
        <w:t xml:space="preserve">arket </w:t>
      </w:r>
      <w:r w:rsidR="003408E1">
        <w:rPr>
          <w:rFonts w:asciiTheme="majorHAnsi" w:hAnsiTheme="majorHAnsi" w:cstheme="majorHAnsi"/>
        </w:rPr>
        <w:t>i</w:t>
      </w:r>
      <w:r w:rsidRPr="003D782C">
        <w:rPr>
          <w:rFonts w:asciiTheme="majorHAnsi" w:hAnsiTheme="majorHAnsi" w:cstheme="majorHAnsi"/>
        </w:rPr>
        <w:t xml:space="preserve">nformation </w:t>
      </w:r>
      <w:r w:rsidR="003408E1">
        <w:rPr>
          <w:rFonts w:asciiTheme="majorHAnsi" w:hAnsiTheme="majorHAnsi" w:cstheme="majorHAnsi"/>
        </w:rPr>
        <w:t>r</w:t>
      </w:r>
      <w:r w:rsidRPr="003D782C">
        <w:rPr>
          <w:rFonts w:asciiTheme="majorHAnsi" w:hAnsiTheme="majorHAnsi" w:cstheme="majorHAnsi"/>
        </w:rPr>
        <w:t>eporting</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"Property Market Information Reporting (PMIR)"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(PMIR) to monitor homeowners</w:t>
      </w:r>
      <w:r w:rsidR="00DF6DCD">
        <w:rPr>
          <w:rFonts w:asciiTheme="majorHAnsi" w:hAnsiTheme="majorHAnsi" w:cstheme="majorHAnsi"/>
        </w:rPr>
        <w:t xml:space="preserve"> insurance</w:t>
      </w:r>
      <w:r w:rsidRPr="003D782C">
        <w:rPr>
          <w:rFonts w:asciiTheme="majorHAnsi" w:hAnsiTheme="majorHAnsi" w:cstheme="majorHAnsi"/>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Pr>
          <w:rFonts w:asciiTheme="majorHAnsi" w:hAnsiTheme="majorHAnsi" w:cstheme="majorHAnsi"/>
        </w:rPr>
        <w:t>DOI</w:t>
      </w:r>
      <w:r w:rsidRPr="003D782C">
        <w:rPr>
          <w:rFonts w:asciiTheme="majorHAnsi" w:hAnsiTheme="majorHAnsi" w:cstheme="majorHAnsi"/>
        </w:rPr>
        <w:t xml:space="preserve"> when they cease, pause, or resume writing policies in specific regions, enhancing </w:t>
      </w:r>
      <w:r w:rsidR="00E02EBF">
        <w:rPr>
          <w:rFonts w:asciiTheme="majorHAnsi" w:hAnsiTheme="majorHAnsi" w:cstheme="majorHAnsi"/>
        </w:rPr>
        <w:t xml:space="preserve">real-time </w:t>
      </w:r>
      <w:r w:rsidRPr="003D782C">
        <w:rPr>
          <w:rFonts w:asciiTheme="majorHAnsi" w:hAnsiTheme="majorHAnsi" w:cstheme="majorHAnsi"/>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has issued formal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also monitors and collects information </w:t>
      </w:r>
      <w:r w:rsidR="005E7B25">
        <w:rPr>
          <w:rFonts w:asciiTheme="majorHAnsi" w:hAnsiTheme="majorHAnsi" w:cstheme="majorHAnsi"/>
        </w:rPr>
        <w:t>on</w:t>
      </w:r>
      <w:r w:rsidRPr="00B6688A">
        <w:rPr>
          <w:rFonts w:asciiTheme="majorHAnsi" w:hAnsiTheme="majorHAnsi" w:cstheme="majorHAnsi"/>
        </w:rPr>
        <w:t xml:space="preserve"> other catastrophic events, including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winter weather events, through targeted information requests, claims monitoring, and ongoing market analysis.</w:t>
      </w:r>
    </w:p>
    <w:p w14:paraId="0977C991" w14:textId="3A0BC1C0" w:rsidR="00793052" w:rsidRPr="00B6688A" w:rsidRDefault="00793052" w:rsidP="00793052">
      <w:pPr>
        <w:jc w:val="both"/>
        <w:rPr>
          <w:rFonts w:asciiTheme="majorHAnsi" w:hAnsiTheme="majorHAnsi" w:cstheme="majorHAnsi"/>
        </w:rPr>
      </w:pPr>
      <w:hyperlink r:id="rId54" w:history="1">
        <w:r w:rsidRPr="00B6688A">
          <w:rPr>
            <w:rStyle w:val="Hyperlink"/>
            <w:rFonts w:asciiTheme="majorHAnsi" w:hAnsiTheme="majorHAnsi" w:cstheme="majorHAnsi"/>
          </w:rPr>
          <w:t>Bulletin 2025-04</w:t>
        </w:r>
      </w:hyperlink>
      <w:r w:rsidRPr="00B6688A">
        <w:rPr>
          <w:rFonts w:asciiTheme="majorHAnsi" w:hAnsiTheme="majorHAnsi" w:cstheme="majorHAnsi"/>
        </w:rPr>
        <w:t xml:space="preserve"> provides advance notice of potential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storm-related insurance claims during the 2025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lastRenderedPageBreak/>
        <w:t>Ongoing Market Data Collection</w:t>
      </w:r>
    </w:p>
    <w:p w14:paraId="67775B0E" w14:textId="3E7067A8" w:rsidR="00793052" w:rsidRPr="00D91A0C" w:rsidRDefault="00793052" w:rsidP="0034471A">
      <w:pPr>
        <w:keepNext/>
        <w:keepLines/>
        <w:jc w:val="both"/>
        <w:rPr>
          <w:rFonts w:asciiTheme="majorHAnsi" w:hAnsiTheme="majorHAnsi" w:cstheme="majorHAnsi"/>
        </w:rPr>
      </w:pPr>
      <w:r w:rsidRPr="00D91A0C">
        <w:rPr>
          <w:rFonts w:asciiTheme="majorHAnsi" w:hAnsiTheme="majorHAnsi" w:cstheme="majorHAnsi"/>
        </w:rPr>
        <w:t>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is currently collecting and reviewing homeowners</w:t>
      </w:r>
      <w:r w:rsidR="00F54434">
        <w:rPr>
          <w:rFonts w:asciiTheme="majorHAnsi" w:hAnsiTheme="majorHAnsi" w:cstheme="majorHAnsi"/>
        </w:rPr>
        <w:t xml:space="preserve"> insurance</w:t>
      </w:r>
      <w:r w:rsidRPr="00D91A0C">
        <w:rPr>
          <w:rFonts w:asciiTheme="majorHAnsi" w:hAnsiTheme="majorHAnsi" w:cstheme="majorHAnsi"/>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00793052">
      <w:pPr>
        <w:jc w:val="both"/>
        <w:rPr>
          <w:rFonts w:asciiTheme="majorHAnsi" w:hAnsiTheme="majorHAnsi" w:cstheme="majorHAnsi"/>
        </w:rPr>
      </w:pPr>
      <w:r w:rsidRPr="00B6688A">
        <w:rPr>
          <w:rFonts w:asciiTheme="majorHAnsi" w:hAnsiTheme="majorHAnsi" w:cstheme="majorHAnsi"/>
        </w:rPr>
        <w:t>Act 62 of 2025 created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Registry as a voluntary system for submitting roof-related information. The registry allows submission of information </w:t>
      </w:r>
      <w:r w:rsidR="00F54434">
        <w:rPr>
          <w:rFonts w:asciiTheme="majorHAnsi" w:hAnsiTheme="majorHAnsi" w:cstheme="majorHAnsi"/>
        </w:rPr>
        <w:t>on</w:t>
      </w:r>
      <w:r w:rsidRPr="00B6688A">
        <w:rPr>
          <w:rFonts w:asciiTheme="majorHAnsi" w:hAnsiTheme="majorHAnsi" w:cstheme="majorHAnsi"/>
        </w:rPr>
        <w:t xml:space="preserve"> roof installation, permitting, and construction characteristics, and is intended to demonstrate improvements </w:t>
      </w:r>
      <w:r w:rsidR="00181964">
        <w:rPr>
          <w:rFonts w:asciiTheme="majorHAnsi" w:hAnsiTheme="majorHAnsi" w:cstheme="majorHAnsi"/>
        </w:rPr>
        <w:t>in</w:t>
      </w:r>
      <w:r w:rsidR="00181964" w:rsidRPr="00B6688A">
        <w:rPr>
          <w:rFonts w:asciiTheme="majorHAnsi" w:hAnsiTheme="majorHAnsi" w:cstheme="majorHAnsi"/>
        </w:rPr>
        <w:t xml:space="preserve"> </w:t>
      </w:r>
      <w:r w:rsidRPr="00B6688A">
        <w:rPr>
          <w:rFonts w:asciiTheme="majorHAnsi" w:hAnsiTheme="majorHAnsi" w:cstheme="majorHAnsi"/>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00793052">
      <w:pPr>
        <w:jc w:val="both"/>
        <w:rPr>
          <w:rFonts w:asciiTheme="majorHAnsi" w:hAnsiTheme="majorHAnsi" w:cstheme="majorHAnsi"/>
        </w:rPr>
      </w:pPr>
      <w:r w:rsidRPr="00D91A0C">
        <w:rPr>
          <w:rFonts w:asciiTheme="majorHAnsi" w:hAnsiTheme="majorHAnsi" w:cstheme="majorHAnsi"/>
        </w:rPr>
        <w:t>Prior to hurricane</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"Hurricanes"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season, 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convenes in-person meetings with senior claims leadership from its largest insurers</w:t>
      </w:r>
      <w:r w:rsidR="00181964">
        <w:rPr>
          <w:rFonts w:asciiTheme="majorHAnsi" w:hAnsiTheme="majorHAnsi" w:cstheme="majorHAnsi"/>
        </w:rPr>
        <w:t xml:space="preserve"> and</w:t>
      </w:r>
      <w:r w:rsidRPr="00D91A0C">
        <w:rPr>
          <w:rFonts w:asciiTheme="majorHAnsi" w:hAnsiTheme="majorHAnsi" w:cstheme="majorHAnsi"/>
        </w:rPr>
        <w:t xml:space="preserve"> surplus lines</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"Surplus lines"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carriers to align expectations on claims readiness, deployment, and communication. These engagements also incorporate catastrophe modeling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"Catastrophe modeling"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00793052">
      <w:pPr>
        <w:jc w:val="both"/>
        <w:rPr>
          <w:rFonts w:asciiTheme="majorHAnsi" w:hAnsiTheme="majorHAnsi" w:cstheme="majorHAnsi"/>
        </w:rPr>
      </w:pPr>
      <w:r>
        <w:rPr>
          <w:rFonts w:asciiTheme="majorHAnsi" w:hAnsiTheme="majorHAnsi" w:cstheme="majorHAnsi"/>
        </w:rPr>
        <w:t>The DOI</w:t>
      </w:r>
      <w:r w:rsidRPr="00D91A0C">
        <w:rPr>
          <w:rFonts w:asciiTheme="majorHAnsi" w:hAnsiTheme="majorHAnsi" w:cstheme="majorHAnsi"/>
        </w:rPr>
        <w:t xml:space="preserve"> </w:t>
      </w:r>
      <w:r w:rsidR="00793052" w:rsidRPr="00D91A0C">
        <w:rPr>
          <w:rFonts w:asciiTheme="majorHAnsi" w:hAnsiTheme="majorHAnsi" w:cstheme="majorHAnsi"/>
        </w:rPr>
        <w:t>prepares to activate an insurance response with claims representatives and coordinates with the NAIC for additional support. After events, 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00793052" w:rsidRPr="00D91A0C">
        <w:rPr>
          <w:rFonts w:asciiTheme="majorHAnsi" w:hAnsiTheme="majorHAnsi" w:cstheme="majorHAnsi"/>
        </w:rPr>
        <w:t xml:space="preserve"> provides on-site assistance at </w:t>
      </w:r>
      <w:r>
        <w:rPr>
          <w:rFonts w:asciiTheme="majorHAnsi" w:hAnsiTheme="majorHAnsi" w:cstheme="majorHAnsi"/>
        </w:rPr>
        <w:t>d</w:t>
      </w:r>
      <w:r w:rsidR="00793052" w:rsidRPr="00D91A0C">
        <w:rPr>
          <w:rFonts w:asciiTheme="majorHAnsi" w:hAnsiTheme="majorHAnsi" w:cstheme="majorHAnsi"/>
        </w:rPr>
        <w:t xml:space="preserve">isaster </w:t>
      </w:r>
      <w:r>
        <w:rPr>
          <w:rFonts w:asciiTheme="majorHAnsi" w:hAnsiTheme="majorHAnsi" w:cstheme="majorHAnsi"/>
        </w:rPr>
        <w:t>r</w:t>
      </w:r>
      <w:r w:rsidR="00793052" w:rsidRPr="00D91A0C">
        <w:rPr>
          <w:rFonts w:asciiTheme="majorHAnsi" w:hAnsiTheme="majorHAnsi" w:cstheme="majorHAnsi"/>
        </w:rPr>
        <w:t xml:space="preserve">ecovery </w:t>
      </w:r>
      <w:r>
        <w:rPr>
          <w:rFonts w:asciiTheme="majorHAnsi" w:hAnsiTheme="majorHAnsi" w:cstheme="majorHAnsi"/>
        </w:rPr>
        <w:t>c</w:t>
      </w:r>
      <w:r w:rsidR="00793052" w:rsidRPr="00D91A0C">
        <w:rPr>
          <w:rFonts w:asciiTheme="majorHAnsi" w:hAnsiTheme="majorHAnsi" w:cstheme="majorHAnsi"/>
        </w:rPr>
        <w:t>enters and direct consumer support.</w:t>
      </w:r>
    </w:p>
    <w:p w14:paraId="47A6ED5D" w14:textId="23D249AE"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also engages in outreach and coordination for other disasters, including severe storms and flooding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"Flood" </w:instrText>
      </w:r>
      <w:r w:rsidR="00870578" w:rsidRPr="00D91A0C">
        <w:rPr>
          <w:rFonts w:asciiTheme="majorHAnsi" w:hAnsiTheme="majorHAnsi" w:cstheme="majorHAnsi"/>
        </w:rPr>
        <w:fldChar w:fldCharType="end"/>
      </w:r>
      <w:r w:rsidRPr="00D91A0C">
        <w:rPr>
          <w:rFonts w:asciiTheme="majorHAnsi" w:hAnsiTheme="majorHAnsi" w:cstheme="majorHAnsi"/>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00793052">
      <w:pPr>
        <w:jc w:val="both"/>
        <w:rPr>
          <w:rFonts w:asciiTheme="majorHAnsi" w:hAnsiTheme="majorHAnsi" w:cstheme="majorHAnsi"/>
          <w:b/>
          <w:bCs/>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with updates reviewed and recommended by the Louisiana State Uniform Construction Code Council (LSUCCC). Louisiana’s building codes are among the strongest in the nation, with a continued focus on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structural performance. Recent roof-specific updates have strengthened roof performance in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5"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w:t>
      </w:r>
      <w:r w:rsidRPr="00B6688A">
        <w:rPr>
          <w:rFonts w:asciiTheme="majorHAnsi" w:hAnsiTheme="majorHAnsi" w:cstheme="majorHAnsi"/>
        </w:rPr>
        <w:lastRenderedPageBreak/>
        <w:t>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are also required to offer a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endorsement, which requires insure</w:t>
      </w:r>
      <w:r w:rsidR="00C2570A">
        <w:rPr>
          <w:rFonts w:asciiTheme="majorHAnsi" w:hAnsiTheme="majorHAnsi" w:cstheme="majorHAnsi"/>
        </w:rPr>
        <w:t>d</w:t>
      </w:r>
      <w:r w:rsidRPr="00B6688A">
        <w:rPr>
          <w:rFonts w:asciiTheme="majorHAnsi" w:hAnsiTheme="majorHAnsi" w:cstheme="majorHAnsi"/>
        </w:rPr>
        <w:t xml:space="preserve">s to upgrade to a FORTIFIED roof following a covered loss </w:t>
      </w:r>
      <w:r w:rsidR="00C2570A">
        <w:rPr>
          <w:rFonts w:asciiTheme="majorHAnsi" w:hAnsiTheme="majorHAnsi" w:cstheme="majorHAnsi"/>
        </w:rPr>
        <w:t>that requires</w:t>
      </w:r>
      <w:r w:rsidR="00C2570A" w:rsidRPr="00B6688A">
        <w:rPr>
          <w:rFonts w:asciiTheme="majorHAnsi" w:hAnsiTheme="majorHAnsi" w:cstheme="majorHAnsi"/>
        </w:rPr>
        <w:t xml:space="preserve"> </w:t>
      </w:r>
      <w:r w:rsidRPr="00B6688A">
        <w:rPr>
          <w:rFonts w:asciiTheme="majorHAnsi" w:hAnsiTheme="majorHAnsi" w:cstheme="majorHAnsi"/>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Act 69 of 2022 strengthened solvency requirements by increasing minimum capital and surplus standards for insurers writing homeowners </w:t>
      </w:r>
      <w:r w:rsidR="008E4AC5" w:rsidRPr="00E04661">
        <w:rPr>
          <w:rFonts w:asciiTheme="majorHAnsi" w:hAnsiTheme="majorHAnsi" w:cstheme="majorHAnsi"/>
        </w:rPr>
        <w:t xml:space="preserve">insurance </w:t>
      </w:r>
      <w:r w:rsidRPr="00E04661">
        <w:rPr>
          <w:rFonts w:asciiTheme="majorHAnsi" w:hAnsiTheme="majorHAnsi" w:cstheme="majorHAnsi"/>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statutory residual market through the Louisiana Citizens Property Insurance Corporation, which administers both </w:t>
      </w:r>
      <w:r w:rsidR="00443ADF">
        <w:rPr>
          <w:rFonts w:asciiTheme="majorHAnsi" w:hAnsiTheme="majorHAnsi" w:cstheme="majorHAnsi"/>
        </w:rPr>
        <w:t xml:space="preserve">its </w:t>
      </w:r>
      <w:r w:rsidR="00443ADF" w:rsidRPr="00443ADF">
        <w:rPr>
          <w:rFonts w:asciiTheme="majorHAnsi" w:hAnsiTheme="majorHAnsi" w:cstheme="majorHAnsi"/>
        </w:rPr>
        <w:t>Fair Access to Insurance Requirements</w:t>
      </w:r>
      <w:r w:rsidR="00443ADF">
        <w:rPr>
          <w:rFonts w:asciiTheme="majorHAnsi" w:hAnsiTheme="majorHAnsi" w:cstheme="majorHAnsi"/>
        </w:rPr>
        <w:t xml:space="preserve"> (FAIR) </w:t>
      </w:r>
      <w:r w:rsidRPr="00B6688A">
        <w:rPr>
          <w:rFonts w:asciiTheme="majorHAnsi" w:hAnsiTheme="majorHAnsi" w:cstheme="majorHAnsi"/>
        </w:rPr>
        <w:t xml:space="preserve">and Coastal </w:t>
      </w:r>
      <w:r w:rsidR="00443ADF">
        <w:rPr>
          <w:rFonts w:asciiTheme="majorHAnsi" w:hAnsiTheme="majorHAnsi" w:cstheme="majorHAnsi"/>
        </w:rPr>
        <w:t>P</w:t>
      </w:r>
      <w:r w:rsidRPr="00B6688A">
        <w:rPr>
          <w:rFonts w:asciiTheme="majorHAnsi" w:hAnsiTheme="majorHAnsi" w:cstheme="majorHAnsi"/>
        </w:rPr>
        <w:t>lan</w:t>
      </w:r>
      <w:r w:rsidR="00443ADF">
        <w:rPr>
          <w:rFonts w:asciiTheme="majorHAnsi" w:hAnsiTheme="majorHAnsi" w:cstheme="majorHAnsi"/>
        </w:rPr>
        <w:t>s</w:t>
      </w:r>
      <w:r w:rsidRPr="00B6688A">
        <w:rPr>
          <w:rFonts w:asciiTheme="majorHAnsi" w:hAnsiTheme="majorHAnsi" w:cstheme="majorHAnsi"/>
        </w:rPr>
        <w:t xml:space="preserve"> as insurers of last resort</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"Insurers of last resort" </w:instrText>
      </w:r>
      <w:r w:rsidR="00870578" w:rsidRPr="00B6688A">
        <w:rPr>
          <w:rFonts w:asciiTheme="majorHAnsi" w:hAnsiTheme="majorHAnsi" w:cstheme="majorHAnsi"/>
        </w:rPr>
        <w:fldChar w:fldCharType="end"/>
      </w:r>
      <w:r w:rsidRPr="00B6688A">
        <w:rPr>
          <w:rFonts w:asciiTheme="majorHAnsi" w:hAnsiTheme="majorHAnsi" w:cstheme="majorHAnsi"/>
        </w:rPr>
        <w:t>. Participation in these plans is required for all insurers writing property insurance in the state as a condition of doing business.</w:t>
      </w:r>
    </w:p>
    <w:p w14:paraId="1D76E0BE" w14:textId="24F571EC" w:rsidR="00793052" w:rsidRPr="00B6688A" w:rsidRDefault="00793052" w:rsidP="00793052">
      <w:pPr>
        <w:spacing w:after="0"/>
        <w:jc w:val="both"/>
        <w:rPr>
          <w:rFonts w:asciiTheme="majorHAnsi" w:hAnsiTheme="majorHAnsi" w:cstheme="majorHAnsi"/>
          <w:b/>
          <w:bCs/>
        </w:rPr>
      </w:pPr>
      <w:r w:rsidRPr="00B6688A">
        <w:rPr>
          <w:rFonts w:asciiTheme="majorHAnsi" w:hAnsiTheme="majorHAnsi" w:cstheme="majorHAnsi"/>
        </w:rPr>
        <w:lastRenderedPageBreak/>
        <w:t>While prior post-</w:t>
      </w:r>
      <w:r w:rsidR="008E4AC5">
        <w:rPr>
          <w:rFonts w:asciiTheme="majorHAnsi" w:hAnsiTheme="majorHAnsi" w:cstheme="majorHAnsi"/>
        </w:rPr>
        <w:t xml:space="preserve">Hurricane </w:t>
      </w:r>
      <w:r w:rsidRPr="00B6688A">
        <w:rPr>
          <w:rFonts w:asciiTheme="majorHAnsi" w:hAnsiTheme="majorHAnsi" w:cstheme="majorHAnsi"/>
        </w:rPr>
        <w:t>Katrina emergency assessments have expired,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56"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57" w:history="1">
        <w:r w:rsidR="00793052" w:rsidRPr="003B4A29">
          <w:rPr>
            <w:rStyle w:val="Hyperlink"/>
            <w:rFonts w:asciiTheme="majorHAnsi" w:hAnsiTheme="majorHAnsi" w:cstheme="majorHAnsi"/>
          </w:rPr>
          <w:t>LDIConnect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conducts in-person outreach through insurance pop-up offices and field deployments in impacted areas following storms. These efforts bring </w:t>
      </w:r>
      <w:r w:rsidRPr="00B6688A">
        <w:rPr>
          <w:rFonts w:asciiTheme="majorHAnsi" w:hAnsiTheme="majorHAnsi" w:cstheme="majorHAnsi"/>
        </w:rPr>
        <w:t>D</w:t>
      </w:r>
      <w:r>
        <w:rPr>
          <w:rFonts w:asciiTheme="majorHAnsi" w:hAnsiTheme="majorHAnsi" w:cstheme="majorHAnsi"/>
        </w:rPr>
        <w:t>OI</w:t>
      </w:r>
      <w:r w:rsidRPr="00B6688A">
        <w:rPr>
          <w:rFonts w:asciiTheme="majorHAnsi" w:hAnsiTheme="majorHAnsi" w:cstheme="majorHAnsi"/>
        </w:rPr>
        <w:t xml:space="preserve"> </w:t>
      </w:r>
      <w:r w:rsidR="00793052" w:rsidRPr="00B6688A">
        <w:rPr>
          <w:rFonts w:asciiTheme="majorHAnsi" w:hAnsiTheme="majorHAnsi" w:cstheme="majorHAnsi"/>
        </w:rPr>
        <w:t xml:space="preserve">staff directly into communities to assist residents with insurance questions and </w:t>
      </w:r>
      <w:r>
        <w:rPr>
          <w:rFonts w:asciiTheme="majorHAnsi" w:hAnsiTheme="majorHAnsi" w:cstheme="majorHAnsi"/>
        </w:rPr>
        <w:t xml:space="preserve">to help them </w:t>
      </w:r>
      <w:r w:rsidR="00793052" w:rsidRPr="00B6688A">
        <w:rPr>
          <w:rFonts w:asciiTheme="majorHAnsi" w:hAnsiTheme="majorHAnsi" w:cstheme="majorHAnsi"/>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participates in the NAIC Homeowners Market Data Call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Market Data Call"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support analysis of homeowners</w:t>
      </w:r>
      <w:r w:rsidR="008E4AC5">
        <w:rPr>
          <w:rFonts w:asciiTheme="majorHAnsi" w:hAnsiTheme="majorHAnsi" w:cstheme="majorHAnsi"/>
        </w:rPr>
        <w:t xml:space="preserve"> insurance</w:t>
      </w:r>
      <w:r w:rsidRPr="00B6688A">
        <w:rPr>
          <w:rFonts w:asciiTheme="majorHAnsi" w:hAnsiTheme="majorHAnsi" w:cstheme="majorHAnsi"/>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00793052">
      <w:pPr>
        <w:jc w:val="both"/>
        <w:rPr>
          <w:rFonts w:asciiTheme="majorHAnsi" w:hAnsiTheme="majorHAnsi" w:cstheme="majorHAnsi"/>
        </w:rPr>
      </w:pPr>
      <w:r>
        <w:rPr>
          <w:rFonts w:asciiTheme="majorHAnsi" w:hAnsiTheme="majorHAnsi" w:cstheme="majorHAnsi"/>
        </w:rPr>
        <w:t>The DOI w</w:t>
      </w:r>
      <w:r w:rsidR="00793052" w:rsidRPr="00B6688A">
        <w:rPr>
          <w:rFonts w:asciiTheme="majorHAnsi" w:hAnsiTheme="majorHAnsi" w:cstheme="majorHAnsi"/>
        </w:rPr>
        <w:t>ork</w:t>
      </w:r>
      <w:r>
        <w:rPr>
          <w:rFonts w:asciiTheme="majorHAnsi" w:hAnsiTheme="majorHAnsi" w:cstheme="majorHAnsi"/>
        </w:rPr>
        <w:t>s</w:t>
      </w:r>
      <w:r w:rsidR="00793052" w:rsidRPr="00B6688A">
        <w:rPr>
          <w:rFonts w:asciiTheme="majorHAnsi" w:hAnsiTheme="majorHAnsi" w:cstheme="majorHAnsi"/>
        </w:rPr>
        <w:t xml:space="preserve"> in coordination with federal, state, and local agencies to communicate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’s progress on coastal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to insurers and reinsurers. These partnerships also focus on identifying and advancing opportunities for dual-peril mitigation projects that address both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flood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"Flood"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lastRenderedPageBreak/>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LSUCCC and Contractors Board supports stronger building standards and improved roofing contractor licensing requirements, including a shift toward licensed roofing contractors rather than general home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97" w:name="_Toc236057877"/>
      <w:r w:rsidRPr="00B6688A">
        <w:rPr>
          <w:rFonts w:asciiTheme="majorHAnsi" w:hAnsiTheme="majorHAnsi" w:cstheme="majorHAnsi"/>
        </w:rPr>
        <w:t>Mississippi</w:t>
      </w:r>
      <w:bookmarkEnd w:id="9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Additionally, the department encourages homeowners to maintain updated home inventories to mitigate post-event losses. The </w:t>
      </w:r>
      <w:hyperlink r:id="rId58">
        <w:r w:rsidR="00FB1243" w:rsidRPr="00B6688A">
          <w:rPr>
            <w:rFonts w:asciiTheme="majorHAnsi" w:eastAsia="Calibri" w:hAnsiTheme="majorHAnsi" w:cstheme="majorHAnsi"/>
            <w:color w:val="0000FF"/>
            <w:u w:val="single"/>
          </w:rPr>
          <w:t>Strengthen Mississippi</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Homes</w:t>
        </w:r>
      </w:hyperlink>
      <w:r w:rsidRPr="00B6688A">
        <w:rPr>
          <w:rFonts w:asciiTheme="majorHAnsi" w:eastAsia="Calibri" w:hAnsiTheme="majorHAnsi" w:cstheme="majorHAnsi"/>
        </w:rPr>
        <w:t xml:space="preserve"> and</w:t>
      </w:r>
      <w:r w:rsidR="00480004">
        <w:rPr>
          <w:rFonts w:asciiTheme="majorHAnsi" w:eastAsia="Calibri" w:hAnsiTheme="majorHAnsi" w:cstheme="majorHAnsi"/>
        </w:rPr>
        <w:t xml:space="preserve"> the</w:t>
      </w:r>
      <w:r w:rsidRPr="00B6688A">
        <w:rPr>
          <w:rFonts w:asciiTheme="majorHAnsi" w:eastAsia="Calibri" w:hAnsiTheme="majorHAnsi" w:cstheme="majorHAnsi"/>
        </w:rPr>
        <w:t xml:space="preserve"> </w:t>
      </w:r>
      <w:hyperlink r:id="rId59">
        <w:r w:rsidR="00FB1243" w:rsidRPr="00B6688A">
          <w:rPr>
            <w:rFonts w:asciiTheme="majorHAnsi" w:eastAsia="Calibri" w:hAnsiTheme="majorHAnsi" w:cstheme="majorHAnsi"/>
            <w:color w:val="0000FF"/>
            <w:u w:val="single"/>
          </w:rPr>
          <w:t>M</w:t>
        </w:r>
        <w:r w:rsidR="00480004">
          <w:rPr>
            <w:rFonts w:asciiTheme="majorHAnsi" w:eastAsia="Calibri" w:hAnsiTheme="majorHAnsi" w:cstheme="majorHAnsi"/>
            <w:color w:val="0000FF"/>
            <w:u w:val="single"/>
          </w:rPr>
          <w:t>ississippi Emergency Management Agency (M</w:t>
        </w:r>
        <w:r w:rsidR="00FB1243" w:rsidRPr="00B6688A">
          <w:rPr>
            <w:rFonts w:asciiTheme="majorHAnsi" w:eastAsia="Calibri" w:hAnsiTheme="majorHAnsi" w:cstheme="majorHAnsi"/>
            <w:color w:val="0000FF"/>
            <w:u w:val="single"/>
          </w:rPr>
          <w:t>EMA</w:t>
        </w:r>
        <w:r w:rsidR="00480004">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 xml:space="preserve"> Safe Room Grant</w:t>
        </w:r>
      </w:hyperlink>
      <w:r w:rsidRPr="00B6688A">
        <w:rPr>
          <w:rFonts w:asciiTheme="majorHAnsi" w:eastAsia="Calibri" w:hAnsiTheme="majorHAnsi" w:cstheme="majorHAnsi"/>
        </w:rPr>
        <w:t xml:space="preserve"> programs offer financial assistance for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tornado preparedness. </w:t>
      </w:r>
      <w:r w:rsidR="008E4AC5">
        <w:rPr>
          <w:rFonts w:asciiTheme="majorHAnsi" w:eastAsia="Calibri" w:hAnsiTheme="majorHAnsi" w:cstheme="majorHAnsi"/>
        </w:rPr>
        <w:t xml:space="preserve">The </w:t>
      </w:r>
      <w:r w:rsidRPr="00B6688A">
        <w:rPr>
          <w:rFonts w:asciiTheme="majorHAnsi" w:eastAsia="Calibri" w:hAnsiTheme="majorHAnsi" w:cstheme="majorHAnsi"/>
        </w:rPr>
        <w:t>MID prioritizes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press releases and social media</w:t>
      </w:r>
      <w:r w:rsidR="008E4AC5">
        <w:rPr>
          <w:rFonts w:asciiTheme="majorHAnsi" w:eastAsia="Calibri" w:hAnsiTheme="majorHAnsi" w:cstheme="majorHAnsi"/>
        </w:rPr>
        <w:t xml:space="preserve"> to promote</w:t>
      </w:r>
      <w:r w:rsidRPr="00B6688A">
        <w:rPr>
          <w:rFonts w:asciiTheme="majorHAnsi" w:eastAsia="Calibri" w:hAnsiTheme="majorHAnsi" w:cstheme="majorHAnsi"/>
        </w:rPr>
        <w:t xml:space="preserve"> severe weather preparedness. Partnerships with MEMA, </w:t>
      </w:r>
      <w:r w:rsidR="00743ACE">
        <w:rPr>
          <w:rFonts w:asciiTheme="majorHAnsi" w:eastAsia="Calibri" w:hAnsiTheme="majorHAnsi" w:cstheme="majorHAnsi"/>
        </w:rPr>
        <w:t xml:space="preserve">the </w:t>
      </w:r>
      <w:r w:rsidRPr="00B6688A">
        <w:rPr>
          <w:rFonts w:asciiTheme="majorHAnsi" w:eastAsia="Calibri" w:hAnsiTheme="majorHAnsi" w:cstheme="majorHAnsi"/>
        </w:rPr>
        <w:t>Federal Emergency Management Agency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(FEMA), and Smart Home America enhance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 2024 Extreme Wind Conference and the 2025 Disaster Leadership Conference underscored the importance of effective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the role of technology in recovery.</w:t>
      </w:r>
      <w:r w:rsidR="00F20372">
        <w:rPr>
          <w:rFonts w:asciiTheme="majorHAnsi" w:eastAsia="Calibri" w:hAnsiTheme="majorHAnsi" w:cstheme="majorHAnsi"/>
        </w:rPr>
        <w:t xml:space="preserve"> </w:t>
      </w:r>
      <w:r w:rsidRPr="00B6688A">
        <w:rPr>
          <w:rFonts w:asciiTheme="majorHAnsi" w:eastAsia="Calibri" w:hAnsiTheme="majorHAnsi" w:cstheme="majorHAnsi"/>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0">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1"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2"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3"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4"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t xml:space="preserve">The </w:t>
      </w:r>
      <w:hyperlink r:id="rId65"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00E04661">
      <w:pPr>
        <w:numPr>
          <w:ilvl w:val="0"/>
          <w:numId w:val="1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b/>
          <w:bCs/>
          <w:color w:val="000000"/>
        </w:rPr>
        <w:lastRenderedPageBreak/>
        <w:t>FORTIFIED </w:t>
      </w:r>
      <w:r w:rsidR="002807E0">
        <w:rPr>
          <w:rFonts w:asciiTheme="majorHAnsi" w:eastAsia="Calibri" w:hAnsiTheme="majorHAnsi" w:cstheme="majorHAnsi"/>
          <w:b/>
          <w:bCs/>
          <w:color w:val="000000"/>
        </w:rPr>
        <w:t>r</w:t>
      </w:r>
      <w:r w:rsidRPr="00B6688A">
        <w:rPr>
          <w:rFonts w:asciiTheme="majorHAnsi" w:eastAsia="Calibri" w:hAnsiTheme="majorHAnsi" w:cstheme="majorHAnsi"/>
          <w:b/>
          <w:bCs/>
          <w:color w:val="000000"/>
        </w:rPr>
        <w:t>oof</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and </w:t>
      </w:r>
      <w:r w:rsidR="002807E0">
        <w:rPr>
          <w:rFonts w:asciiTheme="majorHAnsi" w:eastAsia="Calibri" w:hAnsiTheme="majorHAnsi" w:cstheme="majorHAnsi"/>
          <w:b/>
          <w:bCs/>
          <w:color w:val="000000"/>
        </w:rPr>
        <w:t>h</w:t>
      </w:r>
      <w:r w:rsidRPr="00B6688A">
        <w:rPr>
          <w:rFonts w:asciiTheme="majorHAnsi" w:eastAsia="Calibri" w:hAnsiTheme="majorHAnsi" w:cstheme="majorHAnsi"/>
          <w:b/>
          <w:bCs/>
          <w:color w:val="000000"/>
        </w:rPr>
        <w:t>ome discounts</w:t>
      </w:r>
      <w:r w:rsidRPr="00B6688A">
        <w:rPr>
          <w:rFonts w:asciiTheme="majorHAnsi" w:eastAsia="Calibri" w:hAnsiTheme="majorHAnsi" w:cstheme="majorHAnsi"/>
          <w:color w:val="000000"/>
        </w:rPr>
        <w:t xml:space="preserve"> of 12</w:t>
      </w:r>
      <w:r w:rsidR="00D649DF">
        <w:rPr>
          <w:rFonts w:asciiTheme="majorHAnsi" w:eastAsia="Calibri" w:hAnsiTheme="majorHAnsi" w:cstheme="majorHAnsi"/>
          <w:color w:val="000000"/>
        </w:rPr>
        <w:t>%</w:t>
      </w:r>
      <w:r w:rsidR="003C4572" w:rsidRPr="003C4572">
        <w:rPr>
          <w:rFonts w:asciiTheme="majorHAnsi" w:eastAsia="Calibri" w:hAnsiTheme="majorHAnsi" w:cstheme="majorHAnsi"/>
          <w:color w:val="000000"/>
        </w:rPr>
        <w:t>–</w:t>
      </w:r>
      <w:r w:rsidRPr="00B6688A">
        <w:rPr>
          <w:rFonts w:asciiTheme="majorHAnsi" w:eastAsia="Calibri" w:hAnsiTheme="majorHAnsi" w:cstheme="majorHAnsi"/>
          <w:color w:val="000000"/>
        </w:rPr>
        <w:t>55% off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insurance premium for installing a FORTIFIED </w:t>
      </w:r>
      <w:r w:rsidR="002807E0">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oof or building a FORTIFIED </w:t>
      </w:r>
      <w:r w:rsidR="002807E0">
        <w:rPr>
          <w:rFonts w:asciiTheme="majorHAnsi" w:eastAsia="Calibri" w:hAnsiTheme="majorHAnsi" w:cstheme="majorHAnsi"/>
          <w:color w:val="000000"/>
        </w:rPr>
        <w:t>h</w:t>
      </w:r>
      <w:r w:rsidRPr="00B6688A">
        <w:rPr>
          <w:rFonts w:asciiTheme="majorHAnsi" w:eastAsia="Calibri" w:hAnsiTheme="majorHAnsi" w:cstheme="majorHAnsi"/>
          <w:color w:val="000000"/>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66">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67">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adequate market for residential coverage insurance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order to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equitable method whereby every licensed insurer writing fire and extended coverage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Implementing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in new residential, commercial, and multifamily construction enhances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severe weather events.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found that targeting new construction is a key component of successful 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Updated standards, </w:t>
      </w:r>
      <w:r w:rsidR="00942E64" w:rsidRPr="00B6688A">
        <w:rPr>
          <w:rFonts w:asciiTheme="majorHAnsi" w:eastAsia="Calibri" w:hAnsiTheme="majorHAnsi" w:cstheme="majorHAnsi"/>
        </w:rPr>
        <w:t xml:space="preserve">such as the 2025 FORTIFIED </w:t>
      </w:r>
      <w:r w:rsidR="009F7243">
        <w:rPr>
          <w:rFonts w:asciiTheme="majorHAnsi" w:eastAsia="Calibri" w:hAnsiTheme="majorHAnsi" w:cstheme="majorHAnsi"/>
        </w:rPr>
        <w:t>h</w:t>
      </w:r>
      <w:r w:rsidR="00942E64"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42E64" w:rsidRPr="00B6688A">
        <w:rPr>
          <w:rFonts w:asciiTheme="majorHAnsi" w:eastAsia="Calibri" w:hAnsiTheme="majorHAnsi" w:cstheme="majorHAnsi"/>
        </w:rPr>
        <w:t xml:space="preserve">, FORTIFIED </w:t>
      </w:r>
      <w:r w:rsidR="009F7243">
        <w:rPr>
          <w:rFonts w:asciiTheme="majorHAnsi" w:eastAsia="Calibri" w:hAnsiTheme="majorHAnsi" w:cstheme="majorHAnsi"/>
        </w:rPr>
        <w:t>c</w:t>
      </w:r>
      <w:r w:rsidR="00942E64" w:rsidRPr="00B6688A">
        <w:rPr>
          <w:rFonts w:asciiTheme="majorHAnsi" w:eastAsia="Calibri" w:hAnsiTheme="majorHAnsi" w:cstheme="majorHAnsi"/>
        </w:rPr>
        <w:t xml:space="preserve">ommercial, and FORTIFIED </w:t>
      </w:r>
      <w:r w:rsidR="009F7243">
        <w:rPr>
          <w:rFonts w:asciiTheme="majorHAnsi" w:eastAsia="Calibri" w:hAnsiTheme="majorHAnsi" w:cstheme="majorHAnsi"/>
        </w:rPr>
        <w:t>m</w:t>
      </w:r>
      <w:r w:rsidR="00942E64" w:rsidRPr="00B6688A">
        <w:rPr>
          <w:rFonts w:asciiTheme="majorHAnsi" w:eastAsia="Calibri" w:hAnsiTheme="majorHAnsi" w:cstheme="majorHAnsi"/>
        </w:rPr>
        <w:t>ultifamily, enhance key building components by implementing measures such as more stringent roof-deck nailing patterns and testing of</w:t>
      </w:r>
      <w:r w:rsidRPr="00B6688A">
        <w:rPr>
          <w:rFonts w:asciiTheme="majorHAnsi" w:eastAsia="Calibri" w:hAnsiTheme="majorHAnsi" w:cstheme="majorHAnsi"/>
        </w:rPr>
        <w:t xml:space="preserve"> roof-mounted vents to prevent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-driven rain intrusion. These standards have demonstrated effectiveness in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-prone areas and are now applicable to inland regions. A transition period allows contractors and evaluators to prepare for compliance by </w:t>
      </w:r>
      <w:r w:rsidR="00B5062B" w:rsidRPr="00B6688A">
        <w:rPr>
          <w:rFonts w:asciiTheme="majorHAnsi" w:eastAsia="Calibri" w:hAnsiTheme="majorHAnsi" w:cstheme="majorHAnsi"/>
        </w:rPr>
        <w:t>Nov</w:t>
      </w:r>
      <w:r w:rsidR="00B5062B">
        <w:rPr>
          <w:rFonts w:asciiTheme="majorHAnsi" w:eastAsia="Calibri" w:hAnsiTheme="majorHAnsi" w:cstheme="majorHAnsi"/>
        </w:rPr>
        <w:t>.</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1, 2025.</w:t>
      </w:r>
    </w:p>
    <w:p w14:paraId="47ED4BCC" w14:textId="1D172A67" w:rsidR="00FB1243" w:rsidRPr="00B6688A" w:rsidRDefault="007413BF">
      <w:pPr>
        <w:spacing w:after="0"/>
        <w:jc w:val="both"/>
        <w:rPr>
          <w:rFonts w:asciiTheme="majorHAnsi" w:eastAsia="Calibri" w:hAnsiTheme="majorHAnsi" w:cstheme="majorHAnsi"/>
        </w:rPr>
      </w:pPr>
      <w:r w:rsidRPr="0033743F">
        <w:rPr>
          <w:rFonts w:asciiTheme="majorHAnsi" w:eastAsia="Calibri" w:hAnsiTheme="majorHAnsi" w:cstheme="majorHAnsi"/>
        </w:rPr>
        <w:t>Through proactive building code</w:t>
      </w:r>
      <w:r w:rsidR="00870578" w:rsidRPr="0033743F">
        <w:rPr>
          <w:rFonts w:asciiTheme="majorHAnsi" w:eastAsia="Calibri" w:hAnsiTheme="majorHAnsi" w:cstheme="majorHAnsi"/>
        </w:rPr>
        <w:fldChar w:fldCharType="begin"/>
      </w:r>
      <w:r w:rsidR="00870578" w:rsidRPr="0033743F">
        <w:rPr>
          <w:rFonts w:asciiTheme="majorHAnsi" w:eastAsia="Calibri" w:hAnsiTheme="majorHAnsi" w:cstheme="majorHAnsi"/>
        </w:rPr>
        <w:instrText xml:space="preserve"> XE "</w:instrText>
      </w:r>
      <w:r w:rsidR="00870578" w:rsidRPr="00B5062B">
        <w:rPr>
          <w:rFonts w:asciiTheme="majorHAnsi" w:hAnsiTheme="majorHAnsi" w:cstheme="majorHAnsi"/>
        </w:rPr>
        <w:instrText>Building codes"</w:instrText>
      </w:r>
      <w:r w:rsidR="00870578" w:rsidRPr="0033743F">
        <w:rPr>
          <w:rFonts w:asciiTheme="majorHAnsi" w:eastAsia="Calibri" w:hAnsiTheme="majorHAnsi" w:cstheme="majorHAnsi"/>
        </w:rPr>
        <w:instrText xml:space="preserve"> </w:instrText>
      </w:r>
      <w:r w:rsidR="00870578" w:rsidRPr="0033743F">
        <w:rPr>
          <w:rFonts w:asciiTheme="majorHAnsi" w:eastAsia="Calibri" w:hAnsiTheme="majorHAnsi" w:cstheme="majorHAnsi"/>
        </w:rPr>
        <w:fldChar w:fldCharType="end"/>
      </w:r>
      <w:r w:rsidRPr="0033743F">
        <w:rPr>
          <w:rFonts w:asciiTheme="majorHAnsi" w:eastAsia="Calibri" w:hAnsiTheme="majorHAnsi" w:cstheme="majorHAnsi"/>
        </w:rPr>
        <w:t xml:space="preserve"> conversations, the MID </w:t>
      </w:r>
      <w:r w:rsidRPr="00B6688A">
        <w:rPr>
          <w:rFonts w:asciiTheme="majorHAnsi" w:eastAsia="Calibri" w:hAnsiTheme="majorHAnsi" w:cstheme="majorHAnsi"/>
        </w:rPr>
        <w:t>informs on the importance of strengthening building codes to mitigate risks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68">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69">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w:t>
      </w:r>
      <w:r w:rsidRPr="00B6688A">
        <w:rPr>
          <w:rFonts w:asciiTheme="majorHAnsi" w:eastAsia="Calibri" w:hAnsiTheme="majorHAnsi" w:cstheme="majorHAnsi"/>
        </w:rPr>
        <w:lastRenderedPageBreak/>
        <w:t xml:space="preserve">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0"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MID supports other states and rural insurers in urging </w:t>
      </w:r>
      <w:r w:rsidR="00037C41">
        <w:rPr>
          <w:rFonts w:asciiTheme="majorHAnsi" w:eastAsia="Calibri" w:hAnsiTheme="majorHAnsi" w:cstheme="majorHAnsi"/>
        </w:rPr>
        <w:t xml:space="preserve">the </w:t>
      </w:r>
      <w:r w:rsidR="00037C41" w:rsidRPr="00037C41">
        <w:rPr>
          <w:rFonts w:asciiTheme="majorHAnsi" w:eastAsia="Calibri" w:hAnsiTheme="majorHAnsi" w:cstheme="majorHAnsi"/>
        </w:rPr>
        <w:t>Federal Housing Finance Agency</w:t>
      </w:r>
      <w:r w:rsidR="00037C41">
        <w:rPr>
          <w:rFonts w:asciiTheme="majorHAnsi" w:eastAsia="Calibri" w:hAnsiTheme="majorHAnsi" w:cstheme="majorHAnsi"/>
        </w:rPr>
        <w:t xml:space="preserve"> (</w:t>
      </w:r>
      <w:r w:rsidR="007413BF" w:rsidRPr="00B6688A">
        <w:rPr>
          <w:rFonts w:asciiTheme="majorHAnsi" w:eastAsia="Calibri" w:hAnsiTheme="majorHAnsi" w:cstheme="majorHAnsi"/>
        </w:rPr>
        <w:t>FHFA</w:t>
      </w:r>
      <w:r w:rsidR="00037C41">
        <w:rPr>
          <w:rFonts w:asciiTheme="majorHAnsi" w:eastAsia="Calibri" w:hAnsiTheme="majorHAnsi" w:cstheme="majorHAnsi"/>
        </w:rPr>
        <w:t>)</w:t>
      </w:r>
      <w:r w:rsidR="007413BF" w:rsidRPr="00B6688A">
        <w:rPr>
          <w:rFonts w:asciiTheme="majorHAnsi" w:eastAsia="Calibri" w:hAnsiTheme="majorHAnsi" w:cstheme="majorHAnsi"/>
        </w:rPr>
        <w:t xml:space="preserve"> to eliminate the requirement that all federally backed mortgages have </w:t>
      </w:r>
      <w:r w:rsidR="00037C41">
        <w:rPr>
          <w:rFonts w:asciiTheme="majorHAnsi" w:eastAsia="Calibri" w:hAnsiTheme="majorHAnsi" w:cstheme="majorHAnsi"/>
        </w:rPr>
        <w:t>replacement cost value (</w:t>
      </w:r>
      <w:r w:rsidR="007413BF" w:rsidRPr="00B6688A">
        <w:rPr>
          <w:rFonts w:asciiTheme="majorHAnsi" w:eastAsia="Calibri" w:hAnsiTheme="majorHAnsi" w:cstheme="majorHAnsi"/>
        </w:rPr>
        <w:t>RCV</w:t>
      </w:r>
      <w:r w:rsidR="00037C4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 xml:space="preserve">Partnerships </w:t>
      </w:r>
    </w:p>
    <w:p w14:paraId="47ED4BD7" w14:textId="32FBE96D" w:rsidR="00FB1243" w:rsidRPr="00B6688A" w:rsidRDefault="00FB1243">
      <w:pPr>
        <w:jc w:val="both"/>
        <w:rPr>
          <w:rFonts w:asciiTheme="majorHAnsi" w:eastAsia="Calibri" w:hAnsiTheme="majorHAnsi" w:cstheme="majorHAnsi"/>
        </w:rPr>
      </w:pPr>
      <w:hyperlink r:id="rId71">
        <w:r w:rsidRPr="00B6688A">
          <w:rPr>
            <w:rFonts w:asciiTheme="majorHAnsi" w:eastAsia="Calibri" w:hAnsiTheme="majorHAnsi" w:cstheme="majorHAnsi"/>
            <w:color w:val="467886"/>
            <w:u w:val="single"/>
          </w:rPr>
          <w:t>Windstorm Insurance Network</w:t>
        </w:r>
      </w:hyperlink>
      <w:r w:rsidRPr="00B6688A">
        <w:rPr>
          <w:rFonts w:asciiTheme="majorHAnsi" w:eastAsia="Calibri" w:hAnsiTheme="majorHAnsi" w:cstheme="majorHAnsi"/>
        </w:rPr>
        <w:t xml:space="preserve"> (WIND) is a member association that hosts an annual conference to bring together defense and policyholder professionals to engage on property/windstorm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claims issues, regional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98" w:name="_x35z37p2830h" w:colFirst="0" w:colLast="0"/>
      <w:bookmarkStart w:id="99" w:name="_Toc236057878"/>
      <w:bookmarkEnd w:id="98"/>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9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100" w:name="_54bxv1a4kcs1" w:colFirst="0" w:colLast="0"/>
      <w:bookmarkStart w:id="101" w:name="_Toc236057879"/>
      <w:bookmarkEnd w:id="100"/>
      <w:r w:rsidRPr="00B6688A">
        <w:rPr>
          <w:rFonts w:asciiTheme="majorHAnsi" w:hAnsiTheme="majorHAnsi" w:cstheme="majorHAnsi"/>
        </w:rPr>
        <w:t>Overview</w:t>
      </w:r>
      <w:bookmarkEnd w:id="101"/>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w:t>
      </w:r>
      <w:r w:rsidRPr="00B6688A">
        <w:rPr>
          <w:rFonts w:asciiTheme="majorHAnsi" w:hAnsiTheme="majorHAnsi" w:cstheme="majorHAnsi"/>
        </w:rPr>
        <w:lastRenderedPageBreak/>
        <w:t>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102" w:name="_5aopnp3kowez" w:colFirst="0" w:colLast="0"/>
      <w:bookmarkEnd w:id="102"/>
    </w:p>
    <w:p w14:paraId="72EAD6AF" w14:textId="77777777" w:rsidR="00FC02DC" w:rsidRPr="00B6688A" w:rsidRDefault="007413BF" w:rsidP="00673374">
      <w:pPr>
        <w:pStyle w:val="Heading3"/>
        <w:rPr>
          <w:rFonts w:asciiTheme="majorHAnsi" w:hAnsiTheme="majorHAnsi" w:cstheme="majorHAnsi"/>
        </w:rPr>
      </w:pPr>
      <w:bookmarkStart w:id="103" w:name="_Toc236057880"/>
      <w:r w:rsidRPr="00B6688A">
        <w:rPr>
          <w:rFonts w:asciiTheme="majorHAnsi" w:hAnsiTheme="majorHAnsi" w:cstheme="majorHAnsi"/>
        </w:rPr>
        <w:t>Alabama</w:t>
      </w:r>
      <w:bookmarkEnd w:id="10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04" w:name="_6u0xo4iu8ktw" w:colFirst="0" w:colLast="0"/>
      <w:bookmarkEnd w:id="104"/>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00FC02DC">
      <w:pPr>
        <w:jc w:val="both"/>
        <w:rPr>
          <w:rFonts w:asciiTheme="majorHAnsi" w:hAnsiTheme="majorHAnsi" w:cstheme="majorHAnsi"/>
          <w:i/>
          <w:iCs/>
          <w:color w:val="000000"/>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faces significant challenges from severe convective storms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tornadoes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hail</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Market stability"</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build resilience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against harsh weather. Using all available means, Alabama endeavors to provide its residents with the most affordable homeowners insurance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105" w:name="_v79koch641a0" w:colFirst="0" w:colLast="0"/>
      <w:bookmarkEnd w:id="105"/>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2">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Hurricane Sally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832951">
        <w:rPr>
          <w:rFonts w:asciiTheme="majorHAnsi" w:eastAsia="Calibri" w:hAnsiTheme="majorHAnsi" w:cstheme="majorHAnsi"/>
          <w:color w:val="000000"/>
        </w:rPr>
        <w:t>s</w:t>
      </w:r>
      <w:r w:rsidRPr="00B6688A">
        <w:rPr>
          <w:rFonts w:asciiTheme="majorHAnsi" w:eastAsia="Calibri" w:hAnsiTheme="majorHAnsi" w:cstheme="majorHAnsi"/>
          <w:color w:val="000000"/>
        </w:rPr>
        <w:t>tudy</w:t>
      </w:r>
      <w:r w:rsidR="00832951">
        <w:rPr>
          <w:rFonts w:asciiTheme="majorHAnsi" w:eastAsia="Calibri" w:hAnsiTheme="majorHAnsi" w:cstheme="majorHAnsi"/>
          <w:color w:val="000000"/>
        </w:rPr>
        <w:t xml:space="preserve"> v</w:t>
      </w:r>
      <w:r w:rsidRPr="00B6688A">
        <w:rPr>
          <w:rFonts w:asciiTheme="majorHAnsi" w:eastAsia="Calibri" w:hAnsiTheme="majorHAnsi" w:cstheme="majorHAnsi"/>
          <w:color w:val="000000"/>
        </w:rPr>
        <w:t xml:space="preserve">alidates </w:t>
      </w:r>
      <w:r w:rsidR="00832951">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effectiveness of</w:t>
      </w:r>
      <w:r w:rsidR="00832951">
        <w:rPr>
          <w:rFonts w:asciiTheme="majorHAnsi" w:eastAsia="Calibri" w:hAnsiTheme="majorHAnsi" w:cstheme="majorHAnsi"/>
          <w:color w:val="000000"/>
        </w:rPr>
        <w:t xml:space="preserve"> its</w:t>
      </w:r>
      <w:r w:rsidRPr="00B6688A">
        <w:rPr>
          <w:rFonts w:asciiTheme="majorHAnsi" w:eastAsia="Calibri" w:hAnsiTheme="majorHAnsi" w:cstheme="majorHAnsi"/>
          <w:color w:val="000000"/>
        </w:rPr>
        <w:t xml:space="preserve"> FORTIFIED</w:t>
      </w:r>
      <w:r w:rsidR="00832951">
        <w:rPr>
          <w:rFonts w:asciiTheme="majorHAnsi" w:eastAsia="Calibri" w:hAnsiTheme="majorHAnsi" w:cstheme="majorHAnsi"/>
          <w:color w:val="000000"/>
        </w:rPr>
        <w:t xml:space="preserve"> standard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106" w:name="_7lyqafatnjtp" w:colFirst="0" w:colLast="0"/>
      <w:bookmarkEnd w:id="106"/>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107" w:name="_nlrswbl7tgnb" w:colFirst="0" w:colLast="0"/>
      <w:bookmarkEnd w:id="107"/>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15792DBC"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r>
        <w:rPr>
          <w:rFonts w:asciiTheme="majorHAnsi" w:eastAsia="Calibri" w:hAnsiTheme="majorHAnsi" w:cstheme="majorHAnsi"/>
          <w:color w:val="000000"/>
        </w:rPr>
        <w:t xml:space="preserve"> on page 45</w:t>
      </w:r>
      <w:r w:rsidR="007413BF" w:rsidRPr="00B6688A">
        <w:rPr>
          <w:rFonts w:asciiTheme="majorHAnsi" w:eastAsia="Calibri" w:hAnsiTheme="majorHAnsi" w:cstheme="majorHAnsi"/>
          <w:color w:val="000000"/>
        </w:rPr>
        <w:t>.</w:t>
      </w:r>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108" w:name="_zcakh5cf0lp6" w:colFirst="0" w:colLast="0"/>
      <w:bookmarkEnd w:id="108"/>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3">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to produce the </w:t>
      </w:r>
      <w:hyperlink r:id="rId74">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47ED4C37" w14:textId="5538B263" w:rsidR="00FB1243" w:rsidRPr="00B6688A" w:rsidRDefault="007413BF" w:rsidP="00673374">
      <w:pPr>
        <w:pStyle w:val="Heading3"/>
        <w:rPr>
          <w:rFonts w:asciiTheme="majorHAnsi" w:hAnsiTheme="majorHAnsi" w:cstheme="majorHAnsi"/>
        </w:rPr>
      </w:pPr>
      <w:bookmarkStart w:id="109" w:name="_2xrm8sy24hpl" w:colFirst="0" w:colLast="0"/>
      <w:bookmarkStart w:id="110" w:name="_a3aduwvkjpqy" w:colFirst="0" w:colLast="0"/>
      <w:bookmarkStart w:id="111" w:name="_Toc236057881"/>
      <w:bookmarkEnd w:id="109"/>
      <w:bookmarkEnd w:id="110"/>
      <w:r w:rsidRPr="00B6688A">
        <w:rPr>
          <w:rFonts w:asciiTheme="majorHAnsi" w:hAnsiTheme="majorHAnsi" w:cstheme="majorHAnsi"/>
        </w:rPr>
        <w:lastRenderedPageBreak/>
        <w:t>Minnesota</w:t>
      </w:r>
      <w:bookmarkEnd w:id="11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112" w:name="_dbr09a4ggz5e" w:colFirst="0" w:colLast="0"/>
      <w:bookmarkEnd w:id="112"/>
      <w:r w:rsidRPr="00B6688A">
        <w:rPr>
          <w:rFonts w:asciiTheme="majorHAnsi" w:hAnsiTheme="majorHAnsi" w:cstheme="majorHAnsi"/>
        </w:rPr>
        <w:t>Introduction</w:t>
      </w:r>
    </w:p>
    <w:p w14:paraId="47ED4C39" w14:textId="759F37C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color w:val="000000"/>
        </w:rPr>
        <w:t>Severe convective storms in Minnesota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peak in late summer, causing significant, localized destruction through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large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113" w:name="_29b8orhv9kgh" w:colFirst="0" w:colLast="0"/>
      <w:bookmarkEnd w:id="113"/>
      <w:r w:rsidRPr="00B6688A">
        <w:rPr>
          <w:rFonts w:asciiTheme="majorHAnsi" w:hAnsiTheme="majorHAnsi" w:cstheme="majorHAnsi"/>
        </w:rPr>
        <w:t>Reports</w:t>
      </w:r>
    </w:p>
    <w:p w14:paraId="47ED4C3B" w14:textId="73BAF1D0"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 early 2025, the Minneapolis Federal Reserve released </w:t>
      </w:r>
      <w:hyperlink r:id="rId75">
        <w:r w:rsidR="00FB1243" w:rsidRPr="00B6688A">
          <w:rPr>
            <w:rFonts w:asciiTheme="majorHAnsi" w:eastAsia="Calibri" w:hAnsiTheme="majorHAnsi" w:cstheme="majorHAnsi"/>
            <w:color w:val="467886"/>
            <w:u w:val="single"/>
          </w:rPr>
          <w:t>an analysis of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insurance markets</w:t>
        </w:r>
      </w:hyperlink>
      <w:r w:rsidRPr="00B6688A">
        <w:rPr>
          <w:rFonts w:asciiTheme="majorHAnsi" w:eastAsia="Calibri" w:hAnsiTheme="majorHAnsi" w:cstheme="majorHAnsi"/>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During the 2025 session,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3E07">
        <w:rPr>
          <w:rFonts w:asciiTheme="majorHAnsi" w:eastAsia="Calibri" w:hAnsiTheme="majorHAnsi" w:cstheme="majorHAnsi"/>
        </w:rPr>
        <w:t>l</w:t>
      </w:r>
      <w:r w:rsidRPr="00B6688A">
        <w:rPr>
          <w:rFonts w:asciiTheme="majorHAnsi" w:eastAsia="Calibri" w:hAnsiTheme="majorHAnsi" w:cstheme="majorHAnsi"/>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76">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114" w:name="_awqt49qwrqy4" w:colFirst="0" w:colLast="0"/>
      <w:bookmarkEnd w:id="114"/>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Working in partnership with the NAIC CIPR</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1531AD">
        <w:rPr>
          <w:rFonts w:asciiTheme="majorHAnsi" w:eastAsia="Calibri" w:hAnsiTheme="majorHAnsi" w:cstheme="majorHAnsi"/>
        </w:rPr>
        <w:t>CAT CO</w:t>
      </w:r>
      <w:r w:rsidR="00807568">
        <w:rPr>
          <w:rFonts w:asciiTheme="majorHAnsi" w:eastAsia="Calibri" w:hAnsiTheme="majorHAnsi" w:cstheme="majorHAnsi"/>
        </w:rPr>
        <w:t>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issued a voluntary data call </w:t>
      </w:r>
      <w:r w:rsidR="0095020C" w:rsidRPr="00B6688A">
        <w:rPr>
          <w:rFonts w:asciiTheme="majorHAnsi" w:eastAsia="Calibri" w:hAnsiTheme="majorHAnsi" w:cstheme="majorHAnsi"/>
        </w:rPr>
        <w:t>to collect company information for analysis using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5020C" w:rsidRPr="00B6688A">
        <w:rPr>
          <w:rFonts w:asciiTheme="majorHAnsi" w:eastAsia="Calibri" w:hAnsiTheme="majorHAnsi" w:cstheme="majorHAnsi"/>
        </w:rPr>
        <w:t xml:space="preserve"> and actuarial methods</w:t>
      </w:r>
      <w:r w:rsidRPr="00B6688A">
        <w:rPr>
          <w:rFonts w:asciiTheme="majorHAnsi" w:eastAsia="Calibri" w:hAnsiTheme="majorHAnsi" w:cstheme="majorHAnsi"/>
        </w:rPr>
        <w:t xml:space="preserve">. This collaborative approach resulted in the </w:t>
      </w:r>
      <w:r w:rsidR="00A902B6">
        <w:rPr>
          <w:rFonts w:asciiTheme="majorHAnsi" w:eastAsia="Calibri" w:hAnsiTheme="majorHAnsi" w:cstheme="majorHAnsi"/>
        </w:rPr>
        <w:t>d</w:t>
      </w:r>
      <w:r w:rsidRPr="00B6688A">
        <w:rPr>
          <w:rFonts w:asciiTheme="majorHAnsi" w:eastAsia="Calibri" w:hAnsiTheme="majorHAnsi" w:cstheme="majorHAnsi"/>
        </w:rPr>
        <w:t xml:space="preserve">epartment issuing </w:t>
      </w:r>
      <w:hyperlink r:id="rId77" w:tgtFrame="_blank" w:history="1">
        <w:r w:rsidR="00B3766F" w:rsidRPr="007C78A1">
          <w:rPr>
            <w:rStyle w:val="Hyperlink"/>
            <w:rFonts w:asciiTheme="majorHAnsi" w:eastAsia="Calibri" w:hAnsiTheme="majorHAnsi" w:cstheme="majorHAnsi"/>
          </w:rPr>
          <w:t>Administrative Bulletin 2026-1</w:t>
        </w:r>
      </w:hyperlink>
      <w:r w:rsidR="00B3766F">
        <w:rPr>
          <w:rFonts w:asciiTheme="majorHAnsi" w:eastAsia="Calibri" w:hAnsiTheme="majorHAnsi" w:cstheme="majorHAnsi"/>
        </w:rPr>
        <w:t xml:space="preserve"> </w:t>
      </w:r>
      <w:r w:rsidRPr="00B6688A">
        <w:rPr>
          <w:rFonts w:asciiTheme="majorHAnsi" w:eastAsia="Calibri" w:hAnsiTheme="majorHAnsi" w:cstheme="majorHAnsi"/>
        </w:rPr>
        <w:t xml:space="preserve">to carriers </w:t>
      </w:r>
      <w:r w:rsidR="0026130D">
        <w:rPr>
          <w:rFonts w:asciiTheme="majorHAnsi" w:eastAsia="Calibri" w:hAnsiTheme="majorHAnsi" w:cstheme="majorHAnsi"/>
        </w:rPr>
        <w:t xml:space="preserve">on March 23, </w:t>
      </w:r>
      <w:r w:rsidR="00946DED">
        <w:rPr>
          <w:rFonts w:asciiTheme="majorHAnsi" w:eastAsia="Calibri" w:hAnsiTheme="majorHAnsi" w:cstheme="majorHAnsi"/>
        </w:rPr>
        <w:t>2026,</w:t>
      </w:r>
      <w:r w:rsidR="0026130D">
        <w:rPr>
          <w:rFonts w:asciiTheme="majorHAnsi" w:eastAsia="Calibri" w:hAnsiTheme="majorHAnsi" w:cstheme="majorHAnsi"/>
        </w:rPr>
        <w:t xml:space="preserve"> </w:t>
      </w:r>
      <w:r w:rsidRPr="00B6688A">
        <w:rPr>
          <w:rFonts w:asciiTheme="majorHAnsi" w:eastAsia="Calibri" w:hAnsiTheme="majorHAnsi" w:cstheme="majorHAnsi"/>
        </w:rPr>
        <w:t xml:space="preserve">outlining the regulatory review process for insurer filings at or above an expected discount threshold, as well as for filings below </w:t>
      </w:r>
      <w:r w:rsidRPr="00B6688A">
        <w:rPr>
          <w:rFonts w:asciiTheme="majorHAnsi" w:eastAsia="Calibri" w:hAnsiTheme="majorHAnsi" w:cstheme="majorHAnsi"/>
        </w:rPr>
        <w:lastRenderedPageBreak/>
        <w:t xml:space="preserve">that threshold. This project enabled the </w:t>
      </w:r>
      <w:r w:rsidR="00A902B6">
        <w:rPr>
          <w:rFonts w:asciiTheme="majorHAnsi" w:eastAsia="Calibri" w:hAnsiTheme="majorHAnsi" w:cstheme="majorHAnsi"/>
        </w:rPr>
        <w:t>d</w:t>
      </w:r>
      <w:r w:rsidRPr="00B6688A">
        <w:rPr>
          <w:rFonts w:asciiTheme="majorHAnsi" w:eastAsia="Calibri" w:hAnsiTheme="majorHAnsi" w:cstheme="majorHAnsi"/>
        </w:rPr>
        <w:t>epartment to design a faster, more efficient filing process, improving speed</w:t>
      </w:r>
      <w:r w:rsidR="00E6115A">
        <w:rPr>
          <w:rFonts w:asciiTheme="majorHAnsi" w:eastAsia="Calibri" w:hAnsiTheme="majorHAnsi" w:cstheme="majorHAnsi"/>
        </w:rPr>
        <w:t>-</w:t>
      </w:r>
      <w:r w:rsidRPr="00B6688A">
        <w:rPr>
          <w:rFonts w:asciiTheme="majorHAnsi" w:eastAsia="Calibri" w:hAnsiTheme="majorHAnsi" w:cstheme="majorHAnsi"/>
        </w:rPr>
        <w:t>to</w:t>
      </w:r>
      <w:r w:rsidR="00E6115A">
        <w:rPr>
          <w:rFonts w:asciiTheme="majorHAnsi" w:eastAsia="Calibri" w:hAnsiTheme="majorHAnsi" w:cstheme="majorHAnsi"/>
        </w:rPr>
        <w:t>-</w:t>
      </w:r>
      <w:r w:rsidRPr="00B6688A">
        <w:rPr>
          <w:rFonts w:asciiTheme="majorHAnsi" w:eastAsia="Calibri" w:hAnsiTheme="majorHAnsi" w:cstheme="majorHAnsi"/>
        </w:rPr>
        <w:t xml:space="preserve">market for carriers and increasing </w:t>
      </w:r>
      <w:r w:rsidR="00E14EC7">
        <w:rPr>
          <w:rFonts w:asciiTheme="majorHAnsi" w:eastAsia="Calibri" w:hAnsiTheme="majorHAnsi" w:cstheme="majorHAnsi"/>
        </w:rPr>
        <w:t>policyholders' access to cost savings</w:t>
      </w:r>
      <w:r w:rsidRPr="00B6688A">
        <w:rPr>
          <w:rFonts w:asciiTheme="majorHAnsi" w:eastAsia="Calibri" w:hAnsiTheme="majorHAnsi" w:cstheme="majorHAnsi"/>
        </w:rPr>
        <w:t>.</w:t>
      </w:r>
    </w:p>
    <w:p w14:paraId="47ED4C41" w14:textId="4086B7DE" w:rsidR="00FB1243" w:rsidRPr="00B6688A" w:rsidRDefault="007413BF" w:rsidP="00673374">
      <w:pPr>
        <w:pStyle w:val="Heading4"/>
        <w:rPr>
          <w:rFonts w:asciiTheme="majorHAnsi" w:hAnsiTheme="majorHAnsi" w:cstheme="majorHAnsi"/>
        </w:rPr>
      </w:pPr>
      <w:bookmarkStart w:id="115" w:name="_cuwdweyc9umy" w:colFirst="0" w:colLast="0"/>
      <w:bookmarkEnd w:id="115"/>
      <w:r w:rsidRPr="00B6688A">
        <w:rPr>
          <w:rFonts w:asciiTheme="majorHAnsi" w:hAnsiTheme="majorHAnsi" w:cstheme="majorHAnsi"/>
        </w:rPr>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has developed resources </w:t>
      </w:r>
      <w:r w:rsidR="0095020C" w:rsidRPr="00B6688A">
        <w:rPr>
          <w:rFonts w:asciiTheme="majorHAnsi" w:eastAsia="Calibri" w:hAnsiTheme="majorHAnsi" w:cstheme="majorHAnsi"/>
        </w:rPr>
        <w:t xml:space="preserve">to help state residents </w:t>
      </w:r>
      <w:r w:rsidRPr="00B6688A">
        <w:rPr>
          <w:rFonts w:asciiTheme="majorHAnsi" w:eastAsia="Calibri" w:hAnsiTheme="majorHAnsi" w:cstheme="majorHAnsi"/>
        </w:rPr>
        <w:t>navigate the purchase and use of home</w:t>
      </w:r>
      <w:r w:rsidR="007E321F">
        <w:rPr>
          <w:rFonts w:asciiTheme="majorHAnsi" w:eastAsia="Calibri" w:hAnsiTheme="majorHAnsi" w:cstheme="majorHAnsi"/>
        </w:rPr>
        <w:t>owners</w:t>
      </w:r>
      <w:r w:rsidRPr="00B6688A">
        <w:rPr>
          <w:rFonts w:asciiTheme="majorHAnsi" w:eastAsia="Calibri" w:hAnsiTheme="majorHAnsi" w:cstheme="majorHAnsi"/>
        </w:rPr>
        <w:t xml:space="preserve"> insurance. Department resources are housed </w:t>
      </w:r>
      <w:r w:rsidR="00FD0A46">
        <w:rPr>
          <w:rFonts w:asciiTheme="majorHAnsi" w:eastAsia="Calibri" w:hAnsiTheme="majorHAnsi" w:cstheme="majorHAnsi"/>
        </w:rPr>
        <w:t xml:space="preserve">in </w:t>
      </w:r>
      <w:r w:rsidR="007E321F" w:rsidRPr="00FD0A46">
        <w:rPr>
          <w:rFonts w:asciiTheme="majorHAnsi" w:eastAsia="Calibri" w:hAnsiTheme="majorHAnsi" w:cstheme="majorHAnsi"/>
        </w:rPr>
        <w:t>the</w:t>
      </w:r>
      <w:r w:rsidRPr="00FD0A46">
        <w:rPr>
          <w:rFonts w:asciiTheme="majorHAnsi" w:eastAsia="Calibri" w:hAnsiTheme="majorHAnsi" w:cstheme="majorHAnsi"/>
        </w:rPr>
        <w:t xml:space="preserve"> </w:t>
      </w:r>
      <w:r w:rsidR="00FD0A46" w:rsidRPr="00453D8F">
        <w:rPr>
          <w:rFonts w:asciiTheme="majorHAnsi" w:hAnsiTheme="majorHAnsi" w:cstheme="majorHAnsi"/>
        </w:rPr>
        <w:t>department’s</w:t>
      </w:r>
      <w:r w:rsidR="00FD0A46">
        <w:t xml:space="preserve"> </w:t>
      </w:r>
      <w:hyperlink r:id="rId78" w:history="1">
        <w:r w:rsidR="007E321F" w:rsidRPr="00FD0A46">
          <w:rPr>
            <w:rStyle w:val="Hyperlink"/>
            <w:rFonts w:asciiTheme="majorHAnsi" w:eastAsia="Calibri" w:hAnsiTheme="majorHAnsi" w:cstheme="majorHAnsi"/>
          </w:rPr>
          <w:t>Disaster Information Center</w:t>
        </w:r>
      </w:hyperlink>
      <w:r w:rsidRPr="00B6688A">
        <w:rPr>
          <w:rFonts w:asciiTheme="majorHAnsi" w:eastAsia="Calibri" w:hAnsiTheme="majorHAnsi" w:cstheme="majorHAnsi"/>
        </w:rPr>
        <w:t xml:space="preserve"> and organized </w:t>
      </w:r>
      <w:r w:rsidR="00FD0A46">
        <w:rPr>
          <w:rFonts w:asciiTheme="majorHAnsi" w:eastAsia="Calibri" w:hAnsiTheme="majorHAnsi" w:cstheme="majorHAnsi"/>
        </w:rPr>
        <w:t>to help consumers</w:t>
      </w:r>
      <w:r w:rsidRPr="00B6688A">
        <w:rPr>
          <w:rFonts w:asciiTheme="majorHAnsi" w:eastAsia="Calibri" w:hAnsiTheme="majorHAnsi" w:cstheme="majorHAnsi"/>
        </w:rPr>
        <w:t xml:space="preserve"> </w:t>
      </w:r>
      <w:hyperlink r:id="rId79">
        <w:r w:rsidR="00FB1243" w:rsidRPr="00B6688A">
          <w:rPr>
            <w:rFonts w:asciiTheme="majorHAnsi" w:eastAsia="Calibri" w:hAnsiTheme="majorHAnsi" w:cstheme="majorHAnsi"/>
            <w:color w:val="467886"/>
            <w:u w:val="single"/>
          </w:rPr>
          <w:t>prepare before</w:t>
        </w:r>
      </w:hyperlink>
      <w:r w:rsidRPr="00B6688A">
        <w:rPr>
          <w:rFonts w:asciiTheme="majorHAnsi" w:eastAsia="Calibri" w:hAnsiTheme="majorHAnsi" w:cstheme="majorHAnsi"/>
        </w:rPr>
        <w:t xml:space="preserve"> and </w:t>
      </w:r>
      <w:hyperlink r:id="rId80">
        <w:r w:rsidR="00FB1243" w:rsidRPr="00B6688A">
          <w:rPr>
            <w:rFonts w:asciiTheme="majorHAnsi" w:eastAsia="Calibri" w:hAnsiTheme="majorHAnsi" w:cstheme="majorHAnsi"/>
            <w:color w:val="467886"/>
            <w:u w:val="single"/>
          </w:rPr>
          <w:t>respond after</w:t>
        </w:r>
      </w:hyperlink>
      <w:r w:rsidRPr="00B6688A">
        <w:rPr>
          <w:rFonts w:asciiTheme="majorHAnsi" w:eastAsia="Calibri" w:hAnsiTheme="majorHAnsi" w:cstheme="majorHAnsi"/>
        </w:rPr>
        <w:t xml:space="preserve"> disasters occur. These materials are also used by </w:t>
      </w:r>
      <w:r w:rsidR="00FD0A46">
        <w:rPr>
          <w:rFonts w:asciiTheme="majorHAnsi" w:eastAsia="Calibri" w:hAnsiTheme="majorHAnsi" w:cstheme="majorHAnsi"/>
        </w:rPr>
        <w:t>d</w:t>
      </w:r>
      <w:r w:rsidRPr="00B6688A">
        <w:rPr>
          <w:rFonts w:asciiTheme="majorHAnsi" w:eastAsia="Calibri" w:hAnsiTheme="majorHAnsi" w:cstheme="majorHAnsi"/>
        </w:rPr>
        <w:t xml:space="preserve">epartment staff </w:t>
      </w:r>
      <w:r w:rsidR="0095020C" w:rsidRPr="00B6688A">
        <w:rPr>
          <w:rFonts w:asciiTheme="majorHAnsi" w:eastAsia="Calibri" w:hAnsiTheme="majorHAnsi" w:cstheme="majorHAnsi"/>
        </w:rPr>
        <w:t>in the field after</w:t>
      </w:r>
      <w:r w:rsidRPr="00B6688A">
        <w:rPr>
          <w:rFonts w:asciiTheme="majorHAnsi" w:eastAsia="Calibri" w:hAnsiTheme="majorHAnsi" w:cstheme="majorHAnsi"/>
        </w:rPr>
        <w:t xml:space="preserve"> disasters to assist Minnesotans. </w:t>
      </w:r>
    </w:p>
    <w:p w14:paraId="47ED4C43" w14:textId="30F6EC8B"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A cornerstone of the </w:t>
      </w:r>
      <w:r w:rsidR="005B32F3">
        <w:rPr>
          <w:rFonts w:asciiTheme="majorHAnsi" w:eastAsia="Calibri" w:hAnsiTheme="majorHAnsi" w:cstheme="majorHAnsi"/>
        </w:rPr>
        <w:t>d</w:t>
      </w:r>
      <w:r w:rsidRPr="00B6688A">
        <w:rPr>
          <w:rFonts w:asciiTheme="majorHAnsi" w:eastAsia="Calibri" w:hAnsiTheme="majorHAnsi" w:cstheme="majorHAnsi"/>
        </w:rPr>
        <w:t xml:space="preserve">epartment’s efforts to help Minnesotans prepare for disasters is </w:t>
      </w:r>
      <w:r w:rsidR="0095020C" w:rsidRPr="00B6688A">
        <w:rPr>
          <w:rFonts w:asciiTheme="majorHAnsi" w:eastAsia="Calibri" w:hAnsiTheme="majorHAnsi" w:cstheme="majorHAnsi"/>
        </w:rPr>
        <w:t>developing</w:t>
      </w:r>
      <w:r w:rsidRPr="00B6688A">
        <w:rPr>
          <w:rFonts w:asciiTheme="majorHAnsi" w:eastAsia="Calibri" w:hAnsiTheme="majorHAnsi" w:cstheme="majorHAnsi"/>
        </w:rPr>
        <w:t xml:space="preserve"> resources to help consumers create a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includes a </w:t>
      </w:r>
      <w:hyperlink r:id="rId81">
        <w:r w:rsidR="00FB1243" w:rsidRPr="00B6688A">
          <w:rPr>
            <w:rFonts w:asciiTheme="majorHAnsi" w:eastAsia="Calibri" w:hAnsiTheme="majorHAnsi" w:cstheme="majorHAnsi"/>
            <w:color w:val="467886"/>
            <w:u w:val="single"/>
          </w:rPr>
          <w:t>written checklist and template</w:t>
        </w:r>
      </w:hyperlink>
      <w:r w:rsidRPr="00B6688A">
        <w:rPr>
          <w:rFonts w:asciiTheme="majorHAnsi" w:eastAsia="Calibri" w:hAnsiTheme="majorHAnsi" w:cstheme="majorHAnsi"/>
        </w:rPr>
        <w:t xml:space="preserve"> for creating an inventory, along with a video demonstrating </w:t>
      </w:r>
      <w:hyperlink r:id="rId82">
        <w:r w:rsidR="00FB1243" w:rsidRPr="00B6688A">
          <w:rPr>
            <w:rFonts w:asciiTheme="majorHAnsi" w:eastAsia="Calibri" w:hAnsiTheme="majorHAnsi" w:cstheme="majorHAnsi"/>
            <w:color w:val="467886"/>
            <w:u w:val="single"/>
          </w:rPr>
          <w:t>how valuable a home inventory can be if your home is damaged in a storm</w:t>
        </w:r>
      </w:hyperlink>
      <w:r w:rsidRPr="00B6688A">
        <w:rPr>
          <w:rFonts w:asciiTheme="majorHAnsi" w:eastAsia="Calibri" w:hAnsiTheme="majorHAnsi" w:cstheme="majorHAnsi"/>
        </w:rPr>
        <w:t xml:space="preserve">. </w:t>
      </w:r>
      <w:r w:rsidR="005B32F3">
        <w:rPr>
          <w:rFonts w:asciiTheme="majorHAnsi" w:eastAsia="Calibri" w:hAnsiTheme="majorHAnsi" w:cstheme="majorHAnsi"/>
        </w:rPr>
        <w:t>The department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has also developed video content aimed at helping consumers understand their </w:t>
      </w:r>
      <w:hyperlink r:id="rId83">
        <w:r w:rsidR="00FB1243" w:rsidRPr="00B6688A">
          <w:rPr>
            <w:rFonts w:asciiTheme="majorHAnsi" w:eastAsia="Calibri" w:hAnsiTheme="majorHAnsi" w:cstheme="majorHAnsi"/>
            <w:color w:val="467886"/>
            <w:u w:val="single"/>
          </w:rPr>
          <w:t>homeowners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w:t>
        </w:r>
      </w:hyperlink>
      <w:r w:rsidRPr="00B6688A">
        <w:rPr>
          <w:rFonts w:asciiTheme="majorHAnsi" w:eastAsia="Calibri" w:hAnsiTheme="majorHAnsi" w:cstheme="majorHAnsi"/>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4">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5">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86">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116" w:name="_523ztpiaco5" w:colFirst="0" w:colLast="0"/>
      <w:bookmarkStart w:id="117" w:name="_Toc236057882"/>
      <w:bookmarkEnd w:id="116"/>
      <w:r w:rsidRPr="00B6688A">
        <w:rPr>
          <w:rFonts w:asciiTheme="majorHAnsi" w:hAnsiTheme="majorHAnsi" w:cstheme="majorHAnsi"/>
        </w:rPr>
        <w:t>Mississippi</w:t>
      </w:r>
      <w:bookmarkEnd w:id="11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118" w:name="_aceme6fbsq" w:colFirst="0" w:colLast="0"/>
      <w:bookmarkEnd w:id="118"/>
      <w:r w:rsidRPr="00B6688A">
        <w:rPr>
          <w:rFonts w:asciiTheme="majorHAnsi" w:hAnsiTheme="majorHAnsi" w:cstheme="majorHAnsi"/>
        </w:rPr>
        <w:t>Introduction</w:t>
      </w:r>
    </w:p>
    <w:p w14:paraId="47ED4C49" w14:textId="2BC219F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employs every available resource to ensure </w:t>
      </w:r>
      <w:r w:rsidR="005B32F3">
        <w:rPr>
          <w:rFonts w:asciiTheme="majorHAnsi" w:eastAsia="Calibri" w:hAnsiTheme="majorHAnsi" w:cstheme="majorHAnsi"/>
        </w:rPr>
        <w:t>its</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residents have access to the most affordable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Reports</w:t>
      </w:r>
    </w:p>
    <w:p w14:paraId="47ED4C4B" w14:textId="545B8FF0" w:rsidR="00FB1243" w:rsidRPr="00B6688A" w:rsidRDefault="007413BF" w:rsidP="00453D8F">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Property Insurance Clarity Act</w:t>
      </w:r>
      <w:r w:rsidR="00C76D8F"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created by </w:t>
      </w:r>
      <w:hyperlink r:id="rId87">
        <w:r w:rsidR="00FB1243" w:rsidRPr="00B6688A">
          <w:rPr>
            <w:rFonts w:asciiTheme="majorHAnsi" w:eastAsia="Calibri" w:hAnsiTheme="majorHAnsi" w:cstheme="majorHAnsi"/>
            <w:color w:val="467886"/>
            <w:u w:val="single"/>
          </w:rPr>
          <w:t>HB 739</w:t>
        </w:r>
      </w:hyperlink>
      <w:r w:rsidR="00C76D8F" w:rsidRPr="00B6688A">
        <w:rPr>
          <w:rFonts w:asciiTheme="majorHAnsi" w:hAnsiTheme="majorHAnsi" w:cstheme="majorHAnsi"/>
        </w:rPr>
        <w:t>,</w:t>
      </w:r>
      <w:r w:rsidRPr="00B6688A">
        <w:rPr>
          <w:rFonts w:asciiTheme="majorHAnsi" w:eastAsia="Calibri" w:hAnsiTheme="majorHAnsi" w:cstheme="majorHAnsi"/>
          <w:color w:val="000000"/>
        </w:rPr>
        <w:t xml:space="preserve"> requires insurers authorized to transact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business in the </w:t>
      </w:r>
      <w:r w:rsidR="005B32F3">
        <w:rPr>
          <w:rFonts w:asciiTheme="majorHAnsi" w:eastAsia="Calibri" w:hAnsiTheme="majorHAnsi" w:cstheme="majorHAnsi"/>
          <w:color w:val="000000"/>
        </w:rPr>
        <w:t>s</w:t>
      </w:r>
      <w:r w:rsidRPr="00B6688A">
        <w:rPr>
          <w:rFonts w:asciiTheme="majorHAnsi" w:eastAsia="Calibri" w:hAnsiTheme="majorHAnsi" w:cstheme="majorHAnsi"/>
          <w:color w:val="000000"/>
        </w:rPr>
        <w:t>tate of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policy and premium information to the Mississippi Insurance Department</w:t>
      </w:r>
      <w:r w:rsidR="009159B0">
        <w:rPr>
          <w:rFonts w:asciiTheme="majorHAnsi" w:eastAsia="Calibri" w:hAnsiTheme="majorHAnsi" w:cstheme="majorHAnsi"/>
          <w:color w:val="000000"/>
        </w:rPr>
        <w:t xml:space="preserve"> (MID)</w:t>
      </w:r>
      <w:r w:rsidRPr="00B6688A">
        <w:rPr>
          <w:rFonts w:asciiTheme="majorHAnsi" w:eastAsia="Calibri" w:hAnsiTheme="majorHAnsi" w:cstheme="majorHAnsi"/>
          <w:color w:val="000000"/>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lastRenderedPageBreak/>
        <w:t>Data Collection</w:t>
      </w:r>
    </w:p>
    <w:p w14:paraId="11736E5D" w14:textId="30ABF84D" w:rsidR="00E913D7" w:rsidRPr="00576268" w:rsidRDefault="00585C08">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hyperlink r:id="rId88" w:tgtFrame="_blank" w:history="1">
        <w:r w:rsidRPr="00576268">
          <w:rPr>
            <w:rStyle w:val="Hyperlink"/>
            <w:rFonts w:asciiTheme="majorHAnsi" w:eastAsia="Calibri" w:hAnsiTheme="majorHAnsi" w:cstheme="majorHAnsi"/>
          </w:rPr>
          <w:t>MID Aggregated Data Search</w:t>
        </w:r>
      </w:hyperlink>
      <w:r w:rsidRPr="00576268">
        <w:rPr>
          <w:rFonts w:asciiTheme="majorHAnsi" w:eastAsia="Calibri" w:hAnsiTheme="majorHAnsi" w:cstheme="majorHAnsi"/>
          <w:color w:val="000000"/>
        </w:rPr>
        <w:t xml:space="preserve"> </w:t>
      </w:r>
      <w:r w:rsidR="00E913D7" w:rsidRPr="00576268">
        <w:rPr>
          <w:rFonts w:asciiTheme="majorHAnsi" w:eastAsia="Calibri" w:hAnsiTheme="majorHAnsi" w:cstheme="majorHAnsi"/>
          <w:color w:val="000000"/>
        </w:rPr>
        <w:t>(</w:t>
      </w:r>
      <w:hyperlink r:id="rId89">
        <w:r w:rsidR="00DA78BE" w:rsidRPr="00576268">
          <w:rPr>
            <w:rFonts w:asciiTheme="majorHAnsi" w:eastAsia="Calibri" w:hAnsiTheme="majorHAnsi" w:cstheme="majorHAnsi"/>
            <w:color w:val="467886"/>
            <w:u w:val="single"/>
          </w:rPr>
          <w:t>Clarity Act/Market Analysis Data Call</w:t>
        </w:r>
      </w:hyperlink>
      <w:r w:rsidR="00E913D7" w:rsidRPr="00576268">
        <w:rPr>
          <w:rFonts w:asciiTheme="majorHAnsi" w:eastAsia="Calibri" w:hAnsiTheme="majorHAnsi" w:cstheme="majorHAnsi"/>
          <w:color w:val="000000"/>
        </w:rPr>
        <w:t>)</w:t>
      </w:r>
      <w:r w:rsidR="00E913D7" w:rsidRPr="00576268">
        <w:rPr>
          <w:rFonts w:asciiTheme="majorHAnsi" w:eastAsia="Calibri" w:hAnsiTheme="majorHAnsi" w:cstheme="majorHAnsi"/>
          <w:color w:val="000000"/>
        </w:rPr>
        <w:br/>
        <w:t xml:space="preserve">Enacted under House Bill 739, the Property Insurance Clarity Act mandates that all authorized homeowners insurance providers in Mississippi submit policy and premium data to the </w:t>
      </w:r>
      <w:r w:rsidR="00E90412" w:rsidRPr="00576268">
        <w:rPr>
          <w:rFonts w:asciiTheme="majorHAnsi" w:eastAsia="Calibri" w:hAnsiTheme="majorHAnsi" w:cstheme="majorHAnsi"/>
          <w:color w:val="000000"/>
        </w:rPr>
        <w:t>department.</w:t>
      </w:r>
    </w:p>
    <w:p w14:paraId="22F4D6D1" w14:textId="6411ABD6" w:rsidR="00707030" w:rsidRDefault="00D74AE7"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 xml:space="preserve">NAIC Homeowners Market Data Call: Under its statutory authority, MID mandates that P/C insurers operating in the state submit comprehensive ZIP-code-level underwriting data as part of the NAIC Homeowners Market Data Call. </w:t>
      </w:r>
      <w:r w:rsidR="00D4301C" w:rsidRPr="00707030">
        <w:rPr>
          <w:rFonts w:asciiTheme="majorHAnsi" w:eastAsia="Calibri" w:hAnsiTheme="majorHAnsi" w:cstheme="majorHAnsi"/>
          <w:color w:val="000000"/>
        </w:rPr>
        <w:t xml:space="preserve">MID is also a member of the </w:t>
      </w:r>
      <w:r w:rsidR="00F852CF" w:rsidRPr="00707030">
        <w:rPr>
          <w:rFonts w:asciiTheme="majorHAnsi" w:eastAsia="Calibri" w:hAnsiTheme="majorHAnsi" w:cstheme="majorHAnsi"/>
          <w:color w:val="000000"/>
        </w:rPr>
        <w:t xml:space="preserve">NAIC </w:t>
      </w:r>
      <w:hyperlink r:id="rId90" w:tgtFrame="_blank" w:history="1">
        <w:r w:rsidR="000D447E" w:rsidRPr="00707030">
          <w:rPr>
            <w:rStyle w:val="Hyperlink"/>
            <w:rFonts w:asciiTheme="majorHAnsi" w:eastAsia="Calibri" w:hAnsiTheme="majorHAnsi" w:cstheme="majorHAnsi"/>
          </w:rPr>
          <w:t>Pre-Disaster Mitigation and Risk Modeling (EX) Working Group</w:t>
        </w:r>
      </w:hyperlink>
      <w:r w:rsidR="002E70AE" w:rsidRPr="00707030">
        <w:rPr>
          <w:rFonts w:asciiTheme="majorHAnsi" w:eastAsia="Calibri" w:hAnsiTheme="majorHAnsi" w:cstheme="majorHAnsi"/>
          <w:color w:val="000000"/>
        </w:rPr>
        <w:t xml:space="preserve">, </w:t>
      </w:r>
      <w:r w:rsidR="00B635CE" w:rsidRPr="00707030">
        <w:rPr>
          <w:rFonts w:asciiTheme="majorHAnsi" w:eastAsia="Calibri" w:hAnsiTheme="majorHAnsi" w:cstheme="majorHAnsi"/>
          <w:color w:val="000000"/>
        </w:rPr>
        <w:t xml:space="preserve">which </w:t>
      </w:r>
      <w:r w:rsidR="00707030">
        <w:rPr>
          <w:rFonts w:asciiTheme="majorHAnsi" w:eastAsia="Calibri" w:hAnsiTheme="majorHAnsi" w:cstheme="majorHAnsi"/>
          <w:color w:val="000000"/>
        </w:rPr>
        <w:t xml:space="preserve">supports the development of </w:t>
      </w:r>
      <w:r w:rsidR="00B635CE" w:rsidRPr="00707030">
        <w:rPr>
          <w:rFonts w:asciiTheme="majorHAnsi" w:eastAsia="Calibri" w:hAnsiTheme="majorHAnsi" w:cstheme="majorHAnsi"/>
          <w:color w:val="000000"/>
        </w:rPr>
        <w:t>state-specific hazard mitigation and market protection policies</w:t>
      </w:r>
      <w:r w:rsidR="00707030" w:rsidRPr="00707030">
        <w:rPr>
          <w:rFonts w:asciiTheme="majorHAnsi" w:eastAsia="Calibri" w:hAnsiTheme="majorHAnsi" w:cstheme="majorHAnsi"/>
          <w:color w:val="000000"/>
        </w:rPr>
        <w:t xml:space="preserve">. </w:t>
      </w:r>
    </w:p>
    <w:p w14:paraId="47ED4C50" w14:textId="71BE0C90" w:rsidR="00FB1243" w:rsidRPr="00707030" w:rsidRDefault="007413BF"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The Louisiana</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Louisiana"</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and Mississippi</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Mississippi"</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w:t>
      </w:r>
      <w:r w:rsidR="00BE07A5" w:rsidRPr="00707030">
        <w:rPr>
          <w:rFonts w:asciiTheme="majorHAnsi" w:eastAsia="Calibri" w:hAnsiTheme="majorHAnsi" w:cstheme="majorHAnsi"/>
          <w:color w:val="000000"/>
        </w:rPr>
        <w:t>d</w:t>
      </w:r>
      <w:r w:rsidRPr="00707030">
        <w:rPr>
          <w:rFonts w:asciiTheme="majorHAnsi" w:eastAsia="Calibri" w:hAnsiTheme="majorHAnsi" w:cstheme="majorHAnsi"/>
          <w:color w:val="000000"/>
        </w:rPr>
        <w:t xml:space="preserve">epartments of </w:t>
      </w:r>
      <w:r w:rsidR="00BE07A5" w:rsidRPr="00707030">
        <w:rPr>
          <w:rFonts w:asciiTheme="majorHAnsi" w:eastAsia="Calibri" w:hAnsiTheme="majorHAnsi" w:cstheme="majorHAnsi"/>
          <w:color w:val="000000"/>
        </w:rPr>
        <w:t>i</w:t>
      </w:r>
      <w:r w:rsidRPr="00707030">
        <w:rPr>
          <w:rFonts w:asciiTheme="majorHAnsi" w:eastAsia="Calibri" w:hAnsiTheme="majorHAnsi" w:cstheme="majorHAnsi"/>
          <w:color w:val="000000"/>
        </w:rPr>
        <w:t>nsurance are currently discussing a joint data collection</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Data collection"</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effort to compare insurance market dynamics side by side. Commissioners Chaney and Temple are finalizing the details.</w:t>
      </w:r>
      <w:r w:rsidR="00F20372" w:rsidRPr="00707030">
        <w:rPr>
          <w:rFonts w:asciiTheme="majorHAnsi" w:eastAsia="Calibri" w:hAnsiTheme="majorHAnsi" w:cstheme="majorHAnsi"/>
          <w:color w:val="000000"/>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1"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2"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00AA3DE9">
      <w:pPr>
        <w:pStyle w:val="ListParagraph"/>
        <w:numPr>
          <w:ilvl w:val="0"/>
          <w:numId w:val="65"/>
        </w:numPr>
        <w:pBdr>
          <w:top w:val="nil"/>
          <w:left w:val="nil"/>
          <w:bottom w:val="nil"/>
          <w:right w:val="nil"/>
          <w:between w:val="nil"/>
        </w:pBdr>
        <w:spacing w:after="0"/>
        <w:jc w:val="both"/>
        <w:rPr>
          <w:rFonts w:asciiTheme="majorHAnsi" w:eastAsia="Calibri" w:hAnsiTheme="majorHAnsi" w:cstheme="majorHAnsi"/>
          <w:color w:val="000000"/>
        </w:rPr>
      </w:pPr>
      <w:r w:rsidRPr="00CA36B4">
        <w:rPr>
          <w:rFonts w:asciiTheme="majorHAnsi" w:eastAsia="Calibri" w:hAnsiTheme="majorHAnsi" w:cstheme="majorHAnsi"/>
          <w:color w:val="000000"/>
        </w:rPr>
        <w:t xml:space="preserve">The MID </w:t>
      </w:r>
      <w:r w:rsidR="00577EDD" w:rsidRPr="00CA36B4">
        <w:rPr>
          <w:rFonts w:asciiTheme="majorHAnsi" w:eastAsia="Calibri" w:hAnsiTheme="majorHAnsi" w:cstheme="majorHAnsi"/>
          <w:color w:val="000000"/>
        </w:rPr>
        <w:t>fortifies</w:t>
      </w:r>
      <w:r w:rsidRPr="00CA36B4">
        <w:rPr>
          <w:rFonts w:asciiTheme="majorHAnsi" w:eastAsia="Calibri" w:hAnsiTheme="majorHAnsi" w:cstheme="majorHAnsi"/>
          <w:color w:val="000000"/>
        </w:rPr>
        <w:t xml:space="preserve"> homes along the Mississippi Gulf Coast through the </w:t>
      </w:r>
      <w:hyperlink r:id="rId93" w:tgtFrame="_blank" w:history="1">
        <w:r w:rsidR="00682756" w:rsidRPr="00CA36B4">
          <w:rPr>
            <w:rStyle w:val="Hyperlink"/>
            <w:rFonts w:asciiTheme="majorHAnsi" w:eastAsia="Calibri" w:hAnsiTheme="majorHAnsi" w:cstheme="majorHAnsi"/>
          </w:rPr>
          <w:t>Strengthen Mississippi Homes Program</w:t>
        </w:r>
      </w:hyperlink>
      <w:r w:rsidR="00682756" w:rsidRPr="00CA36B4">
        <w:rPr>
          <w:rFonts w:asciiTheme="majorHAnsi" w:eastAsia="Calibri" w:hAnsiTheme="majorHAnsi" w:cstheme="majorHAnsi"/>
          <w:color w:val="000000"/>
        </w:rPr>
        <w:t xml:space="preserve"> </w:t>
      </w:r>
      <w:r w:rsidRPr="00CA36B4">
        <w:rPr>
          <w:rFonts w:asciiTheme="majorHAnsi" w:eastAsia="Calibri" w:hAnsiTheme="majorHAnsi" w:cstheme="majorHAnsi"/>
          <w:color w:val="000000"/>
        </w:rPr>
        <w:t xml:space="preserve">(SMH). Senate Bill 2409, passed during the 2026 Legislative Session, </w:t>
      </w:r>
      <w:r w:rsidR="008D6C10" w:rsidRPr="00CA36B4">
        <w:rPr>
          <w:rFonts w:asciiTheme="majorHAnsi" w:eastAsia="Calibri" w:hAnsiTheme="majorHAnsi" w:cstheme="majorHAnsi"/>
          <w:color w:val="000000"/>
        </w:rPr>
        <w:t>authorizes the MID to administer this program to help homeowners install stronger, storm-resistant</w:t>
      </w:r>
      <w:r w:rsidRPr="00CA36B4">
        <w:rPr>
          <w:rFonts w:asciiTheme="majorHAnsi" w:eastAsia="Calibri" w:hAnsiTheme="majorHAnsi" w:cstheme="majorHAnsi"/>
          <w:color w:val="000000"/>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00CA36B4">
        <w:rPr>
          <w:rFonts w:asciiTheme="majorHAnsi" w:eastAsia="Calibri" w:hAnsiTheme="majorHAnsi" w:cstheme="majorHAnsi"/>
          <w:color w:val="000000"/>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4"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5">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6">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7">
        <w:r w:rsidRPr="00B6688A">
          <w:rPr>
            <w:rFonts w:asciiTheme="majorHAnsi" w:eastAsia="Calibri" w:hAnsiTheme="majorHAnsi" w:cstheme="majorHAnsi"/>
            <w:color w:val="467886"/>
            <w:u w:val="single"/>
          </w:rPr>
          <w:t>Protect Your Home From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8">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9">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3">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4">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00AA3DE9">
        <w:rPr>
          <w:rFonts w:asciiTheme="majorHAnsi" w:eastAsia="Calibri" w:hAnsiTheme="majorHAnsi" w:cstheme="majorHAnsi"/>
        </w:rPr>
        <w:t>The MID often assists in setting up on-site claims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5">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06">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00AA3DE9">
      <w:pPr>
        <w:pStyle w:val="ListParagraph"/>
        <w:numPr>
          <w:ilvl w:val="0"/>
          <w:numId w:val="67"/>
        </w:numPr>
        <w:pBdr>
          <w:top w:val="nil"/>
          <w:left w:val="nil"/>
          <w:bottom w:val="nil"/>
          <w:right w:val="nil"/>
          <w:between w:val="nil"/>
        </w:pBdr>
        <w:spacing w:after="0"/>
        <w:jc w:val="both"/>
        <w:rPr>
          <w:rFonts w:asciiTheme="majorHAnsi" w:eastAsia="Calibri" w:hAnsiTheme="majorHAnsi" w:cstheme="majorHAnsi"/>
          <w:color w:val="000000"/>
        </w:rPr>
      </w:pPr>
      <w:hyperlink r:id="rId107">
        <w:r w:rsidRPr="00AA3DE9">
          <w:rPr>
            <w:rFonts w:asciiTheme="majorHAnsi" w:eastAsia="Calibri" w:hAnsiTheme="majorHAnsi" w:cstheme="majorHAnsi"/>
            <w:color w:val="0000FF"/>
            <w:u w:val="single"/>
          </w:rPr>
          <w:t>MID</w:t>
        </w:r>
      </w:hyperlink>
      <w:r w:rsidR="007413BF" w:rsidRPr="00AA3DE9">
        <w:rPr>
          <w:rFonts w:asciiTheme="majorHAnsi" w:eastAsia="Calibri" w:hAnsiTheme="majorHAnsi" w:cstheme="majorHAnsi"/>
          <w:color w:val="000000"/>
        </w:rPr>
        <w:t xml:space="preserve"> and </w:t>
      </w:r>
      <w:hyperlink r:id="rId108">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coordinate during disasters through a comprehensive</w:t>
      </w:r>
      <w:r w:rsidR="00891D4C" w:rsidRPr="00AA3DE9">
        <w:rPr>
          <w:rFonts w:asciiTheme="majorHAnsi" w:eastAsia="Calibri" w:hAnsiTheme="majorHAnsi" w:cstheme="majorHAnsi"/>
          <w:color w:val="000000"/>
        </w:rPr>
        <w:t xml:space="preserve">, </w:t>
      </w:r>
      <w:r w:rsidR="007413BF" w:rsidRPr="00AA3DE9">
        <w:rPr>
          <w:rFonts w:asciiTheme="majorHAnsi" w:eastAsia="Calibri" w:hAnsiTheme="majorHAnsi" w:cstheme="majorHAnsi"/>
          <w:color w:val="000000"/>
        </w:rPr>
        <w:t>integrated program</w:t>
      </w:r>
      <w:r w:rsidR="00891D4C" w:rsidRPr="00AA3DE9">
        <w:rPr>
          <w:rFonts w:asciiTheme="majorHAnsi" w:eastAsia="Calibri" w:hAnsiTheme="majorHAnsi" w:cstheme="majorHAnsi"/>
          <w:color w:val="000000"/>
        </w:rPr>
        <w:t>, encompassing</w:t>
      </w:r>
      <w:r w:rsidR="007413BF" w:rsidRPr="00AA3DE9">
        <w:rPr>
          <w:rFonts w:asciiTheme="majorHAnsi" w:eastAsia="Calibri" w:hAnsiTheme="majorHAnsi" w:cstheme="majorHAnsi"/>
          <w:color w:val="000000"/>
        </w:rPr>
        <w:t xml:space="preserve"> disaster preparedness, response, recovery, and mitigation</w:t>
      </w:r>
      <w:r w:rsidR="00870578" w:rsidRPr="00AA3DE9">
        <w:rPr>
          <w:rFonts w:asciiTheme="majorHAnsi" w:eastAsia="Calibri" w:hAnsiTheme="majorHAnsi" w:cstheme="majorHAnsi"/>
          <w:color w:val="000000"/>
        </w:rPr>
        <w:fldChar w:fldCharType="begin"/>
      </w:r>
      <w:r w:rsidR="00870578" w:rsidRPr="00AA3DE9">
        <w:rPr>
          <w:rFonts w:asciiTheme="majorHAnsi" w:eastAsia="Calibri" w:hAnsiTheme="majorHAnsi" w:cstheme="majorHAnsi"/>
          <w:color w:val="000000"/>
        </w:rPr>
        <w:instrText xml:space="preserve"> XE "</w:instrText>
      </w:r>
      <w:r w:rsidR="00870578" w:rsidRPr="00AA3DE9">
        <w:rPr>
          <w:rFonts w:asciiTheme="majorHAnsi" w:hAnsiTheme="majorHAnsi" w:cstheme="majorHAnsi"/>
        </w:rPr>
        <w:instrText>Mitigation"</w:instrText>
      </w:r>
      <w:r w:rsidR="00870578" w:rsidRPr="00AA3DE9">
        <w:rPr>
          <w:rFonts w:asciiTheme="majorHAnsi" w:eastAsia="Calibri" w:hAnsiTheme="majorHAnsi" w:cstheme="majorHAnsi"/>
          <w:color w:val="000000"/>
        </w:rPr>
        <w:instrText xml:space="preserve"> </w:instrText>
      </w:r>
      <w:r w:rsidR="00870578" w:rsidRPr="00AA3DE9">
        <w:rPr>
          <w:rFonts w:asciiTheme="majorHAnsi" w:eastAsia="Calibri" w:hAnsiTheme="majorHAnsi" w:cstheme="majorHAnsi"/>
          <w:color w:val="000000"/>
        </w:rPr>
        <w:fldChar w:fldCharType="end"/>
      </w:r>
      <w:r w:rsidR="007413BF" w:rsidRPr="00AA3DE9">
        <w:rPr>
          <w:rFonts w:asciiTheme="majorHAnsi" w:eastAsia="Calibri" w:hAnsiTheme="majorHAnsi" w:cstheme="majorHAnsi"/>
          <w:color w:val="000000"/>
        </w:rPr>
        <w:t xml:space="preserve"> initiatives. </w:t>
      </w:r>
      <w:hyperlink r:id="rId109">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MID collaborates with </w:t>
      </w:r>
      <w:hyperlink r:id="rId110">
        <w:r w:rsidR="00FB1243" w:rsidRPr="00B6688A">
          <w:rPr>
            <w:rFonts w:asciiTheme="majorHAnsi" w:eastAsia="Calibri" w:hAnsiTheme="majorHAnsi" w:cstheme="majorHAnsi"/>
            <w:color w:val="467886"/>
            <w:u w:val="single"/>
          </w:rPr>
          <w:t>FEMA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Hazard Mitigation Assistanc</w:t>
        </w:r>
        <w:r w:rsidR="009B59EB">
          <w:rPr>
            <w:rFonts w:asciiTheme="majorHAnsi" w:eastAsia="Calibri" w:hAnsiTheme="majorHAnsi" w:cstheme="majorHAnsi"/>
            <w:color w:val="467886"/>
            <w:u w:val="single"/>
          </w:rPr>
          <w:t>e Grants program</w:t>
        </w:r>
      </w:hyperlink>
      <w:r w:rsidRPr="00B6688A">
        <w:rPr>
          <w:rFonts w:asciiTheme="majorHAnsi" w:eastAsia="Calibri" w:hAnsiTheme="majorHAnsi" w:cstheme="majorHAnsi"/>
          <w:color w:val="000000"/>
        </w:rPr>
        <w:t xml:space="preserve"> to provide additional safe room funding. The program provides funding for eligible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1">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2">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2024 Extreme Wind Conference was a significant event held by MID, focusing on the impact of extreme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and the need for effective disaster response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recovery strategies. The conference was held to educate city leaders, insurance regulators, emergency responders, and the insurance industry </w:t>
      </w:r>
      <w:r w:rsidR="00B3729B" w:rsidRPr="00B6688A">
        <w:rPr>
          <w:rFonts w:asciiTheme="majorHAnsi" w:eastAsia="Calibri" w:hAnsiTheme="majorHAnsi" w:cstheme="majorHAnsi"/>
          <w:color w:val="000000"/>
        </w:rPr>
        <w:t xml:space="preserve">on the roles and responsibilities involved in responding to </w:t>
      </w:r>
      <w:r w:rsidRPr="00B6688A">
        <w:rPr>
          <w:rFonts w:asciiTheme="majorHAnsi" w:eastAsia="Calibri" w:hAnsiTheme="majorHAnsi" w:cstheme="majorHAnsi"/>
          <w:color w:val="000000"/>
        </w:rPr>
        <w:t xml:space="preserve">extreme weather events. It also provided </w:t>
      </w:r>
      <w:r w:rsidRPr="00B6688A">
        <w:rPr>
          <w:rFonts w:asciiTheme="majorHAnsi" w:eastAsia="Calibri" w:hAnsiTheme="majorHAnsi" w:cstheme="majorHAnsi"/>
          <w:color w:val="000000"/>
        </w:rPr>
        <w:lastRenderedPageBreak/>
        <w:t>insights into the technology used by insurance companies</w:t>
      </w:r>
      <w:r w:rsidR="009260B1">
        <w:rPr>
          <w:rFonts w:asciiTheme="majorHAnsi" w:eastAsia="Calibri" w:hAnsiTheme="majorHAnsi" w:cstheme="majorHAnsi"/>
          <w:color w:val="000000"/>
        </w:rPr>
        <w:t>, as well as</w:t>
      </w:r>
      <w:r w:rsidRPr="00B6688A">
        <w:rPr>
          <w:rFonts w:asciiTheme="majorHAnsi" w:eastAsia="Calibri" w:hAnsiTheme="majorHAnsi" w:cstheme="majorHAnsi"/>
          <w:color w:val="000000"/>
        </w:rPr>
        <w:t xml:space="preserve"> </w:t>
      </w:r>
      <w:r w:rsidR="00B3729B" w:rsidRPr="00B6688A">
        <w:rPr>
          <w:rFonts w:asciiTheme="majorHAnsi" w:eastAsia="Calibri" w:hAnsiTheme="majorHAnsi" w:cstheme="majorHAnsi"/>
          <w:color w:val="000000"/>
        </w:rPr>
        <w:t>the tools and information city leaders need to support</w:t>
      </w:r>
      <w:r w:rsidRPr="00B6688A">
        <w:rPr>
          <w:rFonts w:asciiTheme="majorHAnsi" w:eastAsia="Calibri" w:hAnsiTheme="majorHAnsi" w:cstheme="majorHAnsi"/>
          <w:color w:val="000000"/>
        </w:rPr>
        <w:t xml:space="preserve"> quick recovery efforts.</w:t>
      </w:r>
      <w:r w:rsidR="00F20372">
        <w:rPr>
          <w:rFonts w:asciiTheme="majorHAnsi" w:eastAsia="Calibri" w:hAnsiTheme="majorHAnsi" w:cstheme="majorHAnsi"/>
          <w:color w:val="000000"/>
        </w:rPr>
        <w:t xml:space="preserve"> </w:t>
      </w:r>
      <w:r w:rsidR="00F20372">
        <w:rPr>
          <w:rFonts w:asciiTheme="majorHAnsi" w:eastAsia="Calibri" w:hAnsiTheme="majorHAnsi" w:cstheme="majorHAnsi"/>
          <w:b/>
          <w:bCs/>
          <w:color w:val="000000"/>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119" w:name="_3wxfpsdxjvh6" w:colFirst="0" w:colLast="0"/>
      <w:bookmarkEnd w:id="119"/>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120" w:name="_lfkpgcq5v8wr" w:colFirst="0" w:colLast="0"/>
      <w:bookmarkStart w:id="121" w:name="_Toc236057883"/>
      <w:bookmarkEnd w:id="120"/>
      <w:r w:rsidRPr="00B6688A">
        <w:rPr>
          <w:rFonts w:asciiTheme="majorHAnsi" w:hAnsiTheme="majorHAnsi" w:cstheme="majorHAnsi"/>
        </w:rPr>
        <w:t>Oklahoma</w:t>
      </w:r>
      <w:bookmarkEnd w:id="12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122" w:name="_vwrjkkuobhzb" w:colFirst="0" w:colLast="0"/>
      <w:bookmarkEnd w:id="122"/>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123" w:name="_507sxwbek9cj" w:colFirst="0" w:colLast="0"/>
      <w:bookmarkEnd w:id="123"/>
      <w:r w:rsidRPr="00B6688A">
        <w:rPr>
          <w:rFonts w:asciiTheme="majorHAnsi" w:hAnsiTheme="majorHAnsi" w:cstheme="majorHAnsi"/>
        </w:rPr>
        <w:t>Reports</w:t>
      </w:r>
    </w:p>
    <w:p w14:paraId="44C2092E" w14:textId="3C8B384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advance a comprehensive, data-driven approach to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a particular emphasis on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severe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state’s efforts are supported by ongoing analytical work, robust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 xml:space="preserve">The report </w:t>
      </w:r>
      <w:hyperlink r:id="rId113">
        <w:r w:rsidRPr="00B6688A">
          <w:rPr>
            <w:rFonts w:asciiTheme="majorHAnsi" w:eastAsia="Calibri" w:hAnsiTheme="majorHAnsi" w:cstheme="majorHAnsi"/>
            <w:i/>
            <w:iCs/>
            <w:color w:val="0000FF"/>
            <w:u w:val="single"/>
          </w:rPr>
          <w:t>Tornado Damage Mitigation: Benefit</w:t>
        </w:r>
        <w:r w:rsidR="00811D9A">
          <w:rPr>
            <w:rFonts w:asciiTheme="majorHAnsi" w:eastAsia="Calibri" w:hAnsiTheme="majorHAnsi" w:cstheme="majorHAnsi"/>
            <w:i/>
            <w:iCs/>
            <w:color w:val="0000FF"/>
            <w:u w:val="single"/>
          </w:rPr>
          <w:t>-</w:t>
        </w:r>
        <w:r w:rsidRPr="00B6688A">
          <w:rPr>
            <w:rFonts w:asciiTheme="majorHAnsi" w:eastAsia="Calibri" w:hAnsiTheme="majorHAnsi" w:cstheme="majorHAnsi"/>
            <w:i/>
            <w:iCs/>
            <w:color w:val="0000FF"/>
            <w:u w:val="single"/>
          </w:rPr>
          <w:t>Cost Analysis of Enhanced Building Codes in Oklahoma</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leverages data provided by the Oklahoma Insurance</w:t>
      </w:r>
      <w:r w:rsidR="00EA0F6F">
        <w:rPr>
          <w:rFonts w:asciiTheme="majorHAnsi" w:eastAsia="Calibri" w:hAnsiTheme="majorHAnsi" w:cstheme="majorHAnsi"/>
        </w:rPr>
        <w:t xml:space="preserve"> Department</w:t>
      </w:r>
      <w:r w:rsidRPr="00B6688A">
        <w:rPr>
          <w:rFonts w:asciiTheme="majorHAnsi" w:eastAsia="Calibri" w:hAnsiTheme="majorHAnsi" w:cstheme="majorHAnsi"/>
        </w:rPr>
        <w:t xml:space="preserve"> (OID) to quantify the economic and safety benefits of stronger construction standards. This analysis underscores the value of pre-disaster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124" w:name="_g9fxhn5zbwxq" w:colFirst="0" w:colLast="0"/>
      <w:bookmarkEnd w:id="124"/>
      <w:r w:rsidRPr="00B6688A">
        <w:rPr>
          <w:rFonts w:asciiTheme="majorHAnsi" w:hAnsiTheme="majorHAnsi" w:cstheme="majorHAnsi"/>
        </w:rPr>
        <w:t>Data Collection</w:t>
      </w:r>
    </w:p>
    <w:p w14:paraId="41ECBB5D" w14:textId="2B04369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commitment to high-quality data is also reflected in its structured approach to information gathering before and after major disasters. Through coordinated </w:t>
      </w:r>
      <w:hyperlink r:id="rId114" w:anchor="1641846305882-000cb9a3-f80c" w:history="1">
        <w:r w:rsidRPr="006F5312">
          <w:rPr>
            <w:rStyle w:val="Hyperlink"/>
            <w:rFonts w:asciiTheme="majorHAnsi" w:eastAsia="Calibri" w:hAnsiTheme="majorHAnsi" w:cstheme="majorHAnsi"/>
          </w:rPr>
          <w:t>pre- and post-disaster data calls</w:t>
        </w:r>
      </w:hyperlink>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 collects critical information on damage, claims, and homeowner needs, enabling faster responses, improved situational awareness, and more accurate assessments of long-term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125" w:name="_amz1avilpnof" w:colFirst="0" w:colLast="0"/>
      <w:bookmarkEnd w:id="125"/>
      <w:r w:rsidRPr="00B6688A">
        <w:rPr>
          <w:rFonts w:asciiTheme="majorHAnsi" w:hAnsiTheme="majorHAnsi" w:cstheme="majorHAnsi"/>
        </w:rPr>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5">
        <w:r w:rsidRPr="00B6688A">
          <w:rPr>
            <w:rFonts w:asciiTheme="majorHAnsi" w:eastAsia="Calibri" w:hAnsiTheme="majorHAnsi" w:cstheme="majorHAnsi"/>
            <w:color w:val="0000FF"/>
            <w:u w:val="single"/>
          </w:rPr>
          <w:t>SoonerSafe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offers 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16">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17" w:anchor="1733437142116-a883cf08-1c11">
        <w:r w:rsidRPr="00B6688A">
          <w:rPr>
            <w:rFonts w:asciiTheme="majorHAnsi" w:eastAsia="Calibri" w:hAnsiTheme="majorHAnsi" w:cstheme="majorHAnsi"/>
            <w:color w:val="0000FF"/>
            <w:u w:val="single"/>
          </w:rPr>
          <w:t>OKReady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18"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126" w:name="_dx4jwi2vejg9" w:colFirst="0" w:colLast="0"/>
      <w:bookmarkEnd w:id="126"/>
      <w:r w:rsidRPr="00B6688A">
        <w:rPr>
          <w:rFonts w:asciiTheme="majorHAnsi" w:hAnsiTheme="majorHAnsi" w:cstheme="majorHAnsi"/>
        </w:rPr>
        <w:t>Consumer Outreach</w:t>
      </w:r>
    </w:p>
    <w:p w14:paraId="7E91DC17" w14:textId="466E12C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remain a cornerstone of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preparedness strategy. </w:t>
      </w:r>
      <w:r w:rsidR="001338D4">
        <w:rPr>
          <w:rFonts w:asciiTheme="majorHAnsi" w:eastAsia="Calibri" w:hAnsiTheme="majorHAnsi" w:cstheme="majorHAnsi"/>
        </w:rPr>
        <w:t xml:space="preserve">The </w:t>
      </w:r>
      <w:r w:rsidRPr="00B6688A">
        <w:rPr>
          <w:rFonts w:asciiTheme="majorHAnsi" w:eastAsia="Calibri" w:hAnsiTheme="majorHAnsi" w:cstheme="majorHAnsi"/>
        </w:rPr>
        <w:t>OID regularly distributes public bulletins</w:t>
      </w:r>
      <w:r w:rsidR="009C09D1">
        <w:rPr>
          <w:rFonts w:asciiTheme="majorHAnsi" w:eastAsia="Calibri" w:hAnsiTheme="majorHAnsi" w:cstheme="majorHAnsi"/>
        </w:rPr>
        <w:t xml:space="preserve">, </w:t>
      </w:r>
      <w:r w:rsidRPr="00B6688A">
        <w:rPr>
          <w:rFonts w:asciiTheme="majorHAnsi" w:eastAsia="Calibri" w:hAnsiTheme="majorHAnsi" w:cstheme="majorHAnsi"/>
        </w:rPr>
        <w:t xml:space="preserve">such as </w:t>
      </w:r>
      <w:r w:rsidRPr="00AA3DE9">
        <w:rPr>
          <w:rFonts w:asciiTheme="majorHAnsi" w:eastAsia="Calibri" w:hAnsiTheme="majorHAnsi" w:cstheme="majorHAnsi"/>
        </w:rPr>
        <w:t>“Are You Ready for Storm Season?”</w:t>
      </w:r>
      <w:r w:rsidR="001804E8">
        <w:rPr>
          <w:rFonts w:asciiTheme="majorHAnsi" w:eastAsia="Calibri" w:hAnsiTheme="majorHAnsi" w:cstheme="majorHAnsi"/>
          <w:i/>
          <w:iCs/>
        </w:rPr>
        <w:t xml:space="preserve"> </w:t>
      </w:r>
      <w:r w:rsidRPr="00B6688A">
        <w:rPr>
          <w:rFonts w:asciiTheme="majorHAnsi" w:eastAsia="Calibri" w:hAnsiTheme="majorHAnsi" w:cstheme="majorHAnsi"/>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19">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After disasters,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deploys </w:t>
      </w:r>
      <w:r w:rsidR="001804E8" w:rsidRPr="00B6688A">
        <w:rPr>
          <w:rFonts w:asciiTheme="majorHAnsi" w:eastAsia="Calibri" w:hAnsiTheme="majorHAnsi" w:cstheme="majorHAnsi"/>
        </w:rPr>
        <w:t>multi-agency resource centers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804E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(MARCs) to offer on-site assistance, and the state maintains ongoing investments in </w:t>
      </w:r>
      <w:hyperlink r:id="rId120">
        <w:r w:rsidR="001804E8">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tatewide public education campaigns and early warning investments</w:t>
        </w:r>
      </w:hyperlink>
      <w:r w:rsidRPr="00B6688A">
        <w:rPr>
          <w:rFonts w:asciiTheme="majorHAnsi" w:eastAsia="Calibri" w:hAnsiTheme="majorHAnsi" w:cstheme="majorHAnsi"/>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127" w:name="_an6tphifp29l" w:colFirst="0" w:colLast="0"/>
      <w:bookmarkEnd w:id="127"/>
      <w:r w:rsidRPr="00B6688A">
        <w:rPr>
          <w:rFonts w:asciiTheme="majorHAnsi" w:hAnsiTheme="majorHAnsi" w:cstheme="majorHAnsi"/>
        </w:rPr>
        <w:t>Partnerships</w:t>
      </w:r>
    </w:p>
    <w:p w14:paraId="0B2C663F" w14:textId="5BC32BC1"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These efforts are strengthened by collaborative partnerships across state agencies and external organizations. </w:t>
      </w:r>
      <w:r w:rsidR="001804E8">
        <w:rPr>
          <w:rFonts w:asciiTheme="majorHAnsi" w:eastAsia="Calibri" w:hAnsiTheme="majorHAnsi" w:cstheme="majorHAnsi"/>
        </w:rPr>
        <w:t xml:space="preserve">The </w:t>
      </w:r>
      <w:r w:rsidRPr="00B6688A">
        <w:rPr>
          <w:rFonts w:asciiTheme="majorHAnsi" w:eastAsia="Calibri" w:hAnsiTheme="majorHAnsi" w:cstheme="majorHAnsi"/>
        </w:rPr>
        <w:t>OID works closely with the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Emergency Management (OEM) to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and coordinate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lastRenderedPageBreak/>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128" w:name="_Toc236057884"/>
      <w:r w:rsidRPr="00B6688A">
        <w:rPr>
          <w:rFonts w:asciiTheme="majorHAnsi" w:hAnsiTheme="majorHAnsi" w:cstheme="majorHAnsi"/>
        </w:rPr>
        <w:t>Wyoming</w:t>
      </w:r>
      <w:bookmarkEnd w:id="12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significantly affected by roof and siding damage resulting from high winds,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occasional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the eastern plains being particularly susceptible. The region experiences elevated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wind and hail claims rather than traditional flat-dollar amounts.</w:t>
      </w:r>
    </w:p>
    <w:p w14:paraId="47ED4C78" w14:textId="0F1A4F94"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Reports</w:t>
      </w:r>
    </w:p>
    <w:p w14:paraId="47ED4C79" w14:textId="7F6B872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does not regulate insurance rates or rules; however, the Wyoming Department of Insurance (DOI) has recently </w:t>
      </w:r>
      <w:r w:rsidR="00483E81" w:rsidRPr="00B6688A">
        <w:rPr>
          <w:rFonts w:asciiTheme="majorHAnsi" w:eastAsia="Calibri" w:hAnsiTheme="majorHAnsi" w:cstheme="majorHAnsi"/>
        </w:rPr>
        <w:t>issued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483E81" w:rsidRPr="00B6688A">
        <w:rPr>
          <w:rFonts w:asciiTheme="majorHAnsi" w:eastAsia="Calibri" w:hAnsiTheme="majorHAnsi" w:cstheme="majorHAnsi"/>
        </w:rPr>
        <w:t xml:space="preserve"> regarding rules for</w:t>
      </w:r>
      <w:r w:rsidRPr="00B6688A">
        <w:rPr>
          <w:rFonts w:asciiTheme="majorHAnsi" w:eastAsia="Calibri" w:hAnsiTheme="majorHAnsi" w:cstheme="majorHAnsi"/>
        </w:rPr>
        <w:t xml:space="preserve"> the top seven companies selling homeowners insurance. This initiative was prompted by changes in policy language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129" w:name="_vysbm8aozhh2" w:colFirst="0" w:colLast="0"/>
      <w:bookmarkEnd w:id="129"/>
      <w:r w:rsidRPr="00B6688A">
        <w:rPr>
          <w:rFonts w:asciiTheme="majorHAnsi" w:hAnsiTheme="majorHAnsi" w:cstheme="majorHAnsi"/>
        </w:rPr>
        <w:t>Data Collection</w:t>
      </w:r>
    </w:p>
    <w:p w14:paraId="47ED4C7C" w14:textId="3BDD54C3"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Recent data calls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focused on the top seven homeowners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130" w:name="_8a1cbmeyrxi6" w:colFirst="0" w:colLast="0"/>
      <w:bookmarkEnd w:id="130"/>
      <w:r w:rsidRPr="00B6688A">
        <w:rPr>
          <w:rFonts w:asciiTheme="majorHAnsi" w:hAnsiTheme="majorHAnsi" w:cstheme="majorHAnsi"/>
        </w:rPr>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131" w:name="_mhcav6p6dzbk" w:colFirst="0" w:colLast="0"/>
      <w:bookmarkEnd w:id="131"/>
      <w:r w:rsidRPr="00B6688A">
        <w:rPr>
          <w:rFonts w:asciiTheme="majorHAnsi" w:hAnsiTheme="majorHAnsi" w:cstheme="majorHAnsi"/>
        </w:rPr>
        <w:lastRenderedPageBreak/>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132" w:name="_dwxnaok98k28" w:colFirst="0" w:colLast="0"/>
      <w:bookmarkEnd w:id="132"/>
      <w:r w:rsidRPr="00B6688A">
        <w:rPr>
          <w:rFonts w:asciiTheme="majorHAnsi" w:hAnsiTheme="majorHAnsi" w:cstheme="majorHAnsi"/>
        </w:rPr>
        <w:t>Partnerships</w:t>
      </w:r>
    </w:p>
    <w:p w14:paraId="47ED4C88" w14:textId="34E8F8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 regularly communicates with professional trade organizations representing </w:t>
      </w:r>
      <w:r w:rsidR="008F4222">
        <w:rPr>
          <w:rFonts w:asciiTheme="majorHAnsi" w:eastAsia="Calibri" w:hAnsiTheme="majorHAnsi" w:cstheme="majorHAnsi"/>
        </w:rPr>
        <w:t>P/C</w:t>
      </w:r>
      <w:r w:rsidRPr="00B6688A">
        <w:rPr>
          <w:rFonts w:asciiTheme="majorHAnsi" w:eastAsia="Calibri" w:hAnsiTheme="majorHAnsi" w:cstheme="majorHAnsi"/>
        </w:rPr>
        <w:t xml:space="preserve"> </w:t>
      </w:r>
      <w:r w:rsidR="008F4222">
        <w:rPr>
          <w:rFonts w:asciiTheme="majorHAnsi" w:eastAsia="Calibri" w:hAnsiTheme="majorHAnsi" w:cstheme="majorHAnsi"/>
        </w:rPr>
        <w:t>i</w:t>
      </w:r>
      <w:r w:rsidRPr="00B6688A">
        <w:rPr>
          <w:rFonts w:asciiTheme="majorHAnsi" w:eastAsia="Calibri" w:hAnsiTheme="majorHAnsi" w:cstheme="majorHAnsi"/>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133" w:name="_Toc236057885"/>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13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134" w:name="_i4qkbaqgohyd" w:colFirst="0" w:colLast="0"/>
      <w:bookmarkStart w:id="135" w:name="_Toc236057886"/>
      <w:bookmarkEnd w:id="134"/>
      <w:r w:rsidRPr="00B6688A">
        <w:rPr>
          <w:rFonts w:asciiTheme="majorHAnsi" w:hAnsiTheme="majorHAnsi" w:cstheme="majorHAnsi"/>
        </w:rPr>
        <w:t>Overview</w:t>
      </w:r>
      <w:bookmarkEnd w:id="135"/>
    </w:p>
    <w:p w14:paraId="47ED4C8C" w14:textId="635C81BC" w:rsidR="00FB1243" w:rsidRPr="00B6688A" w:rsidRDefault="007413BF" w:rsidP="002000C4">
      <w:pPr>
        <w:jc w:val="both"/>
        <w:rPr>
          <w:rFonts w:asciiTheme="majorHAnsi" w:hAnsiTheme="majorHAnsi" w:cstheme="majorHAnsi"/>
        </w:rPr>
      </w:pPr>
      <w:r w:rsidRPr="00B6688A">
        <w:rPr>
          <w:rFonts w:asciiTheme="majorHAnsi" w:hAnsiTheme="majorHAnsi" w:cstheme="majorHAnsi"/>
        </w:rPr>
        <w:t>Wildfires impose shocking human losses and costs on property owners, homeowners, renters, and businesses, and disrupt and depress local economies. Globally,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burned through nearly one billion acres in 2025</w:t>
      </w:r>
      <w:r w:rsidR="008F4222">
        <w:rPr>
          <w:rFonts w:asciiTheme="majorHAnsi" w:hAnsiTheme="majorHAnsi" w:cstheme="majorHAnsi"/>
        </w:rPr>
        <w:t xml:space="preserve">, which is </w:t>
      </w:r>
      <w:r w:rsidRPr="00B6688A">
        <w:rPr>
          <w:rFonts w:asciiTheme="majorHAnsi" w:hAnsiTheme="majorHAnsi" w:cstheme="majorHAnsi"/>
        </w:rPr>
        <w:t>equivalent to 44% of the entire United States’ land area</w:t>
      </w:r>
      <w:r w:rsidR="00C170D5">
        <w:rPr>
          <w:rFonts w:asciiTheme="majorHAnsi" w:hAnsiTheme="majorHAnsi" w:cstheme="majorHAnsi"/>
        </w:rPr>
        <w:t>. Y</w:t>
      </w:r>
      <w:r w:rsidRPr="00B6688A">
        <w:rPr>
          <w:rFonts w:asciiTheme="majorHAnsi" w:hAnsiTheme="majorHAnsi" w:cstheme="majorHAnsi"/>
        </w:rPr>
        <w:t>et the costliest event of the year, the January fires in and around Los Angeles, burned just 57,000 acres while causing more than $53 billion in damage.</w:t>
      </w:r>
      <w:r w:rsidRPr="00B6688A">
        <w:rPr>
          <w:rFonts w:asciiTheme="majorHAnsi" w:hAnsiTheme="majorHAnsi" w:cstheme="majorHAnsi"/>
          <w:vertAlign w:val="superscript"/>
        </w:rPr>
        <w:footnoteReference w:id="137"/>
      </w:r>
      <w:r w:rsidRPr="00B6688A">
        <w:rPr>
          <w:rFonts w:asciiTheme="majorHAnsi" w:hAnsiTheme="majorHAnsi" w:cstheme="majorHAnsi"/>
        </w:rPr>
        <w:t xml:space="preserv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drought-stressed forests and wildland-urban interface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more frequently.</w:t>
      </w:r>
      <w:r w:rsidRPr="00B6688A">
        <w:rPr>
          <w:rFonts w:asciiTheme="majorHAnsi" w:hAnsiTheme="majorHAnsi" w:cstheme="majorHAnsi"/>
          <w:vertAlign w:val="superscript"/>
        </w:rPr>
        <w:footnoteReference w:id="138"/>
      </w:r>
      <w:r w:rsidRPr="00B6688A">
        <w:rPr>
          <w:rFonts w:asciiTheme="majorHAnsi" w:hAnsiTheme="majorHAnsi" w:cstheme="majorHAnsi"/>
          <w:vertAlign w:val="superscript"/>
        </w:rPr>
        <w:t>,</w:t>
      </w:r>
      <w:r w:rsidRPr="00B6688A">
        <w:rPr>
          <w:rFonts w:asciiTheme="majorHAnsi" w:hAnsiTheme="majorHAnsi" w:cstheme="majorHAnsi"/>
          <w:vertAlign w:val="superscript"/>
        </w:rPr>
        <w:footnoteReference w:id="139"/>
      </w:r>
      <w:r w:rsidRPr="00B6688A">
        <w:rPr>
          <w:rFonts w:asciiTheme="majorHAnsi" w:hAnsiTheme="majorHAnsi" w:cstheme="majorHAnsi"/>
        </w:rPr>
        <w:t xml:space="preserve"> In some regions, persistent housing shortages and affordability pressures in urban cores have also intersected with these trends, contributing to residential development </w:t>
      </w:r>
      <w:r w:rsidRPr="00B6688A">
        <w:rPr>
          <w:rFonts w:asciiTheme="majorHAnsi" w:hAnsiTheme="majorHAnsi" w:cstheme="majorHAnsi"/>
        </w:rPr>
        <w:lastRenderedPageBreak/>
        <w:t>in higher</w:t>
      </w:r>
      <w:r w:rsidRPr="00B6688A">
        <w:rPr>
          <w:rFonts w:ascii="Cambria Math" w:eastAsia="Cambria Math" w:hAnsi="Cambria Math" w:cs="Cambria Math"/>
        </w:rPr>
        <w:t>‑</w:t>
      </w:r>
      <w:r w:rsidRPr="00B6688A">
        <w:rPr>
          <w:rFonts w:asciiTheme="majorHAnsi" w:hAnsiTheme="majorHAnsi" w:cstheme="majorHAnsi"/>
        </w:rPr>
        <w:t>risk WUI areas alongside other market and geographic factors.</w:t>
      </w:r>
      <w:r w:rsidRPr="00B6688A">
        <w:rPr>
          <w:rFonts w:asciiTheme="majorHAnsi" w:hAnsiTheme="majorHAnsi" w:cstheme="majorHAnsi"/>
          <w:vertAlign w:val="superscript"/>
        </w:rPr>
        <w:footnoteReference w:id="140"/>
      </w:r>
      <w:r w:rsidRPr="00B6688A">
        <w:rPr>
          <w:rFonts w:asciiTheme="majorHAnsi" w:hAnsiTheme="majorHAnsi" w:cstheme="majorHAnsi"/>
        </w:rPr>
        <w:t xml:space="preserve"> California</w:t>
      </w:r>
      <w:r w:rsidR="005C2E2B">
        <w:rPr>
          <w:rFonts w:asciiTheme="majorHAnsi" w:hAnsiTheme="majorHAnsi" w:cstheme="majorHAnsi"/>
        </w:rPr>
        <w:t>’s</w:t>
      </w:r>
      <w:r w:rsidRPr="00B6688A">
        <w:rPr>
          <w:rFonts w:asciiTheme="majorHAnsi" w:hAnsiTheme="majorHAnsi" w:cstheme="majorHAnsi"/>
        </w:rPr>
        <w:t xml:space="preserve"> Fourth Climate</w:t>
      </w:r>
      <w:r w:rsidR="005C2E2B">
        <w:rPr>
          <w:rFonts w:asciiTheme="majorHAnsi" w:hAnsiTheme="majorHAnsi" w:cstheme="majorHAnsi"/>
        </w:rPr>
        <w:t xml:space="preserve"> Change</w:t>
      </w:r>
      <w:r w:rsidRPr="00B6688A">
        <w:rPr>
          <w:rFonts w:asciiTheme="majorHAnsi" w:hAnsiTheme="majorHAnsi" w:cstheme="majorHAnsi"/>
        </w:rPr>
        <w:t xml:space="preserve"> Assessment found that, if greenhouse gas emissions continue to rise, the frequency of extreme wildfires will increase, and the average area burned statewide will grow by 77</w:t>
      </w:r>
      <w:r w:rsidR="00C170D5">
        <w:rPr>
          <w:rFonts w:asciiTheme="majorHAnsi" w:hAnsiTheme="majorHAnsi" w:cstheme="majorHAnsi"/>
        </w:rPr>
        <w:t>%</w:t>
      </w:r>
      <w:r w:rsidRPr="00B6688A">
        <w:rPr>
          <w:rFonts w:asciiTheme="majorHAnsi" w:hAnsiTheme="majorHAnsi" w:cstheme="majorHAnsi"/>
        </w:rPr>
        <w:t xml:space="preserve"> by 2100. In recent years, challenges with wildfire insurance availability and affordability have significantly increased. </w:t>
      </w:r>
    </w:p>
    <w:p w14:paraId="47ED4C8D" w14:textId="6EEA0719" w:rsidR="00FB1243" w:rsidRPr="00B6688A" w:rsidRDefault="007413BF" w:rsidP="002000C4">
      <w:pPr>
        <w:jc w:val="both"/>
        <w:rPr>
          <w:rFonts w:asciiTheme="majorHAnsi" w:hAnsiTheme="majorHAnsi" w:cstheme="majorHAnsi"/>
        </w:rPr>
      </w:pPr>
      <w:r w:rsidRPr="00B6688A">
        <w:rPr>
          <w:rFonts w:asciiTheme="majorHAnsi" w:hAnsiTheme="majorHAnsi" w:cstheme="majorHAnsi"/>
        </w:rPr>
        <w:t>In multiple western states, drought and invasive pests</w:t>
      </w:r>
      <w:r w:rsidR="00C170D5">
        <w:rPr>
          <w:rFonts w:asciiTheme="majorHAnsi" w:hAnsiTheme="majorHAnsi" w:cstheme="majorHAnsi"/>
        </w:rPr>
        <w:t>,</w:t>
      </w:r>
      <w:r w:rsidRPr="00B6688A">
        <w:rPr>
          <w:rFonts w:asciiTheme="majorHAnsi" w:hAnsiTheme="majorHAnsi" w:cstheme="majorHAnsi"/>
        </w:rPr>
        <w:t xml:space="preserve"> such as bark beetles</w:t>
      </w:r>
      <w:r w:rsidR="00C170D5">
        <w:rPr>
          <w:rFonts w:asciiTheme="majorHAnsi" w:hAnsiTheme="majorHAnsi" w:cstheme="majorHAnsi"/>
        </w:rPr>
        <w:t>,</w:t>
      </w:r>
      <w:r w:rsidRPr="00B6688A">
        <w:rPr>
          <w:rFonts w:asciiTheme="majorHAnsi" w:hAnsiTheme="majorHAnsi" w:cstheme="majorHAnsi"/>
        </w:rPr>
        <w:t xml:space="preserve"> have made some forests highly flammable, and increased development in these areas could raise the risk of large fires and limit insurance options. Officials warn that unchecked expansion into forests may lead to insurance problems similar to those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prompting a focus on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grants"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potential regulatory action. Across the western U.S., drought and increased outdoor recreation have led to a significant increase in human-caused fires, as fuel buildup and drought make the areas more combustible. As the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expands and fire seasons lengthen,</w:t>
      </w:r>
      <w:r w:rsidR="00F20372">
        <w:rPr>
          <w:rFonts w:asciiTheme="majorHAnsi" w:hAnsiTheme="majorHAnsi" w:cstheme="majorHAnsi"/>
        </w:rPr>
        <w:t xml:space="preserve"> </w:t>
      </w:r>
      <w:r w:rsidRPr="00B6688A">
        <w:rPr>
          <w:rFonts w:asciiTheme="majorHAnsi" w:hAnsiTheme="majorHAnsi" w:cstheme="majorHAnsi"/>
        </w:rPr>
        <w:t>several western states face rising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and volatile insurance markets. This section provides an overview of the tools and strategies California,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136" w:name="_q4lf9pged5ei" w:colFirst="0" w:colLast="0"/>
      <w:bookmarkStart w:id="137" w:name="_Toc236057887"/>
      <w:bookmarkEnd w:id="136"/>
      <w:r w:rsidRPr="00B6688A">
        <w:rPr>
          <w:rFonts w:asciiTheme="majorHAnsi" w:hAnsiTheme="majorHAnsi" w:cstheme="majorHAnsi"/>
        </w:rPr>
        <w:t>California</w:t>
      </w:r>
      <w:bookmarkEnd w:id="13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024C4607"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approach to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costs, and gaps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implementation. As wildfire risk has intensified, California has experienced reduced insurer participation in parts of the property insurance market, increased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some regions, and growing reliance on the California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response, the California Department of Insurance (CDI) has pursued a multi-pronged strategy that combines regulatory reforms centered on consumer protection, mitigation incentives, innovative approaches to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risk assessment, and stakeholder engagement and collaboration.</w:t>
      </w:r>
    </w:p>
    <w:p w14:paraId="47ED4C91" w14:textId="4327245A"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The sections that follow describe the range of public policy tools</w:t>
      </w:r>
      <w:r w:rsidR="0053085F">
        <w:rPr>
          <w:rFonts w:asciiTheme="majorHAnsi" w:eastAsia="Calibri" w:hAnsiTheme="majorHAnsi" w:cstheme="majorHAnsi"/>
        </w:rPr>
        <w:t xml:space="preserve"> the</w:t>
      </w:r>
      <w:r w:rsidRPr="00B6688A">
        <w:rPr>
          <w:rFonts w:asciiTheme="majorHAnsi" w:eastAsia="Calibri" w:hAnsiTheme="majorHAnsi" w:cstheme="majorHAnsi"/>
        </w:rPr>
        <w:t xml:space="preserve"> CDI uses to develop and support this strategy. These include collaborative reports and roadmaps that help establish policy direction and inform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regulations that modernize the regulatory framework through measures such as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t>
      </w:r>
      <w:r w:rsidRPr="00B6688A">
        <w:rPr>
          <w:rFonts w:asciiTheme="majorHAnsi" w:eastAsia="Calibri" w:hAnsiTheme="majorHAnsi" w:cstheme="majorHAnsi"/>
        </w:rPr>
        <w:lastRenderedPageBreak/>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public modeling, research partnerships, and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aligning these complementary tools and measures, </w:t>
      </w:r>
      <w:r w:rsidR="00D53FC3">
        <w:rPr>
          <w:rFonts w:asciiTheme="majorHAnsi" w:eastAsia="Calibri" w:hAnsiTheme="majorHAnsi" w:cstheme="majorHAnsi"/>
        </w:rPr>
        <w:t xml:space="preserve">the </w:t>
      </w:r>
      <w:r w:rsidRPr="00B6688A">
        <w:rPr>
          <w:rFonts w:asciiTheme="majorHAnsi" w:eastAsia="Calibri" w:hAnsiTheme="majorHAnsi" w:cstheme="majorHAnsi"/>
        </w:rPr>
        <w:t>CDI seeks to restore competition in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reduce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improve resilience and long-term insurance accessibility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00926DA4">
      <w:pPr>
        <w:jc w:val="both"/>
        <w:rPr>
          <w:rFonts w:asciiTheme="majorHAnsi" w:eastAsia="Calibri" w:hAnsiTheme="majorHAnsi" w:cstheme="majorHAnsi"/>
        </w:rPr>
      </w:pPr>
      <w:hyperlink r:id="rId121">
        <w:r w:rsidRPr="009179D1">
          <w:rPr>
            <w:rFonts w:asciiTheme="majorHAnsi" w:eastAsia="Calibri" w:hAnsiTheme="majorHAnsi" w:cstheme="majorHAnsi"/>
            <w:b/>
            <w:bCs/>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D53FC3">
        <w:rPr>
          <w:rFonts w:asciiTheme="majorHAnsi" w:eastAsia="Calibri" w:hAnsiTheme="majorHAnsi" w:cstheme="majorHAnsi"/>
        </w:rPr>
        <w:t xml:space="preserve">recommend </w:t>
      </w:r>
      <w:r w:rsidRPr="00B6688A">
        <w:rPr>
          <w:rFonts w:asciiTheme="majorHAnsi" w:eastAsia="Calibri" w:hAnsiTheme="majorHAnsi" w:cstheme="majorHAnsi"/>
        </w:rPr>
        <w:t>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9179D1">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2">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It addresses different strategies to reduce risks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250756">
        <w:rPr>
          <w:rFonts w:asciiTheme="majorHAnsi" w:eastAsia="Calibri" w:hAnsiTheme="majorHAnsi" w:cstheme="majorHAnsi"/>
        </w:rPr>
        <w:t>c</w:t>
      </w:r>
      <w:r w:rsidRPr="00B6688A">
        <w:rPr>
          <w:rFonts w:asciiTheme="majorHAnsi" w:eastAsia="Calibri" w:hAnsiTheme="majorHAnsi" w:cstheme="majorHAnsi"/>
        </w:rPr>
        <w:t>ollaborat</w:t>
      </w:r>
      <w:r w:rsidR="00250756">
        <w:rPr>
          <w:rFonts w:asciiTheme="majorHAnsi" w:eastAsia="Calibri" w:hAnsiTheme="majorHAnsi" w:cstheme="majorHAnsi"/>
        </w:rPr>
        <w:t>ing</w:t>
      </w:r>
      <w:r w:rsidRPr="00B6688A">
        <w:rPr>
          <w:rFonts w:asciiTheme="majorHAnsi" w:eastAsia="Calibri" w:hAnsiTheme="majorHAnsi" w:cstheme="majorHAnsi"/>
        </w:rPr>
        <w:t xml:space="preserve"> with state agencies and engag</w:t>
      </w:r>
      <w:r w:rsidR="00250756">
        <w:rPr>
          <w:rFonts w:asciiTheme="majorHAnsi" w:eastAsia="Calibri" w:hAnsiTheme="majorHAnsi" w:cstheme="majorHAnsi"/>
        </w:rPr>
        <w:t>ing</w:t>
      </w:r>
      <w:r w:rsidRPr="00B6688A">
        <w:rPr>
          <w:rFonts w:asciiTheme="majorHAnsi" w:eastAsia="Calibri" w:hAnsiTheme="majorHAnsi" w:cstheme="majorHAnsi"/>
        </w:rPr>
        <w:t xml:space="preserve"> with risk scientists to establish a list of home and community hardening actions (</w:t>
      </w:r>
      <w:r w:rsidR="00250756">
        <w:rPr>
          <w:rFonts w:asciiTheme="majorHAnsi" w:eastAsia="Calibri" w:hAnsiTheme="majorHAnsi" w:cstheme="majorHAnsi"/>
        </w:rPr>
        <w:t>refer to</w:t>
      </w:r>
      <w:r w:rsidR="007C007D">
        <w:rPr>
          <w:rFonts w:asciiTheme="majorHAnsi" w:eastAsia="Calibri" w:hAnsiTheme="majorHAnsi" w:cstheme="majorHAnsi"/>
        </w:rPr>
        <w:t xml:space="preserve"> the</w:t>
      </w:r>
      <w:r w:rsidR="00250756" w:rsidRPr="00B6688A">
        <w:rPr>
          <w:rFonts w:asciiTheme="majorHAnsi" w:eastAsia="Calibri" w:hAnsiTheme="majorHAnsi" w:cstheme="majorHAnsi"/>
        </w:rPr>
        <w:t xml:space="preserve"> </w:t>
      </w:r>
      <w:hyperlink r:id="rId123" w:history="1">
        <w:r w:rsidRPr="00CD63DC">
          <w:rPr>
            <w:rStyle w:val="Hyperlink"/>
            <w:rFonts w:asciiTheme="majorHAnsi" w:eastAsia="Calibri" w:hAnsiTheme="majorHAnsi" w:cstheme="majorHAnsi"/>
          </w:rPr>
          <w:t>Required Wildfire Mitigation Discounts Regulation</w:t>
        </w:r>
      </w:hyperlink>
      <w:r w:rsidRPr="00B6688A">
        <w:rPr>
          <w:rFonts w:asciiTheme="majorHAnsi" w:eastAsia="Calibri" w:hAnsiTheme="majorHAnsi" w:cstheme="majorHAnsi"/>
        </w:rPr>
        <w:t>)</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s</w:t>
      </w:r>
      <w:r w:rsidRPr="00B6688A">
        <w:rPr>
          <w:rFonts w:asciiTheme="majorHAnsi" w:eastAsia="Calibri" w:hAnsiTheme="majorHAnsi" w:cstheme="majorHAnsi"/>
        </w:rPr>
        <w:t>upport</w:t>
      </w:r>
      <w:r w:rsidR="00250756">
        <w:rPr>
          <w:rFonts w:asciiTheme="majorHAnsi" w:eastAsia="Calibri" w:hAnsiTheme="majorHAnsi" w:cstheme="majorHAnsi"/>
        </w:rPr>
        <w:t>ing</w:t>
      </w:r>
      <w:r w:rsidRPr="00B6688A">
        <w:rPr>
          <w:rFonts w:asciiTheme="majorHAnsi" w:eastAsia="Calibri" w:hAnsiTheme="majorHAnsi" w:cstheme="majorHAnsi"/>
        </w:rPr>
        <w:t xml:space="preserve"> </w:t>
      </w:r>
      <w:r w:rsidR="00250756">
        <w:rPr>
          <w:rFonts w:asciiTheme="majorHAnsi" w:eastAsia="Calibri" w:hAnsiTheme="majorHAnsi" w:cstheme="majorHAnsi"/>
        </w:rPr>
        <w:t>c</w:t>
      </w:r>
      <w:r w:rsidRPr="00B6688A">
        <w:rPr>
          <w:rFonts w:asciiTheme="majorHAnsi" w:eastAsia="Calibri" w:hAnsiTheme="majorHAnsi" w:cstheme="majorHAnsi"/>
        </w:rPr>
        <w:t xml:space="preserve">ultural and </w:t>
      </w:r>
      <w:r w:rsidR="00250756">
        <w:rPr>
          <w:rFonts w:asciiTheme="majorHAnsi" w:eastAsia="Calibri" w:hAnsiTheme="majorHAnsi" w:cstheme="majorHAnsi"/>
        </w:rPr>
        <w:t>p</w:t>
      </w:r>
      <w:r w:rsidRPr="00B6688A">
        <w:rPr>
          <w:rFonts w:asciiTheme="majorHAnsi" w:eastAsia="Calibri" w:hAnsiTheme="majorHAnsi" w:cstheme="majorHAnsi"/>
        </w:rPr>
        <w:t xml:space="preserve">rescribed </w:t>
      </w:r>
      <w:r w:rsidR="00250756">
        <w:rPr>
          <w:rFonts w:asciiTheme="majorHAnsi" w:eastAsia="Calibri" w:hAnsiTheme="majorHAnsi" w:cstheme="majorHAnsi"/>
        </w:rPr>
        <w:t>f</w:t>
      </w:r>
      <w:r w:rsidRPr="00B6688A">
        <w:rPr>
          <w:rFonts w:asciiTheme="majorHAnsi" w:eastAsia="Calibri" w:hAnsiTheme="majorHAnsi" w:cstheme="majorHAnsi"/>
        </w:rPr>
        <w:t>ire to reduce wildfire risks</w:t>
      </w:r>
      <w:r w:rsidR="00250756">
        <w:rPr>
          <w:rFonts w:asciiTheme="majorHAnsi" w:eastAsia="Calibri" w:hAnsiTheme="majorHAnsi" w:cstheme="majorHAnsi"/>
        </w:rPr>
        <w:t>; and</w:t>
      </w:r>
      <w:r w:rsidRPr="00B6688A">
        <w:rPr>
          <w:rFonts w:asciiTheme="majorHAnsi" w:eastAsia="Calibri" w:hAnsiTheme="majorHAnsi" w:cstheme="majorHAnsi"/>
        </w:rPr>
        <w:t xml:space="preserve"> (3) </w:t>
      </w:r>
      <w:r w:rsidR="00250756">
        <w:rPr>
          <w:rFonts w:asciiTheme="majorHAnsi" w:eastAsia="Calibri" w:hAnsiTheme="majorHAnsi" w:cstheme="majorHAnsi"/>
        </w:rPr>
        <w:t>identifying</w:t>
      </w:r>
      <w:r w:rsidRPr="00B6688A">
        <w:rPr>
          <w:rFonts w:asciiTheme="majorHAnsi" w:eastAsia="Calibri" w:hAnsiTheme="majorHAnsi" w:cstheme="majorHAnsi"/>
        </w:rPr>
        <w:t xml:space="preserve"> areas of high risk and wide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7" w14:textId="461F98A7" w:rsidR="00FB1243" w:rsidRPr="00B6688A" w:rsidRDefault="007413BF" w:rsidP="002000C4">
      <w:pPr>
        <w:pStyle w:val="Heading4"/>
        <w:rPr>
          <w:rFonts w:asciiTheme="majorHAnsi" w:hAnsiTheme="majorHAnsi" w:cstheme="majorHAnsi"/>
        </w:rPr>
      </w:pPr>
      <w:bookmarkStart w:id="138" w:name="_oj5dvwltvkq4" w:colFirst="0" w:colLast="0"/>
      <w:bookmarkEnd w:id="138"/>
      <w:r w:rsidRPr="00B6688A">
        <w:rPr>
          <w:rFonts w:asciiTheme="majorHAnsi" w:hAnsiTheme="majorHAnsi" w:cstheme="majorHAnsi"/>
        </w:rPr>
        <w:t>Regulations</w:t>
      </w:r>
    </w:p>
    <w:p w14:paraId="47ED4C98" w14:textId="7599E5FE" w:rsidR="00FB1243" w:rsidRPr="00B6688A" w:rsidRDefault="00FB1243">
      <w:pPr>
        <w:jc w:val="both"/>
        <w:rPr>
          <w:rFonts w:asciiTheme="majorHAnsi" w:eastAsia="Calibri" w:hAnsiTheme="majorHAnsi" w:cstheme="majorHAnsi"/>
        </w:rPr>
      </w:pPr>
      <w:hyperlink r:id="rId124">
        <w:r w:rsidRPr="009179D1">
          <w:rPr>
            <w:rFonts w:asciiTheme="majorHAnsi" w:eastAsia="Calibri" w:hAnsiTheme="majorHAnsi" w:cstheme="majorHAnsi"/>
            <w:b/>
            <w:bCs/>
            <w:color w:val="467886"/>
            <w:u w:val="single"/>
          </w:rPr>
          <w:t>Mandatory One</w:t>
        </w:r>
        <w:r w:rsidR="00250756" w:rsidRPr="009179D1">
          <w:rPr>
            <w:rFonts w:asciiTheme="majorHAnsi" w:eastAsia="Calibri" w:hAnsiTheme="majorHAnsi" w:cstheme="majorHAnsi"/>
            <w:b/>
            <w:bCs/>
            <w:color w:val="467886"/>
            <w:u w:val="single"/>
          </w:rPr>
          <w:t>-</w:t>
        </w:r>
        <w:r w:rsidRPr="009179D1">
          <w:rPr>
            <w:rFonts w:asciiTheme="majorHAnsi" w:eastAsia="Calibri" w:hAnsiTheme="majorHAnsi" w:cstheme="majorHAnsi"/>
            <w:b/>
            <w:bCs/>
            <w:color w:val="467886"/>
            <w:u w:val="single"/>
          </w:rPr>
          <w:t>Year Moratorium on Non</w:t>
        </w:r>
        <w:r w:rsidR="008129A6">
          <w:rPr>
            <w:rFonts w:asciiTheme="majorHAnsi" w:eastAsia="Calibri" w:hAnsiTheme="majorHAnsi" w:cstheme="majorHAnsi"/>
            <w:b/>
            <w:bCs/>
            <w:color w:val="467886"/>
            <w:u w:val="single"/>
          </w:rPr>
          <w:t>r</w:t>
        </w:r>
        <w:r w:rsidRPr="009179D1">
          <w:rPr>
            <w:rFonts w:asciiTheme="majorHAnsi" w:eastAsia="Calibri" w:hAnsiTheme="majorHAnsi" w:cstheme="majorHAnsi"/>
            <w:b/>
            <w:bCs/>
            <w:color w:val="467886"/>
            <w:u w:val="single"/>
          </w:rPr>
          <w:t>enewals</w:t>
        </w:r>
        <w:r w:rsidRPr="009179D1">
          <w:rPr>
            <w:rFonts w:asciiTheme="majorHAnsi" w:eastAsia="Calibri" w:hAnsiTheme="majorHAnsi" w:cstheme="majorHAnsi"/>
          </w:rPr>
          <w:t>:</w:t>
        </w:r>
      </w:hyperlink>
      <w:r w:rsidRPr="00B6688A">
        <w:rPr>
          <w:rFonts w:asciiTheme="majorHAnsi" w:eastAsia="Calibri" w:hAnsiTheme="majorHAnsi" w:cstheme="majorHAnsi"/>
        </w:rPr>
        <w:t xml:space="preserve"> Originally established in statute through legislation enacted in 2018, the one</w:t>
      </w:r>
      <w:r w:rsidRPr="00B6688A">
        <w:rPr>
          <w:rFonts w:ascii="Cambria Math" w:eastAsia="Cambria Math" w:hAnsi="Cambria Math" w:cs="Cambria Math"/>
        </w:rPr>
        <w:t>‑</w:t>
      </w:r>
      <w:r w:rsidRPr="00B6688A">
        <w:rPr>
          <w:rFonts w:asciiTheme="majorHAnsi" w:eastAsia="Calibri" w:hAnsiTheme="majorHAnsi" w:cstheme="majorHAnsi"/>
        </w:rPr>
        <w:t xml:space="preserve">year moratorium on insurance cancellations and </w:t>
      </w:r>
      <w:r w:rsidRPr="00B6688A">
        <w:rPr>
          <w:rFonts w:asciiTheme="majorHAnsi" w:eastAsia="Calibri" w:hAnsiTheme="majorHAnsi" w:cstheme="majorHAnsi"/>
        </w:rPr>
        <w:lastRenderedPageBreak/>
        <w:t xml:space="preserve">nonrenewals is now implemented and administered through regulatory bulletins issued by the </w:t>
      </w:r>
      <w:r w:rsidR="00422029">
        <w:rPr>
          <w:rFonts w:asciiTheme="majorHAnsi" w:eastAsia="Calibri" w:hAnsiTheme="majorHAnsi" w:cstheme="majorHAnsi"/>
        </w:rPr>
        <w:t>CDI</w:t>
      </w:r>
      <w:r w:rsidRPr="00B6688A">
        <w:rPr>
          <w:rFonts w:asciiTheme="majorHAnsi" w:eastAsia="Calibri" w:hAnsiTheme="majorHAnsi" w:cstheme="majorHAnsi"/>
        </w:rPr>
        <w:t xml:space="preserve">. The moratorium requires insurers to refrain from canceling or nonrenewing residential insurance policies located within or adjacent to a fire perimeter for one year following a </w:t>
      </w:r>
      <w:r w:rsidR="00250756">
        <w:rPr>
          <w:rFonts w:asciiTheme="majorHAnsi" w:eastAsia="Calibri" w:hAnsiTheme="majorHAnsi" w:cstheme="majorHAnsi"/>
        </w:rPr>
        <w:t>g</w:t>
      </w:r>
      <w:r w:rsidRPr="00B6688A">
        <w:rPr>
          <w:rFonts w:asciiTheme="majorHAnsi" w:eastAsia="Calibri" w:hAnsiTheme="majorHAnsi" w:cstheme="majorHAnsi"/>
        </w:rPr>
        <w:t>overnor</w:t>
      </w:r>
      <w:r w:rsidRPr="00B6688A">
        <w:rPr>
          <w:rFonts w:ascii="Cambria Math" w:eastAsia="Cambria Math" w:hAnsi="Cambria Math" w:cs="Cambria Math"/>
        </w:rPr>
        <w:t>‑</w:t>
      </w:r>
      <w:r w:rsidRPr="00B6688A">
        <w:rPr>
          <w:rFonts w:asciiTheme="majorHAnsi" w:eastAsia="Calibri" w:hAnsiTheme="majorHAnsi" w:cstheme="majorHAnsi"/>
        </w:rPr>
        <w:t xml:space="preserve">declared state of emergency </w:t>
      </w:r>
      <w:r w:rsidR="001D1333">
        <w:rPr>
          <w:rFonts w:asciiTheme="majorHAnsi" w:eastAsia="Calibri" w:hAnsiTheme="majorHAnsi" w:cstheme="majorHAnsi"/>
        </w:rPr>
        <w:t>on</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9" w14:textId="10FB02BF" w:rsidR="00FB1243" w:rsidRPr="00B6688A" w:rsidRDefault="00FB1243">
      <w:pPr>
        <w:jc w:val="both"/>
        <w:rPr>
          <w:rFonts w:asciiTheme="majorHAnsi" w:eastAsia="Calibri" w:hAnsiTheme="majorHAnsi" w:cstheme="majorHAnsi"/>
        </w:rPr>
      </w:pPr>
      <w:hyperlink r:id="rId125">
        <w:r w:rsidRPr="009179D1">
          <w:rPr>
            <w:rFonts w:asciiTheme="majorHAnsi" w:eastAsia="Calibri" w:hAnsiTheme="majorHAnsi" w:cstheme="majorHAnsi"/>
            <w:b/>
            <w:bCs/>
            <w:color w:val="467886"/>
            <w:u w:val="single"/>
          </w:rPr>
          <w:t>Consideration of Mitigation Factors</w:t>
        </w:r>
        <w:r w:rsidR="00A931CE">
          <w:rPr>
            <w:rFonts w:asciiTheme="majorHAnsi" w:eastAsia="Calibri" w:hAnsiTheme="majorHAnsi" w:cstheme="majorHAnsi"/>
            <w:b/>
            <w:bCs/>
            <w:color w:val="467886"/>
            <w:u w:val="single"/>
          </w:rPr>
          <w:t xml:space="preserve">; </w:t>
        </w:r>
        <w:r w:rsidRPr="009179D1">
          <w:rPr>
            <w:rFonts w:asciiTheme="majorHAnsi" w:eastAsia="Calibri" w:hAnsiTheme="majorHAnsi" w:cstheme="majorHAnsi"/>
            <w:b/>
            <w:bCs/>
            <w:color w:val="467886"/>
            <w:u w:val="single"/>
          </w:rPr>
          <w:t>Wildfire Risk Models (Safer from Wildfire</w:t>
        </w:r>
        <w:r w:rsidR="00870578" w:rsidRPr="009179D1">
          <w:rPr>
            <w:rFonts w:asciiTheme="majorHAnsi" w:eastAsia="Calibri" w:hAnsiTheme="majorHAnsi" w:cstheme="majorHAnsi"/>
            <w:b/>
            <w:bCs/>
            <w:color w:val="467886"/>
            <w:u w:val="single"/>
          </w:rPr>
          <w:fldChar w:fldCharType="begin"/>
        </w:r>
        <w:r w:rsidR="00870578" w:rsidRPr="009179D1">
          <w:rPr>
            <w:rFonts w:asciiTheme="majorHAnsi" w:eastAsia="Calibri" w:hAnsiTheme="majorHAnsi" w:cstheme="majorHAnsi"/>
            <w:b/>
            <w:bCs/>
            <w:color w:val="467886"/>
            <w:u w:val="single"/>
          </w:rPr>
          <w:instrText xml:space="preserve"> XE "</w:instrText>
        </w:r>
        <w:r w:rsidR="00870578" w:rsidRPr="009179D1">
          <w:rPr>
            <w:rFonts w:asciiTheme="majorHAnsi" w:hAnsiTheme="majorHAnsi" w:cstheme="majorHAnsi"/>
            <w:b/>
            <w:bCs/>
          </w:rPr>
          <w:instrText>Safer from Wildfire"</w:instrText>
        </w:r>
        <w:r w:rsidR="00870578" w:rsidRPr="009179D1">
          <w:rPr>
            <w:rFonts w:asciiTheme="majorHAnsi" w:eastAsia="Calibri" w:hAnsiTheme="majorHAnsi" w:cstheme="majorHAnsi"/>
            <w:b/>
            <w:bCs/>
            <w:color w:val="467886"/>
            <w:u w:val="single"/>
          </w:rPr>
          <w:instrText xml:space="preserve"> </w:instrText>
        </w:r>
        <w:r w:rsidR="00870578" w:rsidRPr="009179D1">
          <w:rPr>
            <w:rFonts w:asciiTheme="majorHAnsi" w:eastAsia="Calibri" w:hAnsiTheme="majorHAnsi" w:cstheme="majorHAnsi"/>
            <w:b/>
            <w:bCs/>
            <w:color w:val="467886"/>
            <w:u w:val="single"/>
          </w:rPr>
          <w:fldChar w:fldCharType="end"/>
        </w:r>
        <w:r w:rsidRPr="009179D1">
          <w:rPr>
            <w:rFonts w:asciiTheme="majorHAnsi" w:eastAsia="Calibri" w:hAnsiTheme="majorHAnsi" w:cstheme="majorHAnsi"/>
            <w:b/>
            <w:bCs/>
            <w:color w:val="467886"/>
            <w:u w:val="single"/>
          </w:rPr>
          <w:t xml:space="preserve"> Regulations)</w:t>
        </w:r>
      </w:hyperlink>
      <w:r w:rsidRPr="00B6688A">
        <w:rPr>
          <w:rFonts w:asciiTheme="majorHAnsi" w:eastAsia="Calibri" w:hAnsiTheme="majorHAnsi" w:cstheme="majorHAnsi"/>
        </w:rPr>
        <w:t>: An insurer that applies or uses a rate that is developed with, determined by, or relies upon a rating plan that segments, creates a rate differential, or surcharges the premium based upon a policyholder or applicant's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must comply with Section 2644.9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w:t>
      </w:r>
      <w:r w:rsidR="00F20372">
        <w:rPr>
          <w:rFonts w:asciiTheme="majorHAnsi" w:eastAsia="Calibri" w:hAnsiTheme="majorHAnsi" w:cstheme="majorHAnsi"/>
        </w:rPr>
        <w:t xml:space="preserve"> </w:t>
      </w:r>
      <w:r w:rsidRPr="00B6688A">
        <w:rPr>
          <w:rFonts w:asciiTheme="majorHAnsi" w:eastAsia="Calibri" w:hAnsiTheme="majorHAnsi" w:cstheme="majorHAnsi"/>
        </w:rPr>
        <w:t>Under this regulation, insurance companies are required to take completed property-level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and community-level designations into account in their rating plans.</w:t>
      </w:r>
    </w:p>
    <w:p w14:paraId="47ED4C9A" w14:textId="058DBDA9" w:rsidR="00FB1243" w:rsidRPr="00B6688A" w:rsidRDefault="00FB1243">
      <w:pPr>
        <w:jc w:val="both"/>
        <w:rPr>
          <w:rFonts w:asciiTheme="majorHAnsi" w:eastAsia="Calibri" w:hAnsiTheme="majorHAnsi" w:cstheme="majorHAnsi"/>
        </w:rPr>
      </w:pPr>
      <w:hyperlink r:id="rId126">
        <w:r w:rsidRPr="009179D1">
          <w:rPr>
            <w:rFonts w:asciiTheme="majorHAnsi" w:eastAsia="Calibri" w:hAnsiTheme="majorHAnsi" w:cstheme="majorHAnsi"/>
            <w:b/>
            <w:bCs/>
            <w:color w:val="467886"/>
            <w:u w:val="single"/>
          </w:rPr>
          <w:t>Sustainable Insurance Strategy</w:t>
        </w:r>
      </w:hyperlink>
      <w:r w:rsidRPr="009179D1">
        <w:rPr>
          <w:rFonts w:asciiTheme="majorHAnsi" w:eastAsia="Calibri" w:hAnsiTheme="majorHAnsi" w:cstheme="majorHAnsi"/>
        </w:rPr>
        <w:t>:</w:t>
      </w:r>
      <w:r w:rsidRPr="001D1333">
        <w:rPr>
          <w:rFonts w:asciiTheme="majorHAnsi" w:eastAsia="Calibri" w:hAnsiTheme="majorHAnsi" w:cstheme="majorHAnsi"/>
        </w:rPr>
        <w:t xml:space="preserve"> </w:t>
      </w:r>
      <w:r w:rsidRPr="00B6688A">
        <w:rPr>
          <w:rFonts w:asciiTheme="majorHAnsi" w:eastAsia="Calibri" w:hAnsiTheme="majorHAnsi" w:cstheme="majorHAnsi"/>
        </w:rPr>
        <w:t>Since 2017,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experienced the eight largest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state history, as well as </w:t>
      </w:r>
      <w:r w:rsidR="001D1333">
        <w:rPr>
          <w:rFonts w:asciiTheme="majorHAnsi" w:eastAsia="Calibri" w:hAnsiTheme="majorHAnsi" w:cstheme="majorHAnsi"/>
        </w:rPr>
        <w:t>14</w:t>
      </w:r>
      <w:r w:rsidR="001D1333" w:rsidRPr="00B6688A">
        <w:rPr>
          <w:rFonts w:asciiTheme="majorHAnsi" w:eastAsia="Calibri" w:hAnsiTheme="majorHAnsi" w:cstheme="majorHAnsi"/>
        </w:rPr>
        <w:t xml:space="preserve"> </w:t>
      </w:r>
      <w:r w:rsidRPr="00B6688A">
        <w:rPr>
          <w:rFonts w:asciiTheme="majorHAnsi" w:eastAsia="Calibri" w:hAnsiTheme="majorHAnsi" w:cstheme="majorHAnsi"/>
        </w:rPr>
        <w:t>of the most destructive wildfires, and seven of the deadliest wildfires, includ</w:t>
      </w:r>
      <w:r w:rsidR="00EB7FB1">
        <w:rPr>
          <w:rFonts w:asciiTheme="majorHAnsi" w:eastAsia="Calibri" w:hAnsiTheme="majorHAnsi" w:cstheme="majorHAnsi"/>
        </w:rPr>
        <w:t>ing</w:t>
      </w:r>
      <w:r w:rsidRPr="00B6688A">
        <w:rPr>
          <w:rFonts w:asciiTheme="majorHAnsi" w:eastAsia="Calibri" w:hAnsiTheme="majorHAnsi" w:cstheme="majorHAnsi"/>
        </w:rPr>
        <w:t xml:space="preserve"> the Camp Fire</w:t>
      </w:r>
      <w:r w:rsidR="001D1333">
        <w:rPr>
          <w:rFonts w:asciiTheme="majorHAnsi" w:eastAsia="Calibri" w:hAnsiTheme="majorHAnsi" w:cstheme="majorHAnsi"/>
        </w:rPr>
        <w:t>—</w:t>
      </w:r>
      <w:r w:rsidRPr="00B6688A">
        <w:rPr>
          <w:rFonts w:asciiTheme="majorHAnsi" w:eastAsia="Calibri" w:hAnsiTheme="majorHAnsi" w:cstheme="majorHAnsi"/>
        </w:rPr>
        <w:t>the single deadliest wildfire in the history of the state, resulting in the loss of 85 lives. In 2023, a number of insurance carriers representing more than 60% of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share announced plans to either limit or stop issuing new homeowners and commercial property insurance policies. To address the critical affordability and availability issues </w:t>
      </w:r>
      <w:r w:rsidR="00AC12E3">
        <w:rPr>
          <w:rFonts w:asciiTheme="majorHAnsi" w:eastAsia="Calibri" w:hAnsiTheme="majorHAnsi" w:cstheme="majorHAnsi"/>
        </w:rPr>
        <w:t>affecting</w:t>
      </w:r>
      <w:r w:rsidR="00AC12E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policyholders, </w:t>
      </w:r>
      <w:r w:rsidR="00AC12E3">
        <w:rPr>
          <w:rFonts w:asciiTheme="majorHAnsi" w:eastAsia="Calibri" w:hAnsiTheme="majorHAnsi" w:cstheme="majorHAnsi"/>
        </w:rPr>
        <w:t xml:space="preserve">the </w:t>
      </w:r>
      <w:r w:rsidRPr="00B6688A">
        <w:rPr>
          <w:rFonts w:asciiTheme="majorHAnsi" w:eastAsia="Calibri" w:hAnsiTheme="majorHAnsi" w:cstheme="majorHAnsi"/>
        </w:rPr>
        <w:t>CDI developed a comprehensive package of reforms designed to modernize, strengthen, and stabilize California's marketplace for homeowners insurance and commercial property insurance. Key regulatory components included:</w:t>
      </w:r>
    </w:p>
    <w:p w14:paraId="47ED4C9B" w14:textId="22E806BB" w:rsidR="00FB1243" w:rsidRPr="00E22529" w:rsidRDefault="007413BF" w:rsidP="009179D1">
      <w:pPr>
        <w:pStyle w:val="ListParagraph"/>
        <w:numPr>
          <w:ilvl w:val="0"/>
          <w:numId w:val="67"/>
        </w:numPr>
        <w:jc w:val="both"/>
        <w:rPr>
          <w:rFonts w:asciiTheme="majorHAnsi" w:eastAsia="Calibri" w:hAnsiTheme="majorHAnsi" w:cstheme="majorHAnsi"/>
          <w:b/>
          <w:bCs/>
        </w:rPr>
      </w:pPr>
      <w:r w:rsidRPr="00E22529">
        <w:rPr>
          <w:rFonts w:asciiTheme="majorHAnsi" w:eastAsia="Calibri" w:hAnsiTheme="majorHAnsi" w:cstheme="majorHAnsi"/>
          <w:b/>
          <w:bCs/>
        </w:rPr>
        <w:t>Complete Rate Application</w:t>
      </w:r>
      <w:r w:rsidRPr="00E22529">
        <w:rPr>
          <w:rFonts w:asciiTheme="majorHAnsi" w:eastAsia="Calibri" w:hAnsiTheme="majorHAnsi" w:cstheme="majorHAnsi"/>
        </w:rPr>
        <w:t xml:space="preserve">: </w:t>
      </w:r>
      <w:r w:rsidR="00AC12E3" w:rsidRPr="00E22529">
        <w:rPr>
          <w:rFonts w:asciiTheme="majorHAnsi" w:eastAsia="Calibri" w:hAnsiTheme="majorHAnsi" w:cstheme="majorHAnsi"/>
        </w:rPr>
        <w:t xml:space="preserve">The </w:t>
      </w:r>
      <w:r w:rsidRPr="00E22529">
        <w:rPr>
          <w:rFonts w:asciiTheme="majorHAnsi" w:eastAsia="Calibri" w:hAnsiTheme="majorHAnsi" w:cstheme="majorHAnsi"/>
        </w:rPr>
        <w:t xml:space="preserve">CDI amended Sections </w:t>
      </w:r>
      <w:hyperlink r:id="rId127">
        <w:r w:rsidR="00FB1243" w:rsidRPr="00E22529">
          <w:rPr>
            <w:rFonts w:asciiTheme="majorHAnsi" w:eastAsia="Calibri" w:hAnsiTheme="majorHAnsi" w:cstheme="majorHAnsi"/>
            <w:color w:val="467886"/>
            <w:u w:val="single"/>
          </w:rPr>
          <w:t>2648.1</w:t>
        </w:r>
      </w:hyperlink>
      <w:r w:rsidRPr="00E22529">
        <w:rPr>
          <w:rFonts w:asciiTheme="majorHAnsi" w:eastAsia="Calibri" w:hAnsiTheme="majorHAnsi" w:cstheme="majorHAnsi"/>
        </w:rPr>
        <w:t xml:space="preserve">, </w:t>
      </w:r>
      <w:hyperlink r:id="rId128">
        <w:r w:rsidR="00FB1243" w:rsidRPr="00E22529">
          <w:rPr>
            <w:rFonts w:asciiTheme="majorHAnsi" w:eastAsia="Calibri" w:hAnsiTheme="majorHAnsi" w:cstheme="majorHAnsi"/>
            <w:color w:val="467886"/>
            <w:u w:val="single"/>
          </w:rPr>
          <w:t>2648.2</w:t>
        </w:r>
      </w:hyperlink>
      <w:r w:rsidRPr="00E22529">
        <w:rPr>
          <w:rFonts w:asciiTheme="majorHAnsi" w:eastAsia="Calibri" w:hAnsiTheme="majorHAnsi" w:cstheme="majorHAnsi"/>
        </w:rPr>
        <w:t xml:space="preserve">, and </w:t>
      </w:r>
      <w:hyperlink r:id="rId129">
        <w:r w:rsidR="00FB1243" w:rsidRPr="00E22529">
          <w:rPr>
            <w:rFonts w:asciiTheme="majorHAnsi" w:eastAsia="Calibri" w:hAnsiTheme="majorHAnsi" w:cstheme="majorHAnsi"/>
            <w:color w:val="467886"/>
            <w:u w:val="single"/>
          </w:rPr>
          <w:t>2648.4</w:t>
        </w:r>
      </w:hyperlink>
      <w:r w:rsidRPr="00E22529">
        <w:rPr>
          <w:rFonts w:asciiTheme="majorHAnsi" w:eastAsia="Calibri" w:hAnsiTheme="majorHAnsi" w:cstheme="majorHAnsi"/>
        </w:rPr>
        <w:t xml:space="preserve"> of Title 10 of the California</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California"</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Code of Regulations to specify the materials and information that must be included initially in a complete rate filing</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Rate filing"</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information, and documents required as part of a complete rate application in order to decide whether to intervene in the rate review process.</w:t>
      </w:r>
      <w:r w:rsidR="00F20372" w:rsidRPr="00E22529">
        <w:rPr>
          <w:rFonts w:asciiTheme="majorHAnsi" w:eastAsia="Calibri" w:hAnsiTheme="majorHAnsi" w:cstheme="majorHAnsi"/>
        </w:rPr>
        <w:t xml:space="preserve"> </w:t>
      </w:r>
      <w:r w:rsidRPr="00E22529">
        <w:rPr>
          <w:rFonts w:asciiTheme="majorHAnsi" w:eastAsia="Calibri" w:hAnsiTheme="majorHAnsi" w:cstheme="majorHAnsi"/>
        </w:rPr>
        <w:t xml:space="preserve">Finally, </w:t>
      </w:r>
      <w:r w:rsidR="00402A53">
        <w:rPr>
          <w:rFonts w:asciiTheme="majorHAnsi" w:eastAsia="Calibri" w:hAnsiTheme="majorHAnsi" w:cstheme="majorHAnsi"/>
        </w:rPr>
        <w:t xml:space="preserve">the amendments </w:t>
      </w:r>
      <w:r w:rsidRPr="00E22529">
        <w:rPr>
          <w:rFonts w:asciiTheme="majorHAnsi" w:eastAsia="Calibri" w:hAnsiTheme="majorHAnsi" w:cstheme="majorHAnsi"/>
        </w:rPr>
        <w:t>clarifi</w:t>
      </w:r>
      <w:r w:rsidR="00402A53">
        <w:rPr>
          <w:rFonts w:asciiTheme="majorHAnsi" w:eastAsia="Calibri" w:hAnsiTheme="majorHAnsi" w:cstheme="majorHAnsi"/>
        </w:rPr>
        <w:t>ed</w:t>
      </w:r>
      <w:r w:rsidRPr="00E22529">
        <w:rPr>
          <w:rFonts w:asciiTheme="majorHAnsi" w:eastAsia="Calibri" w:hAnsiTheme="majorHAnsi" w:cstheme="majorHAnsi"/>
        </w:rPr>
        <w:t xml:space="preserve"> the steps required to submit a complete rate application to </w:t>
      </w:r>
      <w:r w:rsidR="00E22529">
        <w:rPr>
          <w:rFonts w:asciiTheme="majorHAnsi" w:eastAsia="Calibri" w:hAnsiTheme="majorHAnsi" w:cstheme="majorHAnsi"/>
        </w:rPr>
        <w:t xml:space="preserve">the </w:t>
      </w:r>
      <w:r w:rsidRPr="00E22529">
        <w:rPr>
          <w:rFonts w:asciiTheme="majorHAnsi" w:eastAsia="Calibri" w:hAnsiTheme="majorHAnsi" w:cstheme="majorHAnsi"/>
        </w:rPr>
        <w:t>CDI before the clock on reviewing the application begins and eliminat</w:t>
      </w:r>
      <w:r w:rsidR="00402A53">
        <w:rPr>
          <w:rFonts w:asciiTheme="majorHAnsi" w:eastAsia="Calibri" w:hAnsiTheme="majorHAnsi" w:cstheme="majorHAnsi"/>
        </w:rPr>
        <w:t>ed</w:t>
      </w:r>
      <w:r w:rsidRPr="00E22529">
        <w:rPr>
          <w:rFonts w:asciiTheme="majorHAnsi" w:eastAsia="Calibri" w:hAnsiTheme="majorHAnsi" w:cstheme="majorHAnsi"/>
        </w:rPr>
        <w:t xml:space="preserve"> lengthy exchanges about incomplete applications before the rate review process may actually begin.</w:t>
      </w:r>
    </w:p>
    <w:p w14:paraId="47ED4C9C" w14:textId="03078A47" w:rsidR="00FB1243" w:rsidRPr="00326374" w:rsidRDefault="007413BF" w:rsidP="009179D1">
      <w:pPr>
        <w:pStyle w:val="ListParagraph"/>
        <w:numPr>
          <w:ilvl w:val="0"/>
          <w:numId w:val="67"/>
        </w:numPr>
        <w:jc w:val="both"/>
        <w:rPr>
          <w:rFonts w:asciiTheme="majorHAnsi" w:eastAsia="Calibri" w:hAnsiTheme="majorHAnsi" w:cstheme="majorHAnsi"/>
        </w:rPr>
      </w:pPr>
      <w:r w:rsidRPr="00326374">
        <w:rPr>
          <w:rFonts w:asciiTheme="majorHAnsi" w:eastAsia="Calibri" w:hAnsiTheme="majorHAnsi" w:cstheme="majorHAnsi"/>
          <w:b/>
          <w:bCs/>
        </w:rPr>
        <w:t>Catastrophe Modeling and Ratemaking</w:t>
      </w:r>
      <w:r w:rsidRPr="00326374">
        <w:rPr>
          <w:rFonts w:asciiTheme="majorHAnsi" w:eastAsia="Calibri" w:hAnsiTheme="majorHAnsi" w:cstheme="majorHAnsi"/>
        </w:rPr>
        <w:t xml:space="preserve">: </w:t>
      </w:r>
      <w:r w:rsidR="00312F9E">
        <w:rPr>
          <w:rFonts w:asciiTheme="majorHAnsi" w:eastAsia="Calibri" w:hAnsiTheme="majorHAnsi" w:cstheme="majorHAnsi"/>
        </w:rPr>
        <w:t xml:space="preserve">The </w:t>
      </w:r>
      <w:r w:rsidRPr="00326374">
        <w:rPr>
          <w:rFonts w:asciiTheme="majorHAnsi" w:eastAsia="Calibri" w:hAnsiTheme="majorHAnsi" w:cstheme="majorHAnsi"/>
        </w:rPr>
        <w:t xml:space="preserve">CDI amended or adopted Sections </w:t>
      </w:r>
      <w:hyperlink r:id="rId130">
        <w:r w:rsidR="00FB1243" w:rsidRPr="00326374">
          <w:rPr>
            <w:rFonts w:asciiTheme="majorHAnsi" w:eastAsia="Calibri" w:hAnsiTheme="majorHAnsi" w:cstheme="majorHAnsi"/>
            <w:color w:val="467886"/>
            <w:u w:val="single"/>
          </w:rPr>
          <w:t>2644.4</w:t>
        </w:r>
      </w:hyperlink>
      <w:r w:rsidRPr="00326374">
        <w:rPr>
          <w:rFonts w:asciiTheme="majorHAnsi" w:eastAsia="Calibri" w:hAnsiTheme="majorHAnsi" w:cstheme="majorHAnsi"/>
        </w:rPr>
        <w:t xml:space="preserve">, </w:t>
      </w:r>
      <w:hyperlink r:id="rId131">
        <w:r w:rsidR="00FB1243" w:rsidRPr="00326374">
          <w:rPr>
            <w:rFonts w:asciiTheme="majorHAnsi" w:eastAsia="Calibri" w:hAnsiTheme="majorHAnsi" w:cstheme="majorHAnsi"/>
            <w:color w:val="467886"/>
            <w:u w:val="single"/>
          </w:rPr>
          <w:t>2644.4.5</w:t>
        </w:r>
      </w:hyperlink>
      <w:r w:rsidRPr="00326374">
        <w:rPr>
          <w:rFonts w:asciiTheme="majorHAnsi" w:eastAsia="Calibri" w:hAnsiTheme="majorHAnsi" w:cstheme="majorHAnsi"/>
        </w:rPr>
        <w:t xml:space="preserve">, </w:t>
      </w:r>
      <w:hyperlink r:id="rId132">
        <w:r w:rsidR="00FB1243" w:rsidRPr="00326374">
          <w:rPr>
            <w:rFonts w:asciiTheme="majorHAnsi" w:eastAsia="Calibri" w:hAnsiTheme="majorHAnsi" w:cstheme="majorHAnsi"/>
            <w:color w:val="467886"/>
            <w:u w:val="single"/>
          </w:rPr>
          <w:t>2644.4.8</w:t>
        </w:r>
      </w:hyperlink>
      <w:r w:rsidRPr="00326374">
        <w:rPr>
          <w:rFonts w:asciiTheme="majorHAnsi" w:eastAsia="Calibri" w:hAnsiTheme="majorHAnsi" w:cstheme="majorHAnsi"/>
        </w:rPr>
        <w:t xml:space="preserve">, </w:t>
      </w:r>
      <w:hyperlink r:id="rId133">
        <w:r w:rsidR="00FB1243" w:rsidRPr="00326374">
          <w:rPr>
            <w:rFonts w:asciiTheme="majorHAnsi" w:eastAsia="Calibri" w:hAnsiTheme="majorHAnsi" w:cstheme="majorHAnsi"/>
            <w:color w:val="467886"/>
            <w:u w:val="single"/>
          </w:rPr>
          <w:t>2644.5</w:t>
        </w:r>
      </w:hyperlink>
      <w:r w:rsidRPr="00326374">
        <w:rPr>
          <w:rFonts w:asciiTheme="majorHAnsi" w:eastAsia="Calibri" w:hAnsiTheme="majorHAnsi" w:cstheme="majorHAnsi"/>
        </w:rPr>
        <w:t xml:space="preserve">, </w:t>
      </w:r>
      <w:hyperlink r:id="rId134">
        <w:r w:rsidR="00FB1243" w:rsidRPr="00326374">
          <w:rPr>
            <w:rFonts w:asciiTheme="majorHAnsi" w:eastAsia="Calibri" w:hAnsiTheme="majorHAnsi" w:cstheme="majorHAnsi"/>
            <w:color w:val="467886"/>
            <w:u w:val="single"/>
          </w:rPr>
          <w:t>2644.8</w:t>
        </w:r>
      </w:hyperlink>
      <w:r w:rsidRPr="00326374">
        <w:rPr>
          <w:rFonts w:asciiTheme="majorHAnsi" w:eastAsia="Calibri" w:hAnsiTheme="majorHAnsi" w:cstheme="majorHAnsi"/>
        </w:rPr>
        <w:t xml:space="preserve">, and </w:t>
      </w:r>
      <w:hyperlink r:id="rId135">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Prior to this rulemaking, California insurance rates were </w:t>
      </w:r>
      <w:r w:rsidRPr="00326374">
        <w:rPr>
          <w:rFonts w:asciiTheme="majorHAnsi" w:eastAsia="Calibri" w:hAnsiTheme="majorHAnsi" w:cstheme="majorHAnsi"/>
        </w:rPr>
        <w:lastRenderedPageBreak/>
        <w:t>determined, in part, based on insurers’ historical losses. This rulemaking permits insurance companies to use catastrophe modeling</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Catastrophe modeling"</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to determine their catastrophe loss adjustments in the ratemaking formula, </w:t>
      </w:r>
      <w:r w:rsidR="00E660F1" w:rsidRPr="00326374">
        <w:rPr>
          <w:rFonts w:asciiTheme="majorHAnsi" w:eastAsia="Calibri" w:hAnsiTheme="majorHAnsi" w:cstheme="majorHAnsi"/>
        </w:rPr>
        <w:t xml:space="preserve">provided </w:t>
      </w:r>
      <w:r w:rsidRPr="00326374">
        <w:rPr>
          <w:rFonts w:asciiTheme="majorHAnsi" w:eastAsia="Calibri" w:hAnsiTheme="majorHAnsi" w:cstheme="majorHAnsi"/>
        </w:rPr>
        <w:t>they have demonstrated a need to do so by committing to take on the risk of writing additional business or maintaining existing business in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36">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00A063FC">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Standard Net Cost of Reinsurance</w:t>
      </w:r>
      <w:r w:rsidRPr="00326374">
        <w:rPr>
          <w:rFonts w:asciiTheme="majorHAnsi" w:eastAsia="Calibri" w:hAnsiTheme="majorHAnsi" w:cstheme="majorHAnsi"/>
        </w:rPr>
        <w:t xml:space="preserve">: </w:t>
      </w:r>
      <w:r w:rsidR="00641897" w:rsidRPr="00326374">
        <w:rPr>
          <w:rFonts w:asciiTheme="majorHAnsi" w:eastAsia="Calibri" w:hAnsiTheme="majorHAnsi" w:cstheme="majorHAnsi"/>
        </w:rPr>
        <w:t xml:space="preserve">The </w:t>
      </w:r>
      <w:r w:rsidRPr="00326374">
        <w:rPr>
          <w:rFonts w:asciiTheme="majorHAnsi" w:eastAsia="Calibri" w:hAnsiTheme="majorHAnsi" w:cstheme="majorHAnsi"/>
        </w:rPr>
        <w:t xml:space="preserve">CDI amended Sections </w:t>
      </w:r>
      <w:hyperlink r:id="rId137">
        <w:r w:rsidR="00FB1243" w:rsidRPr="00326374">
          <w:rPr>
            <w:rFonts w:asciiTheme="majorHAnsi" w:eastAsia="Calibri" w:hAnsiTheme="majorHAnsi" w:cstheme="majorHAnsi"/>
            <w:color w:val="467886"/>
            <w:u w:val="single"/>
          </w:rPr>
          <w:t>2342.7</w:t>
        </w:r>
      </w:hyperlink>
      <w:r w:rsidRPr="00326374">
        <w:rPr>
          <w:rFonts w:asciiTheme="majorHAnsi" w:eastAsia="Calibri" w:hAnsiTheme="majorHAnsi" w:cstheme="majorHAnsi"/>
        </w:rPr>
        <w:t xml:space="preserve">, </w:t>
      </w:r>
      <w:hyperlink r:id="rId138">
        <w:r w:rsidR="00FB1243" w:rsidRPr="00326374">
          <w:rPr>
            <w:rFonts w:asciiTheme="majorHAnsi" w:eastAsia="Calibri" w:hAnsiTheme="majorHAnsi" w:cstheme="majorHAnsi"/>
            <w:color w:val="467886"/>
            <w:u w:val="single"/>
          </w:rPr>
          <w:t>2644.16</w:t>
        </w:r>
      </w:hyperlink>
      <w:r w:rsidRPr="00326374">
        <w:rPr>
          <w:rFonts w:asciiTheme="majorHAnsi" w:eastAsia="Calibri" w:hAnsiTheme="majorHAnsi" w:cstheme="majorHAnsi"/>
        </w:rPr>
        <w:t xml:space="preserve">, </w:t>
      </w:r>
      <w:hyperlink r:id="rId139">
        <w:r w:rsidR="00FB1243" w:rsidRPr="00326374">
          <w:rPr>
            <w:rFonts w:asciiTheme="majorHAnsi" w:eastAsia="Calibri" w:hAnsiTheme="majorHAnsi" w:cstheme="majorHAnsi"/>
            <w:color w:val="467886"/>
            <w:u w:val="single"/>
          </w:rPr>
          <w:t>2644.25</w:t>
        </w:r>
      </w:hyperlink>
      <w:r w:rsidRPr="00326374">
        <w:rPr>
          <w:rFonts w:asciiTheme="majorHAnsi" w:eastAsia="Calibri" w:hAnsiTheme="majorHAnsi" w:cstheme="majorHAnsi"/>
        </w:rPr>
        <w:t>,</w:t>
      </w:r>
      <w:r w:rsidR="00326374">
        <w:rPr>
          <w:rFonts w:asciiTheme="majorHAnsi" w:eastAsia="Calibri" w:hAnsiTheme="majorHAnsi" w:cstheme="majorHAnsi"/>
        </w:rPr>
        <w:t xml:space="preserve"> and</w:t>
      </w:r>
      <w:r w:rsidRPr="00326374">
        <w:rPr>
          <w:rFonts w:asciiTheme="majorHAnsi" w:eastAsia="Calibri" w:hAnsiTheme="majorHAnsi" w:cstheme="majorHAnsi"/>
        </w:rPr>
        <w:t xml:space="preserve"> </w:t>
      </w:r>
      <w:hyperlink r:id="rId140">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and adopted Section</w:t>
      </w:r>
      <w:r w:rsidR="00641897" w:rsidRPr="00326374">
        <w:rPr>
          <w:rFonts w:asciiTheme="majorHAnsi" w:eastAsia="Calibri" w:hAnsiTheme="majorHAnsi" w:cstheme="majorHAnsi"/>
        </w:rPr>
        <w:t>s</w:t>
      </w:r>
      <w:r w:rsidRPr="00326374">
        <w:rPr>
          <w:rFonts w:asciiTheme="majorHAnsi" w:eastAsia="Calibri" w:hAnsiTheme="majorHAnsi" w:cstheme="majorHAnsi"/>
        </w:rPr>
        <w:t xml:space="preserve"> </w:t>
      </w:r>
      <w:hyperlink r:id="rId141">
        <w:r w:rsidR="00FB1243" w:rsidRPr="00326374">
          <w:rPr>
            <w:rFonts w:asciiTheme="majorHAnsi" w:eastAsia="Calibri" w:hAnsiTheme="majorHAnsi" w:cstheme="majorHAnsi"/>
            <w:color w:val="467886"/>
            <w:u w:val="single"/>
          </w:rPr>
          <w:t>2644.25.1</w:t>
        </w:r>
      </w:hyperlink>
      <w:r w:rsidRPr="00326374">
        <w:rPr>
          <w:rFonts w:asciiTheme="majorHAnsi" w:eastAsia="Calibri" w:hAnsiTheme="majorHAnsi" w:cstheme="majorHAnsi"/>
        </w:rPr>
        <w:t xml:space="preserve">, </w:t>
      </w:r>
      <w:hyperlink r:id="rId142">
        <w:r w:rsidR="00FB1243" w:rsidRPr="00326374">
          <w:rPr>
            <w:rFonts w:asciiTheme="majorHAnsi" w:eastAsia="Calibri" w:hAnsiTheme="majorHAnsi" w:cstheme="majorHAnsi"/>
            <w:color w:val="467886"/>
            <w:u w:val="single"/>
          </w:rPr>
          <w:t>2644.25.2</w:t>
        </w:r>
      </w:hyperlink>
      <w:r w:rsidRPr="00326374">
        <w:rPr>
          <w:rFonts w:asciiTheme="majorHAnsi" w:eastAsia="Calibri" w:hAnsiTheme="majorHAnsi" w:cstheme="majorHAnsi"/>
        </w:rPr>
        <w:t xml:space="preserve">, and </w:t>
      </w:r>
      <w:hyperlink r:id="rId143">
        <w:r w:rsidR="00FB1243" w:rsidRPr="00326374">
          <w:rPr>
            <w:rFonts w:asciiTheme="majorHAnsi" w:eastAsia="Calibri" w:hAnsiTheme="majorHAnsi" w:cstheme="majorHAnsi"/>
            <w:color w:val="467886"/>
            <w:u w:val="single"/>
          </w:rPr>
          <w:t>2644.25.3</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allows the consideration of the cost or benefits of reinsurance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Reinsurance"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for specific catastrophe perils and exposure for commercial property insurance and residential property insurance within specific property lines. Allowing insurance companies to recognize and recover their California-only </w:t>
      </w:r>
      <w:r w:rsidR="003731BA" w:rsidRPr="00326374">
        <w:rPr>
          <w:rFonts w:asciiTheme="majorHAnsi" w:eastAsia="Calibri" w:hAnsiTheme="majorHAnsi" w:cstheme="majorHAnsi"/>
        </w:rPr>
        <w:t>net cost of reinsurance (</w:t>
      </w:r>
      <w:r w:rsidRPr="00326374">
        <w:rPr>
          <w:rFonts w:asciiTheme="majorHAnsi" w:eastAsia="Calibri" w:hAnsiTheme="majorHAnsi" w:cstheme="majorHAnsi"/>
        </w:rPr>
        <w:t>NCOR</w:t>
      </w:r>
      <w:r w:rsidR="003731BA" w:rsidRPr="00326374">
        <w:rPr>
          <w:rFonts w:asciiTheme="majorHAnsi" w:eastAsia="Calibri" w:hAnsiTheme="majorHAnsi" w:cstheme="majorHAnsi"/>
        </w:rPr>
        <w:t>)</w:t>
      </w:r>
      <w:r w:rsidRPr="00326374">
        <w:rPr>
          <w:rFonts w:asciiTheme="majorHAnsi" w:eastAsia="Calibri" w:hAnsiTheme="majorHAnsi" w:cstheme="majorHAnsi"/>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Insurer solvency"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and market stability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Market stability"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Companies utilizing reinsurance must commit to increasing coverage in the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defined by the CDI in its separate </w:t>
      </w:r>
      <w:r w:rsidR="00240AC2" w:rsidRPr="00326374">
        <w:rPr>
          <w:rFonts w:asciiTheme="majorHAnsi" w:eastAsia="Calibri" w:hAnsiTheme="majorHAnsi" w:cstheme="majorHAnsi"/>
        </w:rPr>
        <w:t xml:space="preserve">catastrophe modeling and ratemaking </w:t>
      </w:r>
      <w:r w:rsidRPr="00326374">
        <w:rPr>
          <w:rFonts w:asciiTheme="majorHAnsi" w:eastAsia="Calibri" w:hAnsiTheme="majorHAnsi" w:cstheme="majorHAnsi"/>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139" w:name="_tqeztkq3z2u0" w:colFirst="0" w:colLast="0"/>
      <w:bookmarkEnd w:id="139"/>
      <w:r w:rsidRPr="00B6688A">
        <w:rPr>
          <w:rFonts w:asciiTheme="majorHAnsi" w:hAnsiTheme="majorHAnsi" w:cstheme="majorHAnsi"/>
        </w:rPr>
        <w:t>Adopted Legislation Highlights</w:t>
      </w:r>
    </w:p>
    <w:p w14:paraId="47ED4CA0" w14:textId="3031695D" w:rsidR="00FB1243" w:rsidRPr="00B6688A" w:rsidRDefault="007413BF">
      <w:pPr>
        <w:jc w:val="both"/>
        <w:rPr>
          <w:rFonts w:asciiTheme="majorHAnsi" w:eastAsia="Calibri" w:hAnsiTheme="majorHAnsi" w:cstheme="majorHAnsi"/>
        </w:rPr>
      </w:pPr>
      <w:hyperlink r:id="rId144" w:history="1">
        <w:r w:rsidRPr="00480FE1">
          <w:rPr>
            <w:rStyle w:val="Hyperlink"/>
            <w:rFonts w:asciiTheme="majorHAnsi" w:eastAsia="Calibri" w:hAnsiTheme="majorHAnsi" w:cstheme="majorHAnsi"/>
            <w:b/>
            <w:bCs/>
          </w:rPr>
          <w:t>Wildfire Resilience Grant Program</w:t>
        </w:r>
      </w:hyperlink>
      <w:r w:rsidRPr="00240AC2">
        <w:rPr>
          <w:rFonts w:asciiTheme="majorHAnsi" w:eastAsia="Calibri" w:hAnsiTheme="majorHAnsi" w:cstheme="majorHAnsi"/>
          <w:b/>
          <w:bCs/>
        </w:rPr>
        <w:t>:</w:t>
      </w:r>
      <w:r w:rsidRPr="00A063FC">
        <w:rPr>
          <w:rFonts w:asciiTheme="majorHAnsi" w:eastAsia="Calibri" w:hAnsiTheme="majorHAnsi" w:cstheme="majorHAnsi"/>
          <w:b/>
          <w:bCs/>
        </w:rPr>
        <w:t xml:space="preserve"> </w:t>
      </w:r>
      <w:r w:rsidRPr="00B6688A">
        <w:rPr>
          <w:rFonts w:asciiTheme="majorHAnsi" w:eastAsia="Calibri" w:hAnsiTheme="majorHAnsi" w:cstheme="majorHAnsi"/>
        </w:rPr>
        <w:t xml:space="preserve">The law establishes the California Safe Homes grant program to be developed by </w:t>
      </w:r>
      <w:r w:rsidR="00240AC2">
        <w:rPr>
          <w:rFonts w:asciiTheme="majorHAnsi" w:eastAsia="Calibri" w:hAnsiTheme="majorHAnsi" w:cstheme="majorHAnsi"/>
        </w:rPr>
        <w:t xml:space="preserve">the </w:t>
      </w:r>
      <w:r w:rsidRPr="00B6688A">
        <w:rPr>
          <w:rFonts w:asciiTheme="majorHAnsi" w:eastAsia="Calibri" w:hAnsiTheme="majorHAnsi" w:cstheme="majorHAnsi"/>
        </w:rPr>
        <w:t>CDI to reduce local and statewide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It requires</w:t>
      </w:r>
      <w:r w:rsidR="00240AC2">
        <w:rPr>
          <w:rFonts w:asciiTheme="majorHAnsi" w:eastAsia="Calibri" w:hAnsiTheme="majorHAnsi" w:cstheme="majorHAnsi"/>
        </w:rPr>
        <w:t xml:space="preserve"> the</w:t>
      </w:r>
      <w:r w:rsidRPr="00B6688A">
        <w:rPr>
          <w:rFonts w:asciiTheme="majorHAnsi" w:eastAsia="Calibri" w:hAnsiTheme="majorHAnsi" w:cstheme="majorHAnsi"/>
        </w:rPr>
        <w:t xml:space="preserve"> CDI to prioritize specified needs when awarding grant funds and would require eligible program applicants, which would include individuals, cities, counties, and special districts, to meet specified criteria. </w:t>
      </w:r>
      <w:r w:rsidR="00240AC2">
        <w:rPr>
          <w:rFonts w:asciiTheme="majorHAnsi" w:eastAsia="Calibri" w:hAnsiTheme="majorHAnsi" w:cstheme="majorHAnsi"/>
        </w:rPr>
        <w:t xml:space="preserve">The </w:t>
      </w:r>
      <w:r w:rsidRPr="00B6688A">
        <w:rPr>
          <w:rFonts w:asciiTheme="majorHAnsi" w:eastAsia="Calibri" w:hAnsiTheme="majorHAnsi" w:cstheme="majorHAnsi"/>
        </w:rPr>
        <w:t xml:space="preserve">CDI is required to collect specified information about the </w:t>
      </w:r>
      <w:r w:rsidR="00240AC2">
        <w:rPr>
          <w:rFonts w:asciiTheme="majorHAnsi" w:eastAsia="Calibri" w:hAnsiTheme="majorHAnsi" w:cstheme="majorHAnsi"/>
        </w:rPr>
        <w:t xml:space="preserve">program’s </w:t>
      </w:r>
      <w:r w:rsidRPr="00B6688A">
        <w:rPr>
          <w:rFonts w:asciiTheme="majorHAnsi" w:eastAsia="Calibri" w:hAnsiTheme="majorHAnsi" w:cstheme="majorHAnsi"/>
        </w:rPr>
        <w:t xml:space="preserve">performance and, on or before </w:t>
      </w:r>
      <w:r w:rsidR="00240AC2" w:rsidRPr="00B6688A">
        <w:rPr>
          <w:rFonts w:asciiTheme="majorHAnsi" w:eastAsia="Calibri" w:hAnsiTheme="majorHAnsi" w:cstheme="majorHAnsi"/>
        </w:rPr>
        <w:t>Jan</w:t>
      </w:r>
      <w:r w:rsidR="00240AC2">
        <w:rPr>
          <w:rFonts w:asciiTheme="majorHAnsi" w:eastAsia="Calibri" w:hAnsiTheme="majorHAnsi" w:cstheme="majorHAnsi"/>
        </w:rPr>
        <w:t>.</w:t>
      </w:r>
      <w:r w:rsidR="00240AC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2027, and every </w:t>
      </w:r>
      <w:r w:rsidR="00240AC2">
        <w:rPr>
          <w:rFonts w:asciiTheme="majorHAnsi" w:eastAsia="Calibri" w:hAnsiTheme="majorHAnsi" w:cstheme="majorHAnsi"/>
        </w:rPr>
        <w:t>two</w:t>
      </w:r>
      <w:r w:rsidRPr="00B6688A">
        <w:rPr>
          <w:rFonts w:asciiTheme="majorHAnsi" w:eastAsia="Calibri" w:hAnsiTheme="majorHAnsi" w:cstheme="majorHAnsi"/>
        </w:rPr>
        <w:t xml:space="preserve"> years thereafter, to publish a performance report that would be posted to its website and submitted to the </w:t>
      </w:r>
      <w:r w:rsidR="007B617A">
        <w:rPr>
          <w:rFonts w:asciiTheme="majorHAnsi" w:eastAsia="Calibri" w:hAnsiTheme="majorHAnsi" w:cstheme="majorHAnsi"/>
        </w:rPr>
        <w:t>l</w:t>
      </w:r>
      <w:r w:rsidRPr="00B6688A">
        <w:rPr>
          <w:rFonts w:asciiTheme="majorHAnsi" w:eastAsia="Calibri" w:hAnsiTheme="majorHAnsi" w:cstheme="majorHAnsi"/>
        </w:rPr>
        <w:t>egislature.</w:t>
      </w:r>
    </w:p>
    <w:p w14:paraId="47ED4CA1" w14:textId="714BB2A5" w:rsidR="00FB1243" w:rsidRPr="00B6688A" w:rsidRDefault="007413BF">
      <w:pPr>
        <w:jc w:val="both"/>
        <w:rPr>
          <w:rFonts w:asciiTheme="majorHAnsi" w:eastAsia="Calibri" w:hAnsiTheme="majorHAnsi" w:cstheme="majorHAnsi"/>
        </w:rPr>
      </w:pPr>
      <w:hyperlink r:id="rId145" w:history="1">
        <w:r w:rsidRPr="00FB612B">
          <w:rPr>
            <w:rStyle w:val="Hyperlink"/>
            <w:rFonts w:asciiTheme="majorHAnsi" w:eastAsia="Calibri" w:hAnsiTheme="majorHAnsi" w:cstheme="majorHAnsi"/>
            <w:b/>
            <w:bCs/>
          </w:rPr>
          <w:t>Grant Funding for a Public Wildfire Catastrophe Model</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establishes the Wildfire Safety and Risk Mitigation Program to fund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provide grant funding to one or more universities for eligible projects with specified criteria for the purpose of </w:t>
      </w:r>
      <w:r w:rsidRPr="00B6688A">
        <w:rPr>
          <w:rFonts w:asciiTheme="majorHAnsi" w:eastAsia="Calibri" w:hAnsiTheme="majorHAnsi" w:cstheme="majorHAnsi"/>
        </w:rPr>
        <w:lastRenderedPageBreak/>
        <w:t>creating a research and educational center responsible for developing, demonstrating, and deploying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that provides significant wildfire safety benefits to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and assists alignment of federal, state, and local wildfire risk reduction efforts.</w:t>
      </w:r>
      <w:r w:rsidR="007B617A">
        <w:rPr>
          <w:rFonts w:asciiTheme="majorHAnsi" w:eastAsia="Calibri" w:hAnsiTheme="majorHAnsi" w:cstheme="majorHAnsi"/>
        </w:rPr>
        <w:t xml:space="preserve"> The</w:t>
      </w:r>
      <w:r w:rsidRPr="00B6688A">
        <w:rPr>
          <w:rFonts w:asciiTheme="majorHAnsi" w:eastAsia="Calibri" w:hAnsiTheme="majorHAnsi" w:cstheme="majorHAnsi"/>
        </w:rPr>
        <w:t xml:space="preserve"> CDI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46"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pPr>
        <w:jc w:val="both"/>
        <w:rPr>
          <w:rFonts w:asciiTheme="majorHAnsi" w:eastAsia="Calibri" w:hAnsiTheme="majorHAnsi" w:cstheme="majorHAnsi"/>
        </w:rPr>
      </w:pPr>
      <w:hyperlink r:id="rId147" w:history="1">
        <w:r w:rsidRPr="00CC4551">
          <w:rPr>
            <w:rStyle w:val="Hyperlink"/>
            <w:rFonts w:asciiTheme="majorHAnsi" w:eastAsia="Calibri" w:hAnsiTheme="majorHAnsi" w:cstheme="majorHAnsi"/>
            <w:b/>
            <w:bCs/>
          </w:rPr>
          <w:t>One</w:t>
        </w:r>
        <w:r w:rsidR="007B617A" w:rsidRPr="00CC4551">
          <w:rPr>
            <w:rStyle w:val="Hyperlink"/>
            <w:rFonts w:asciiTheme="majorHAnsi" w:eastAsia="Calibri" w:hAnsiTheme="majorHAnsi" w:cstheme="majorHAnsi"/>
            <w:b/>
            <w:bCs/>
          </w:rPr>
          <w:t>-</w:t>
        </w:r>
        <w:r w:rsidRPr="00CC4551">
          <w:rPr>
            <w:rStyle w:val="Hyperlink"/>
            <w:rFonts w:asciiTheme="majorHAnsi" w:eastAsia="Calibri" w:hAnsiTheme="majorHAnsi" w:cstheme="majorHAnsi"/>
            <w:b/>
            <w:bCs/>
          </w:rPr>
          <w:t>Year Wildfire Insurance Moratoriums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w:t>
      </w:r>
      <w:r w:rsidRPr="002C59FC">
        <w:rPr>
          <w:rFonts w:asciiTheme="majorHAnsi" w:eastAsia="Calibri" w:hAnsiTheme="majorHAnsi" w:cstheme="majorHAnsi"/>
        </w:rPr>
        <w:t xml:space="preserve"> </w:t>
      </w:r>
      <w:r w:rsidRPr="00B6688A">
        <w:rPr>
          <w:rFonts w:asciiTheme="majorHAnsi" w:eastAsia="Calibri" w:hAnsiTheme="majorHAnsi" w:cstheme="majorHAnsi"/>
        </w:rPr>
        <w:t>prohibits, subject to certain exceptions, an insurer from canceling or refusing to renew a policy of residential property insurance for one year after the declaration of a state of emergency based solely on the fact that the insured structure is located in an area in which a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occurred, with respect to an insured property located within or adjacent to the fire perimeter, as specified.</w:t>
      </w:r>
    </w:p>
    <w:p w14:paraId="47ED4CA4" w14:textId="55694D4A" w:rsidR="00FB1243" w:rsidRPr="00B6688A" w:rsidRDefault="007413BF">
      <w:pPr>
        <w:jc w:val="both"/>
        <w:rPr>
          <w:rFonts w:asciiTheme="majorHAnsi" w:eastAsia="Calibri" w:hAnsiTheme="majorHAnsi" w:cstheme="majorHAnsi"/>
          <w:u w:val="single"/>
        </w:rPr>
      </w:pPr>
      <w:hyperlink r:id="rId148" w:history="1">
        <w:r w:rsidRPr="005F257B">
          <w:rPr>
            <w:rStyle w:val="Hyperlink"/>
            <w:rFonts w:asciiTheme="majorHAnsi" w:eastAsia="Calibri" w:hAnsiTheme="majorHAnsi" w:cstheme="majorHAnsi"/>
            <w:b/>
            <w:bCs/>
          </w:rPr>
          <w:t>Wildfire Data Collection</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an admitted insurer with written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r w:rsidR="007B617A">
        <w:rPr>
          <w:rFonts w:asciiTheme="majorHAnsi" w:eastAsia="Calibri" w:hAnsiTheme="majorHAnsi" w:cstheme="majorHAnsi"/>
        </w:rPr>
        <w:t>exceeding</w:t>
      </w:r>
      <w:r w:rsidR="007B617A" w:rsidRPr="00B6688A">
        <w:rPr>
          <w:rFonts w:asciiTheme="majorHAnsi" w:eastAsia="Calibri" w:hAnsiTheme="majorHAnsi" w:cstheme="majorHAnsi"/>
        </w:rPr>
        <w:t xml:space="preserve"> </w:t>
      </w:r>
      <w:r w:rsidRPr="00B6688A">
        <w:rPr>
          <w:rFonts w:asciiTheme="majorHAnsi" w:eastAsia="Calibri" w:hAnsiTheme="majorHAnsi" w:cstheme="majorHAnsi"/>
        </w:rPr>
        <w:t>a specified threshold to submit</w:t>
      </w:r>
      <w:r w:rsidR="00C03599">
        <w:rPr>
          <w:rFonts w:asciiTheme="majorHAnsi" w:eastAsia="Calibri" w:hAnsiTheme="majorHAnsi" w:cstheme="majorHAnsi"/>
        </w:rPr>
        <w:t xml:space="preserve"> a</w:t>
      </w:r>
      <w:r w:rsidR="00CC6D1C">
        <w:rPr>
          <w:rFonts w:asciiTheme="majorHAnsi" w:eastAsia="Calibri" w:hAnsiTheme="majorHAnsi" w:cstheme="majorHAnsi"/>
        </w:rPr>
        <w:t xml:space="preserve"> biennial</w:t>
      </w:r>
      <w:r w:rsidR="00C03599">
        <w:rPr>
          <w:rFonts w:asciiTheme="majorHAnsi" w:eastAsia="Calibri" w:hAnsiTheme="majorHAnsi" w:cstheme="majorHAnsi"/>
        </w:rPr>
        <w:t xml:space="preserve"> report </w:t>
      </w:r>
      <w:r w:rsidR="00CC6D1C">
        <w:rPr>
          <w:rFonts w:asciiTheme="majorHAnsi" w:eastAsia="Calibri" w:hAnsiTheme="majorHAnsi" w:cstheme="majorHAnsi"/>
        </w:rPr>
        <w:t xml:space="preserve">to the commissioner that includes </w:t>
      </w:r>
      <w:r w:rsidR="00C03599">
        <w:rPr>
          <w:rFonts w:asciiTheme="majorHAnsi" w:eastAsia="Calibri" w:hAnsiTheme="majorHAnsi" w:cstheme="majorHAnsi"/>
        </w:rPr>
        <w:t xml:space="preserve">specified fire risk information </w:t>
      </w:r>
      <w:r w:rsidR="00DB14A2">
        <w:rPr>
          <w:rFonts w:asciiTheme="majorHAnsi" w:eastAsia="Calibri" w:hAnsiTheme="majorHAnsi" w:cstheme="majorHAnsi"/>
        </w:rPr>
        <w:t>for</w:t>
      </w:r>
      <w:r w:rsidR="00C03599">
        <w:rPr>
          <w:rFonts w:asciiTheme="majorHAnsi" w:eastAsia="Calibri" w:hAnsiTheme="majorHAnsi" w:cstheme="majorHAnsi"/>
        </w:rPr>
        <w:t xml:space="preserve"> its residential property policies</w:t>
      </w:r>
      <w:r w:rsidRPr="00B6688A">
        <w:rPr>
          <w:rFonts w:asciiTheme="majorHAnsi" w:eastAsia="Calibri" w:hAnsiTheme="majorHAnsi" w:cstheme="majorHAnsi"/>
        </w:rPr>
        <w:t xml:space="preserve">. Reports </w:t>
      </w:r>
      <w:r w:rsidR="00C03599">
        <w:rPr>
          <w:rFonts w:asciiTheme="majorHAnsi" w:eastAsia="Calibri" w:hAnsiTheme="majorHAnsi" w:cstheme="majorHAnsi"/>
        </w:rPr>
        <w:t>are available on the CDI’s website (refer to the</w:t>
      </w:r>
      <w:r w:rsidR="00C03599" w:rsidRPr="00B6688A">
        <w:rPr>
          <w:rFonts w:asciiTheme="majorHAnsi" w:eastAsia="Calibri" w:hAnsiTheme="majorHAnsi" w:cstheme="majorHAnsi"/>
        </w:rPr>
        <w:t xml:space="preserve"> </w:t>
      </w:r>
      <w:r w:rsidRPr="00B6688A">
        <w:rPr>
          <w:rFonts w:asciiTheme="majorHAnsi" w:eastAsia="Calibri" w:hAnsiTheme="majorHAnsi" w:cstheme="majorHAnsi"/>
        </w:rPr>
        <w:t>Data Collection section</w:t>
      </w:r>
      <w:r w:rsidR="00D323A6">
        <w:rPr>
          <w:rFonts w:asciiTheme="majorHAnsi" w:eastAsia="Calibri" w:hAnsiTheme="majorHAnsi" w:cstheme="majorHAnsi"/>
        </w:rPr>
        <w:t xml:space="preserve"> on page 76</w:t>
      </w:r>
      <w:r w:rsidRPr="00B6688A">
        <w:rPr>
          <w:rFonts w:asciiTheme="majorHAnsi" w:eastAsia="Calibri" w:hAnsiTheme="majorHAnsi" w:cstheme="majorHAnsi"/>
        </w:rPr>
        <w:t>).</w:t>
      </w:r>
    </w:p>
    <w:p w14:paraId="47ED4CA5" w14:textId="0045EBD8" w:rsidR="00FB1243" w:rsidRPr="00B6688A" w:rsidRDefault="007413BF">
      <w:pPr>
        <w:jc w:val="both"/>
        <w:rPr>
          <w:rFonts w:asciiTheme="majorHAnsi" w:eastAsia="Calibri" w:hAnsiTheme="majorHAnsi" w:cstheme="majorHAnsi"/>
        </w:rPr>
      </w:pPr>
      <w:hyperlink r:id="rId149" w:history="1">
        <w:r w:rsidRPr="00DD525C">
          <w:rPr>
            <w:rStyle w:val="Hyperlink"/>
            <w:rFonts w:asciiTheme="majorHAnsi" w:eastAsia="Calibri" w:hAnsiTheme="majorHAnsi" w:cstheme="majorHAnsi"/>
            <w:b/>
            <w:bCs/>
          </w:rPr>
          <w:t>Defensible Space Guidelines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the </w:t>
      </w:r>
      <w:r w:rsidR="00A717BA">
        <w:rPr>
          <w:rFonts w:asciiTheme="majorHAnsi" w:eastAsia="Calibri" w:hAnsiTheme="majorHAnsi" w:cstheme="majorHAnsi"/>
        </w:rPr>
        <w:t>s</w:t>
      </w:r>
      <w:r w:rsidRPr="00B6688A">
        <w:rPr>
          <w:rFonts w:asciiTheme="majorHAnsi" w:eastAsia="Calibri" w:hAnsiTheme="majorHAnsi" w:cstheme="majorHAnsi"/>
        </w:rPr>
        <w:t xml:space="preserve">tate </w:t>
      </w:r>
      <w:r w:rsidR="00A717BA">
        <w:rPr>
          <w:rFonts w:asciiTheme="majorHAnsi" w:eastAsia="Calibri" w:hAnsiTheme="majorHAnsi" w:cstheme="majorHAnsi"/>
        </w:rPr>
        <w:t>f</w:t>
      </w:r>
      <w:r w:rsidRPr="00B6688A">
        <w:rPr>
          <w:rFonts w:asciiTheme="majorHAnsi" w:eastAsia="Calibri" w:hAnsiTheme="majorHAnsi" w:cstheme="majorHAnsi"/>
        </w:rPr>
        <w:t xml:space="preserve">ire </w:t>
      </w:r>
      <w:r w:rsidR="00A717BA">
        <w:rPr>
          <w:rFonts w:asciiTheme="majorHAnsi" w:eastAsia="Calibri" w:hAnsiTheme="majorHAnsi" w:cstheme="majorHAnsi"/>
        </w:rPr>
        <w:t>m</w:t>
      </w:r>
      <w:r w:rsidRPr="00B6688A">
        <w:rPr>
          <w:rFonts w:asciiTheme="majorHAnsi" w:eastAsia="Calibri" w:hAnsiTheme="majorHAnsi" w:cstheme="majorHAnsi"/>
        </w:rPr>
        <w:t>arshal to develop model defensible space guidelines that local governments may adopt and enforce to reduce flammable vegetation and ignition sources</w:t>
      </w:r>
      <w:r w:rsidR="00F20372">
        <w:rPr>
          <w:rFonts w:asciiTheme="majorHAnsi" w:eastAsia="Calibri" w:hAnsiTheme="majorHAnsi" w:cstheme="majorHAnsi"/>
        </w:rPr>
        <w:t xml:space="preserve"> </w:t>
      </w:r>
      <w:r w:rsidRPr="00B6688A">
        <w:rPr>
          <w:rFonts w:asciiTheme="majorHAnsi" w:eastAsia="Calibri" w:hAnsiTheme="majorHAnsi" w:cstheme="majorHAnsi"/>
        </w:rPr>
        <w:t>around at-risk homes. More recently, this framework has been expanded to include—</w:t>
      </w:r>
      <w:hyperlink r:id="rId150">
        <w:r w:rsidR="00FB1243" w:rsidRPr="00B6688A">
          <w:rPr>
            <w:rFonts w:asciiTheme="majorHAnsi" w:eastAsia="Calibri" w:hAnsiTheme="majorHAnsi" w:cstheme="majorHAnsi"/>
            <w:color w:val="0000FF"/>
            <w:u w:val="single"/>
          </w:rPr>
          <w:t>with rulemaking underway to implement</w:t>
        </w:r>
      </w:hyperlink>
      <w:r w:rsidRPr="00B6688A">
        <w:rPr>
          <w:rFonts w:asciiTheme="majorHAnsi" w:eastAsia="Calibri" w:hAnsiTheme="majorHAnsi" w:cstheme="majorHAnsi"/>
        </w:rPr>
        <w:t>—an ember</w:t>
      </w:r>
      <w:r w:rsidRPr="00B6688A">
        <w:rPr>
          <w:rFonts w:ascii="Cambria Math" w:eastAsia="Cambria Math" w:hAnsi="Cambria Math" w:cs="Cambria Math"/>
        </w:rPr>
        <w:t>‑</w:t>
      </w:r>
      <w:r w:rsidRPr="00B6688A">
        <w:rPr>
          <w:rFonts w:asciiTheme="majorHAnsi" w:eastAsia="Calibri" w:hAnsiTheme="majorHAnsi" w:cstheme="majorHAnsi"/>
        </w:rPr>
        <w:t xml:space="preserve">resistant Zone 0, requiring the elimination or modification of combustible materials within the first five feet immediately surrounding a structure. </w:t>
      </w:r>
    </w:p>
    <w:p w14:paraId="47ED4CA6" w14:textId="00108E2A" w:rsidR="00FB1243" w:rsidRPr="00B6688A" w:rsidRDefault="007413BF">
      <w:pPr>
        <w:jc w:val="both"/>
        <w:rPr>
          <w:rFonts w:asciiTheme="majorHAnsi" w:eastAsia="Calibri" w:hAnsiTheme="majorHAnsi" w:cstheme="majorHAnsi"/>
          <w:u w:val="single"/>
        </w:rPr>
      </w:pPr>
      <w:hyperlink r:id="rId151" w:history="1">
        <w:r w:rsidRPr="00030919">
          <w:rPr>
            <w:rStyle w:val="Hyperlink"/>
            <w:rFonts w:asciiTheme="majorHAnsi" w:eastAsia="Calibri" w:hAnsiTheme="majorHAnsi" w:cstheme="majorHAnsi"/>
            <w:b/>
            <w:bCs/>
          </w:rPr>
          <w:t>Insurance Availability for Agricultural Structures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allows for the FAIR Plan to sell commercial coverage to farm</w:t>
      </w:r>
      <w:r w:rsidR="00444A1B">
        <w:rPr>
          <w:rFonts w:asciiTheme="majorHAnsi" w:eastAsia="Calibri" w:hAnsiTheme="majorHAnsi" w:cstheme="majorHAnsi"/>
        </w:rPr>
        <w:t xml:space="preserve"> </w:t>
      </w:r>
      <w:r w:rsidRPr="00B6688A">
        <w:rPr>
          <w:rFonts w:asciiTheme="majorHAnsi" w:eastAsia="Calibri" w:hAnsiTheme="majorHAnsi" w:cstheme="majorHAnsi"/>
        </w:rPr>
        <w:t>structures. (</w:t>
      </w:r>
      <w:r w:rsidR="00A717BA">
        <w:rPr>
          <w:rFonts w:asciiTheme="majorHAnsi" w:eastAsia="Calibri" w:hAnsiTheme="majorHAnsi" w:cstheme="majorHAnsi"/>
        </w:rPr>
        <w:t>Refer to the</w:t>
      </w:r>
      <w:r w:rsidR="00A717BA"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Modernization of </w:t>
      </w:r>
      <w:r w:rsidR="00444A1B">
        <w:rPr>
          <w:rFonts w:asciiTheme="majorHAnsi" w:eastAsia="Calibri" w:hAnsiTheme="majorHAnsi" w:cstheme="majorHAnsi"/>
        </w:rPr>
        <w:t xml:space="preserve">the </w:t>
      </w:r>
      <w:r w:rsidRPr="00B6688A">
        <w:rPr>
          <w:rFonts w:asciiTheme="majorHAnsi" w:eastAsia="Calibri" w:hAnsiTheme="majorHAnsi" w:cstheme="majorHAnsi"/>
        </w:rPr>
        <w:t>FAIR Plan</w:t>
      </w:r>
      <w:r w:rsidR="00444A1B">
        <w:rPr>
          <w:rFonts w:asciiTheme="majorHAnsi" w:eastAsia="Calibri" w:hAnsiTheme="majorHAnsi" w:cstheme="majorHAnsi"/>
        </w:rPr>
        <w:t xml:space="preserve"> section on page 75 below</w:t>
      </w:r>
      <w:r w:rsidR="00A717BA">
        <w:rPr>
          <w:rFonts w:asciiTheme="majorHAnsi" w:eastAsia="Calibri" w:hAnsiTheme="majorHAnsi" w:cstheme="majorHAnsi"/>
        </w:rPr>
        <w:t>.</w:t>
      </w:r>
      <w:r w:rsidRPr="00B6688A">
        <w:rPr>
          <w:rFonts w:asciiTheme="majorHAnsi" w:eastAsia="Calibri" w:hAnsiTheme="majorHAnsi" w:cstheme="majorHAnsi"/>
        </w:rPr>
        <w:t>)</w:t>
      </w:r>
    </w:p>
    <w:p w14:paraId="47ED4CA7" w14:textId="6CB7C2C4" w:rsidR="00FB1243" w:rsidRPr="00B6688A" w:rsidRDefault="007413BF">
      <w:pPr>
        <w:jc w:val="both"/>
        <w:rPr>
          <w:rFonts w:asciiTheme="majorHAnsi" w:eastAsia="Calibri" w:hAnsiTheme="majorHAnsi" w:cstheme="majorHAnsi"/>
        </w:rPr>
      </w:pPr>
      <w:hyperlink r:id="rId152" w:history="1">
        <w:r w:rsidRPr="008F6EE4">
          <w:rPr>
            <w:rStyle w:val="Hyperlink"/>
            <w:rFonts w:asciiTheme="majorHAnsi" w:eastAsia="Calibri" w:hAnsiTheme="majorHAnsi" w:cstheme="majorHAnsi"/>
            <w:b/>
            <w:bCs/>
          </w:rPr>
          <w:t>Promoting Safe Prescribed Burning and Insurance Coverage</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Pr>
          <w:rFonts w:asciiTheme="majorHAnsi" w:eastAsia="Calibri" w:hAnsiTheme="majorHAnsi" w:cstheme="majorHAnsi"/>
        </w:rPr>
        <w:t xml:space="preserve">The </w:t>
      </w:r>
      <w:r w:rsidRPr="00B6688A">
        <w:rPr>
          <w:rFonts w:asciiTheme="majorHAnsi" w:eastAsia="Calibri" w:hAnsiTheme="majorHAnsi" w:cstheme="majorHAnsi"/>
        </w:rPr>
        <w:t>CDI helped create and develop a state-backed liability fund to cover prescribed and cultural burning. Cultural and prescribed burning are essential practices for meeting diverse objectives,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and biodiversity stewardship. These practices have faced insurance barriers. Together </w:t>
      </w:r>
      <w:r w:rsidRPr="00B6688A">
        <w:rPr>
          <w:rFonts w:asciiTheme="majorHAnsi" w:eastAsia="Calibri" w:hAnsiTheme="majorHAnsi" w:cstheme="majorHAnsi"/>
        </w:rPr>
        <w:lastRenderedPageBreak/>
        <w:t xml:space="preserve">with the Nature Conservancy, </w:t>
      </w:r>
      <w:r w:rsidR="00E47707">
        <w:rPr>
          <w:rFonts w:asciiTheme="majorHAnsi" w:eastAsia="Calibri" w:hAnsiTheme="majorHAnsi" w:cstheme="majorHAnsi"/>
        </w:rPr>
        <w:t xml:space="preserve">the </w:t>
      </w:r>
      <w:r w:rsidR="00E47707" w:rsidRPr="00E47707">
        <w:rPr>
          <w:rFonts w:asciiTheme="majorHAnsi" w:eastAsia="Calibri" w:hAnsiTheme="majorHAnsi" w:cstheme="majorHAnsi"/>
        </w:rPr>
        <w:t>California Department of Forestry and Fire Protection</w:t>
      </w:r>
      <w:r w:rsidR="00E47707">
        <w:rPr>
          <w:rFonts w:asciiTheme="majorHAnsi" w:eastAsia="Calibri" w:hAnsiTheme="majorHAnsi" w:cstheme="majorHAnsi"/>
        </w:rPr>
        <w:t xml:space="preserve"> (</w:t>
      </w:r>
      <w:r w:rsidRPr="00B6688A">
        <w:rPr>
          <w:rFonts w:asciiTheme="majorHAnsi" w:eastAsia="Calibri" w:hAnsiTheme="majorHAnsi" w:cstheme="majorHAnsi"/>
        </w:rPr>
        <w:t>CAL FIRE</w:t>
      </w:r>
      <w:r w:rsidR="00E47707">
        <w:rPr>
          <w:rFonts w:asciiTheme="majorHAnsi" w:eastAsia="Calibri" w:hAnsiTheme="majorHAnsi" w:cstheme="majorHAnsi"/>
        </w:rPr>
        <w:t>)</w:t>
      </w:r>
      <w:r w:rsidRPr="00B6688A">
        <w:rPr>
          <w:rFonts w:asciiTheme="majorHAnsi" w:eastAsia="Calibri" w:hAnsiTheme="majorHAnsi" w:cstheme="majorHAnsi"/>
        </w:rPr>
        <w:t>, and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Cooperative Extension, </w:t>
      </w:r>
      <w:r w:rsidR="007860FE">
        <w:rPr>
          <w:rFonts w:asciiTheme="majorHAnsi" w:eastAsia="Calibri" w:hAnsiTheme="majorHAnsi" w:cstheme="majorHAnsi"/>
        </w:rPr>
        <w:t xml:space="preserve">the </w:t>
      </w:r>
      <w:r w:rsidRPr="00B6688A">
        <w:rPr>
          <w:rFonts w:asciiTheme="majorHAnsi" w:eastAsia="Calibri" w:hAnsiTheme="majorHAnsi" w:cstheme="majorHAnsi"/>
        </w:rPr>
        <w:t xml:space="preserve">CDI helped create the </w:t>
      </w:r>
      <w:hyperlink r:id="rId153">
        <w:r w:rsidR="00FB1243" w:rsidRPr="00B6688A">
          <w:rPr>
            <w:rFonts w:asciiTheme="majorHAnsi" w:eastAsia="Calibri" w:hAnsiTheme="majorHAnsi" w:cstheme="majorHAnsi"/>
            <w:color w:val="467886"/>
            <w:u w:val="single"/>
          </w:rPr>
          <w:t xml:space="preserve">Prescribed Burn Claims Fund </w:t>
        </w:r>
        <w:r w:rsidR="00123530">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ilot</w:t>
        </w:r>
      </w:hyperlink>
      <w:r w:rsidR="007860FE">
        <w:t>,</w:t>
      </w:r>
      <w:r w:rsidRPr="00B6688A">
        <w:rPr>
          <w:rFonts w:asciiTheme="majorHAnsi" w:eastAsia="Calibri" w:hAnsiTheme="majorHAnsi" w:cstheme="majorHAnsi"/>
        </w:rPr>
        <w:t xml:space="preserve"> which removes a significant barrier to obtaining insurance for potential damages from a prescribed fire or cultural burn conducted by a certified prescribed fire burn boss or a cultural fire practitioner. The </w:t>
      </w:r>
      <w:r w:rsidR="00763D78">
        <w:rPr>
          <w:rFonts w:asciiTheme="majorHAnsi" w:eastAsia="Calibri" w:hAnsiTheme="majorHAnsi" w:cstheme="majorHAnsi"/>
        </w:rPr>
        <w:t>f</w:t>
      </w:r>
      <w:r w:rsidRPr="00B6688A">
        <w:rPr>
          <w:rFonts w:asciiTheme="majorHAnsi" w:eastAsia="Calibri" w:hAnsiTheme="majorHAnsi" w:cstheme="majorHAnsi"/>
        </w:rPr>
        <w:t xml:space="preserve">und was codified a year later through </w:t>
      </w:r>
      <w:hyperlink r:id="rId154">
        <w:r w:rsidR="00FB1243" w:rsidRPr="00B6688A">
          <w:rPr>
            <w:rFonts w:asciiTheme="majorHAnsi" w:eastAsia="Calibri" w:hAnsiTheme="majorHAnsi" w:cstheme="majorHAnsi"/>
            <w:color w:val="467886"/>
            <w:u w:val="single"/>
          </w:rPr>
          <w:t>SB-926</w:t>
        </w:r>
      </w:hyperlink>
      <w:r w:rsidRPr="00B6688A">
        <w:rPr>
          <w:rFonts w:asciiTheme="majorHAnsi" w:eastAsia="Calibri" w:hAnsiTheme="majorHAnsi" w:cstheme="majorHAnsi"/>
        </w:rPr>
        <w:t>.</w:t>
      </w:r>
      <w:r w:rsidR="000F35E3">
        <w:rPr>
          <w:rStyle w:val="FootnoteReference"/>
          <w:rFonts w:asciiTheme="majorHAnsi" w:eastAsia="Calibri" w:hAnsiTheme="majorHAnsi" w:cstheme="majorHAnsi"/>
        </w:rPr>
        <w:footnoteReference w:id="141"/>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5">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56">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57">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58">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pPr>
        <w:jc w:val="both"/>
        <w:rPr>
          <w:rFonts w:asciiTheme="majorHAnsi" w:eastAsia="Calibri" w:hAnsiTheme="majorHAnsi" w:cstheme="majorHAnsi"/>
        </w:rPr>
      </w:pPr>
      <w:hyperlink r:id="rId159" w:history="1">
        <w:r w:rsidRPr="007A7194">
          <w:rPr>
            <w:rStyle w:val="Hyperlink"/>
            <w:rFonts w:asciiTheme="majorHAnsi" w:eastAsia="Calibri" w:hAnsiTheme="majorHAnsi" w:cstheme="majorHAnsi"/>
            <w:b/>
            <w:bCs/>
          </w:rPr>
          <w:t>Promoting Resilience Through a New Type of Financing Districts</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This law authorizes local cities and governments to establish </w:t>
      </w:r>
      <w:r w:rsidR="003B2798">
        <w:rPr>
          <w:rFonts w:asciiTheme="majorHAnsi" w:eastAsia="Calibri" w:hAnsiTheme="majorHAnsi" w:cstheme="majorHAnsi"/>
        </w:rPr>
        <w:t>c</w:t>
      </w:r>
      <w:r w:rsidRPr="00B6688A">
        <w:rPr>
          <w:rFonts w:asciiTheme="majorHAnsi" w:eastAsia="Calibri" w:hAnsiTheme="majorHAnsi" w:cstheme="majorHAnsi"/>
        </w:rPr>
        <w:t xml:space="preserve">limate </w:t>
      </w:r>
      <w:r w:rsidR="003B2798">
        <w:rPr>
          <w:rFonts w:asciiTheme="majorHAnsi" w:eastAsia="Calibri" w:hAnsiTheme="majorHAnsi" w:cstheme="majorHAnsi"/>
        </w:rPr>
        <w:t>r</w:t>
      </w:r>
      <w:r w:rsidRPr="00B6688A">
        <w:rPr>
          <w:rFonts w:asciiTheme="majorHAnsi" w:eastAsia="Calibri" w:hAnsiTheme="majorHAnsi" w:cstheme="majorHAnsi"/>
        </w:rPr>
        <w:t xml:space="preserve">esilience </w:t>
      </w:r>
      <w:r w:rsidR="003B2798">
        <w:rPr>
          <w:rFonts w:asciiTheme="majorHAnsi" w:eastAsia="Calibri" w:hAnsiTheme="majorHAnsi" w:cstheme="majorHAnsi"/>
        </w:rPr>
        <w:t>d</w:t>
      </w:r>
      <w:r w:rsidRPr="00B6688A">
        <w:rPr>
          <w:rFonts w:asciiTheme="majorHAnsi" w:eastAsia="Calibri" w:hAnsiTheme="majorHAnsi" w:cstheme="majorHAnsi"/>
        </w:rPr>
        <w:t>istricts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 Districts"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districts are empowered to finance and implement projects to mitigate the impacts of climate change,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AA" w14:textId="6AAAC83A" w:rsidR="00FB1243" w:rsidRPr="00B6688A" w:rsidRDefault="007413BF">
      <w:pPr>
        <w:jc w:val="both"/>
        <w:rPr>
          <w:rFonts w:asciiTheme="majorHAnsi" w:eastAsia="Calibri" w:hAnsiTheme="majorHAnsi" w:cstheme="majorHAnsi"/>
          <w:u w:val="single"/>
        </w:rPr>
      </w:pPr>
      <w:hyperlink r:id="rId160" w:history="1">
        <w:r w:rsidRPr="00247B51">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391EEA">
        <w:rPr>
          <w:rFonts w:asciiTheme="majorHAnsi" w:eastAsia="Calibri" w:hAnsiTheme="majorHAnsi" w:cstheme="majorHAnsi"/>
        </w:rPr>
        <w:t>California</w:t>
      </w:r>
      <w:r w:rsidRPr="00B6688A">
        <w:rPr>
          <w:rFonts w:asciiTheme="majorHAnsi" w:eastAsia="Calibri" w:hAnsiTheme="majorHAnsi" w:cstheme="majorHAnsi"/>
        </w:rPr>
        <w:t xml:space="preserve"> </w:t>
      </w:r>
      <w:r w:rsidR="00391EEA">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391EEA">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391EEA">
        <w:rPr>
          <w:rFonts w:asciiTheme="majorHAnsi" w:eastAsia="Calibri" w:hAnsiTheme="majorHAnsi" w:cstheme="majorHAnsi"/>
        </w:rPr>
        <w:t>i</w:t>
      </w:r>
      <w:r w:rsidRPr="00B6688A">
        <w:rPr>
          <w:rFonts w:asciiTheme="majorHAnsi" w:eastAsia="Calibri" w:hAnsiTheme="majorHAnsi" w:cstheme="majorHAnsi"/>
        </w:rPr>
        <w:t xml:space="preserve">nsurance </w:t>
      </w:r>
      <w:r w:rsidR="00391EEA">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w:t>
      </w:r>
      <w:r w:rsidR="00A8116D">
        <w:rPr>
          <w:rFonts w:asciiTheme="majorHAnsi" w:eastAsia="Calibri" w:hAnsiTheme="majorHAnsi" w:cstheme="majorHAnsi"/>
        </w:rPr>
        <w:t>-</w:t>
      </w:r>
      <w:r w:rsidRPr="00B6688A">
        <w:rPr>
          <w:rFonts w:asciiTheme="majorHAnsi" w:eastAsia="Calibri" w:hAnsiTheme="majorHAnsi" w:cstheme="majorHAnsi"/>
        </w:rPr>
        <w:t>related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w:t>
      </w:r>
      <w:r w:rsidRPr="00B6688A">
        <w:rPr>
          <w:rFonts w:asciiTheme="majorHAnsi" w:eastAsia="Calibri" w:hAnsiTheme="majorHAnsi" w:cstheme="majorHAnsi"/>
          <w:u w:val="single"/>
        </w:rPr>
        <w:t xml:space="preserve"> </w:t>
      </w:r>
    </w:p>
    <w:p w14:paraId="47ED4CAB" w14:textId="7E70BA02" w:rsidR="00FB1243" w:rsidRPr="00B6688A" w:rsidRDefault="00FB1243">
      <w:pPr>
        <w:numPr>
          <w:ilvl w:val="1"/>
          <w:numId w:val="57"/>
        </w:numPr>
        <w:jc w:val="both"/>
        <w:rPr>
          <w:rFonts w:asciiTheme="majorHAnsi" w:eastAsia="Calibri" w:hAnsiTheme="majorHAnsi" w:cstheme="majorHAnsi"/>
        </w:rPr>
      </w:pPr>
      <w:hyperlink r:id="rId161">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u w:val="single"/>
        </w:rPr>
        <w:t>:</w:t>
      </w:r>
      <w:r w:rsidRPr="00B6688A">
        <w:rPr>
          <w:rFonts w:asciiTheme="majorHAnsi" w:eastAsia="Calibri" w:hAnsiTheme="majorHAnsi" w:cstheme="majorHAnsi"/>
        </w:rPr>
        <w:t xml:space="preserve"> Pursuant to SB-30, Commissioner Lara appointed a working group of environmental advocates, public policy experts, researchers, and insurance experts to make recommendations to reduce the threat </w:t>
      </w:r>
      <w:r w:rsidR="00224EB2">
        <w:rPr>
          <w:rFonts w:asciiTheme="majorHAnsi" w:eastAsia="Calibri" w:hAnsiTheme="majorHAnsi" w:cstheme="majorHAnsi"/>
        </w:rPr>
        <w:t>posed by</w:t>
      </w:r>
      <w:r w:rsidR="00224EB2" w:rsidRPr="00B6688A">
        <w:rPr>
          <w:rFonts w:asciiTheme="majorHAnsi" w:eastAsia="Calibri" w:hAnsiTheme="majorHAnsi" w:cstheme="majorHAnsi"/>
        </w:rPr>
        <w:t xml:space="preserve"> </w:t>
      </w:r>
      <w:r w:rsidRPr="00B6688A">
        <w:rPr>
          <w:rFonts w:asciiTheme="majorHAnsi" w:eastAsia="Calibri" w:hAnsiTheme="majorHAnsi" w:cstheme="majorHAnsi"/>
        </w:rPr>
        <w:t>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urban high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162">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 xml:space="preserve">titled </w:t>
      </w:r>
      <w:r w:rsidRPr="004A4D5D">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AC" w14:textId="459CD5F0" w:rsidR="00FB1243" w:rsidRPr="00B6688A" w:rsidRDefault="007413BF" w:rsidP="008C0F5D">
      <w:pPr>
        <w:pStyle w:val="Heading5"/>
        <w:rPr>
          <w:rFonts w:asciiTheme="majorHAnsi" w:hAnsiTheme="majorHAnsi" w:cstheme="majorHAnsi"/>
        </w:rPr>
      </w:pPr>
      <w:bookmarkStart w:id="140" w:name="_40mr125cbz1" w:colFirst="0" w:colLast="0"/>
      <w:bookmarkEnd w:id="140"/>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3"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 xml:space="preserve">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egislature, for the purpose of achieving specified goals, 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pPr>
        <w:jc w:val="both"/>
        <w:rPr>
          <w:rFonts w:asciiTheme="majorHAnsi" w:eastAsia="Calibri" w:hAnsiTheme="majorHAnsi" w:cstheme="majorHAnsi"/>
        </w:rPr>
      </w:pPr>
      <w:hyperlink r:id="rId164" w:history="1">
        <w:r w:rsidRPr="00D07EF6">
          <w:rPr>
            <w:rStyle w:val="Hyperlink"/>
            <w:rFonts w:asciiTheme="majorHAnsi" w:eastAsia="Calibri" w:hAnsiTheme="majorHAnsi" w:cstheme="majorHAnsi"/>
            <w:b/>
            <w:bCs/>
          </w:rPr>
          <w:t>Planning and Zoning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imposed certain fire</w:t>
      </w:r>
      <w:r w:rsidR="00880861">
        <w:rPr>
          <w:rFonts w:asciiTheme="majorHAnsi" w:eastAsia="Calibri" w:hAnsiTheme="majorHAnsi" w:cstheme="majorHAnsi"/>
        </w:rPr>
        <w:t>-</w:t>
      </w:r>
      <w:r w:rsidRPr="00B6688A">
        <w:rPr>
          <w:rFonts w:asciiTheme="majorHAnsi" w:eastAsia="Calibri" w:hAnsiTheme="majorHAnsi" w:cstheme="majorHAnsi"/>
        </w:rPr>
        <w:t>hazard planning responsibilities on local governments and require</w:t>
      </w:r>
      <w:r w:rsidR="00880861">
        <w:rPr>
          <w:rFonts w:asciiTheme="majorHAnsi" w:eastAsia="Calibri" w:hAnsiTheme="majorHAnsi" w:cstheme="majorHAnsi"/>
        </w:rPr>
        <w:t>d</w:t>
      </w:r>
      <w:r w:rsidRPr="00B6688A">
        <w:rPr>
          <w:rFonts w:asciiTheme="majorHAnsi" w:eastAsia="Calibri" w:hAnsiTheme="majorHAnsi" w:cstheme="majorHAnsi"/>
        </w:rPr>
        <w:t xml:space="preserve"> cities and counties to make specified findings </w:t>
      </w:r>
      <w:r w:rsidR="00017F5B">
        <w:rPr>
          <w:rFonts w:asciiTheme="majorHAnsi" w:eastAsia="Calibri" w:hAnsiTheme="majorHAnsi" w:cstheme="majorHAnsi"/>
        </w:rPr>
        <w:t>regarding</w:t>
      </w:r>
      <w:r w:rsidRPr="00B6688A">
        <w:rPr>
          <w:rFonts w:asciiTheme="majorHAnsi" w:eastAsia="Calibri" w:hAnsiTheme="majorHAnsi" w:cstheme="majorHAnsi"/>
        </w:rPr>
        <w:t xml:space="preserve"> fire standards </w:t>
      </w:r>
      <w:r w:rsidR="00017F5B">
        <w:rPr>
          <w:rFonts w:asciiTheme="majorHAnsi" w:eastAsia="Calibri" w:hAnsiTheme="majorHAnsi" w:cstheme="majorHAnsi"/>
        </w:rPr>
        <w:t>before</w:t>
      </w:r>
      <w:r w:rsidRPr="00B6688A">
        <w:rPr>
          <w:rFonts w:asciiTheme="majorHAnsi" w:eastAsia="Calibri" w:hAnsiTheme="majorHAnsi" w:cstheme="majorHAnsi"/>
        </w:rPr>
        <w:t xml:space="preserve"> permitting development in the very high fire</w:t>
      </w:r>
      <w:r w:rsidR="00015B8C">
        <w:rPr>
          <w:rFonts w:asciiTheme="majorHAnsi" w:eastAsia="Calibri" w:hAnsiTheme="majorHAnsi" w:cstheme="majorHAnsi"/>
        </w:rPr>
        <w:t>-</w:t>
      </w:r>
      <w:r w:rsidRPr="00B6688A">
        <w:rPr>
          <w:rFonts w:asciiTheme="majorHAnsi" w:eastAsia="Calibri" w:hAnsiTheme="majorHAnsi" w:cstheme="majorHAnsi"/>
        </w:rPr>
        <w:t xml:space="preserve">hazard severity zone. </w:t>
      </w:r>
    </w:p>
    <w:p w14:paraId="47ED4CAF" w14:textId="3A4AEA7B" w:rsidR="00FB1243" w:rsidRPr="00B6688A" w:rsidRDefault="007413BF">
      <w:pPr>
        <w:jc w:val="both"/>
        <w:rPr>
          <w:rFonts w:asciiTheme="majorHAnsi" w:eastAsia="Calibri" w:hAnsiTheme="majorHAnsi" w:cstheme="majorHAnsi"/>
        </w:rPr>
      </w:pPr>
      <w:hyperlink r:id="rId165" w:history="1">
        <w:r w:rsidRPr="00EE1C06">
          <w:rPr>
            <w:rStyle w:val="Hyperlink"/>
            <w:rFonts w:asciiTheme="majorHAnsi" w:eastAsia="Calibri" w:hAnsiTheme="majorHAnsi" w:cstheme="majorHAnsi"/>
            <w:b/>
            <w:bCs/>
          </w:rPr>
          <w:t>Tax Incentives for Home Hardening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t>
      </w:r>
      <w:r w:rsidR="00EE1C06">
        <w:rPr>
          <w:rFonts w:asciiTheme="majorHAnsi" w:eastAsia="Calibri" w:hAnsiTheme="majorHAnsi" w:cstheme="majorHAnsi"/>
        </w:rPr>
        <w:t xml:space="preserve">The </w:t>
      </w:r>
      <w:r w:rsidRPr="00B6688A">
        <w:rPr>
          <w:rFonts w:asciiTheme="majorHAnsi" w:eastAsia="Calibri" w:hAnsiTheme="majorHAnsi" w:cstheme="majorHAnsi"/>
        </w:rPr>
        <w:t>bill would have created two 50% tax credits under the Personal Income Tax Law for qualified homeowners who live in moderate, high, or very high fire</w:t>
      </w:r>
      <w:r w:rsidR="00015B8C">
        <w:rPr>
          <w:rFonts w:asciiTheme="majorHAnsi" w:eastAsia="Calibri" w:hAnsiTheme="majorHAnsi" w:cstheme="majorHAnsi"/>
        </w:rPr>
        <w:t>-</w:t>
      </w:r>
      <w:r w:rsidRPr="00B6688A">
        <w:rPr>
          <w:rFonts w:asciiTheme="majorHAnsi" w:eastAsia="Calibri" w:hAnsiTheme="majorHAnsi" w:cstheme="majorHAnsi"/>
        </w:rPr>
        <w:t>hazard severity zones who incur expenses for vegetation management and/or make qualified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141" w:name="_e7nzh5p99fhe" w:colFirst="0" w:colLast="0"/>
      <w:bookmarkEnd w:id="141"/>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4EC345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discussed in the Regulations section </w:t>
      </w:r>
      <w:r w:rsidR="00EE1C06">
        <w:rPr>
          <w:rFonts w:asciiTheme="majorHAnsi" w:eastAsia="Calibri" w:hAnsiTheme="majorHAnsi" w:cstheme="majorHAnsi"/>
        </w:rPr>
        <w:t xml:space="preserve">on page 70 </w:t>
      </w:r>
      <w:r w:rsidRPr="00B6688A">
        <w:rPr>
          <w:rFonts w:asciiTheme="majorHAnsi" w:eastAsia="Calibri" w:hAnsiTheme="majorHAnsi" w:cstheme="majorHAnsi"/>
        </w:rPr>
        <w:t xml:space="preserve">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Pr="00685539">
        <w:rPr>
          <w:rFonts w:asciiTheme="majorHAnsi" w:eastAsia="Calibri" w:hAnsiTheme="majorHAnsi" w:cstheme="majorHAnsi"/>
        </w:rPr>
        <w:t>(</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omplete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 </w:t>
      </w:r>
      <w:r w:rsidR="004C0465" w:rsidRPr="00685539">
        <w:rPr>
          <w:rFonts w:asciiTheme="majorHAnsi" w:eastAsia="Calibri" w:hAnsiTheme="majorHAnsi" w:cstheme="majorHAnsi"/>
        </w:rPr>
        <w:t>a</w:t>
      </w:r>
      <w:r w:rsidRPr="00685539">
        <w:rPr>
          <w:rFonts w:asciiTheme="majorHAnsi" w:eastAsia="Calibri" w:hAnsiTheme="majorHAnsi" w:cstheme="majorHAnsi"/>
        </w:rPr>
        <w:t xml:space="preserve">pplication, </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atastrophe </w:t>
      </w:r>
      <w:r w:rsidR="004C0465" w:rsidRPr="00685539">
        <w:rPr>
          <w:rFonts w:asciiTheme="majorHAnsi" w:eastAsia="Calibri" w:hAnsiTheme="majorHAnsi" w:cstheme="majorHAnsi"/>
        </w:rPr>
        <w:t>m</w:t>
      </w:r>
      <w:r w:rsidRPr="00685539">
        <w:rPr>
          <w:rFonts w:asciiTheme="majorHAnsi" w:eastAsia="Calibri" w:hAnsiTheme="majorHAnsi" w:cstheme="majorHAnsi"/>
        </w:rPr>
        <w:t xml:space="preserve">odeling and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atemaking, PRID </w:t>
      </w:r>
      <w:r w:rsidR="004C0465" w:rsidRPr="00685539">
        <w:rPr>
          <w:rFonts w:asciiTheme="majorHAnsi" w:eastAsia="Calibri" w:hAnsiTheme="majorHAnsi" w:cstheme="majorHAnsi"/>
        </w:rPr>
        <w:t>p</w:t>
      </w:r>
      <w:r w:rsidRPr="00685539">
        <w:rPr>
          <w:rFonts w:asciiTheme="majorHAnsi" w:eastAsia="Calibri" w:hAnsiTheme="majorHAnsi" w:cstheme="majorHAnsi"/>
        </w:rPr>
        <w:t>rocedure, and NCOR</w:t>
      </w:r>
      <w:r w:rsidRPr="008333F8">
        <w:rPr>
          <w:rFonts w:asciiTheme="majorHAnsi" w:eastAsia="Calibri" w:hAnsiTheme="majorHAnsi" w:cstheme="majorHAnsi"/>
        </w:rPr>
        <w:t>)</w:t>
      </w:r>
      <w:r w:rsidRPr="00B6688A">
        <w:rPr>
          <w:rFonts w:asciiTheme="majorHAnsi" w:eastAsia="Calibri" w:hAnsiTheme="majorHAnsi" w:cstheme="majorHAnsi"/>
        </w:rPr>
        <w:t>, another crucial component of the strategy is the 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The</w:t>
      </w:r>
      <w:r w:rsidR="007413BF" w:rsidRPr="00B6688A">
        <w:rPr>
          <w:rFonts w:asciiTheme="majorHAnsi" w:eastAsia="Calibri" w:hAnsiTheme="majorHAnsi" w:cstheme="majorHAnsi"/>
        </w:rPr>
        <w:t xml:space="preserve"> CDI’s major FAIR Plan reforms include:</w:t>
      </w:r>
    </w:p>
    <w:p w14:paraId="47ED4CB4" w14:textId="68E1F568"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coverage</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has been temporarily expanded for high-value commercial properties, homeowners associations, and affordable housing developments, available July 26, 2025. This new “high value” commercial coverage option would cover properties with limits </w:t>
      </w:r>
      <w:r w:rsidR="00130D9A">
        <w:rPr>
          <w:rFonts w:asciiTheme="majorHAnsi" w:eastAsia="Calibri" w:hAnsiTheme="majorHAnsi" w:cstheme="majorHAnsi"/>
        </w:rPr>
        <w:t xml:space="preserve">of </w:t>
      </w:r>
      <w:r w:rsidRPr="00B6688A">
        <w:rPr>
          <w:rFonts w:asciiTheme="majorHAnsi" w:eastAsia="Calibri" w:hAnsiTheme="majorHAnsi" w:cstheme="majorHAnsi"/>
        </w:rPr>
        <w:t xml:space="preserve">up to $20 million </w:t>
      </w:r>
      <w:r w:rsidR="00130D9A">
        <w:rPr>
          <w:rFonts w:asciiTheme="majorHAnsi" w:eastAsia="Calibri" w:hAnsiTheme="majorHAnsi" w:cstheme="majorHAnsi"/>
        </w:rPr>
        <w:t>per</w:t>
      </w:r>
      <w:r w:rsidRPr="00B6688A">
        <w:rPr>
          <w:rFonts w:asciiTheme="majorHAnsi" w:eastAsia="Calibri" w:hAnsiTheme="majorHAnsi" w:cstheme="majorHAnsi"/>
        </w:rPr>
        <w:t xml:space="preserve"> building, with a total maximum limit of $100 million per location, and would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w:t>
      </w:r>
      <w:r w:rsidRPr="00B6688A">
        <w:rPr>
          <w:rFonts w:asciiTheme="majorHAnsi" w:eastAsia="Calibri" w:hAnsiTheme="majorHAnsi" w:cstheme="majorHAnsi"/>
        </w:rPr>
        <w:lastRenderedPageBreak/>
        <w:t xml:space="preserve">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Additional fiscally responsible tools</w:t>
      </w:r>
      <w:r w:rsidRPr="00B6688A">
        <w:rPr>
          <w:rFonts w:asciiTheme="majorHAnsi" w:eastAsia="Calibri" w:hAnsiTheme="majorHAnsi" w:cstheme="majorHAnsi"/>
        </w:rPr>
        <w:t xml:space="preserve">: Commissioner Lara co-sponsored Assembly Bill 226, jointly authored by Assembly </w:t>
      </w:r>
      <w:r w:rsidR="00D717AF">
        <w:rPr>
          <w:rFonts w:asciiTheme="majorHAnsi" w:eastAsia="Calibri" w:hAnsiTheme="majorHAnsi" w:cstheme="majorHAnsi"/>
        </w:rPr>
        <w:t>m</w:t>
      </w:r>
      <w:r w:rsidRPr="00B6688A">
        <w:rPr>
          <w:rFonts w:asciiTheme="majorHAnsi" w:eastAsia="Calibri" w:hAnsiTheme="majorHAnsi" w:cstheme="majorHAnsi"/>
        </w:rPr>
        <w:t>embers Lisa Calderon and David Alvarez. This bill authorizes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access bonds, loans, and lines of credit, subject to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the </w:t>
      </w:r>
      <w:r w:rsidR="00D717AF">
        <w:rPr>
          <w:rFonts w:asciiTheme="majorHAnsi" w:eastAsia="Calibri" w:hAnsiTheme="majorHAnsi" w:cstheme="majorHAnsi"/>
        </w:rPr>
        <w:t>i</w:t>
      </w:r>
      <w:r w:rsidRPr="00B6688A">
        <w:rPr>
          <w:rFonts w:asciiTheme="majorHAnsi" w:eastAsia="Calibri" w:hAnsiTheme="majorHAnsi" w:cstheme="majorHAnsi"/>
        </w:rPr>
        <w:t xml:space="preserve">nsurance </w:t>
      </w:r>
      <w:r w:rsidR="00D717AF">
        <w:rPr>
          <w:rFonts w:asciiTheme="majorHAnsi" w:eastAsia="Calibri" w:hAnsiTheme="majorHAnsi" w:cstheme="majorHAnsi"/>
        </w:rPr>
        <w:t>c</w:t>
      </w:r>
      <w:r w:rsidRPr="00B6688A">
        <w:rPr>
          <w:rFonts w:asciiTheme="majorHAnsi" w:eastAsia="Calibri" w:hAnsiTheme="majorHAnsi" w:cstheme="majorHAnsi"/>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142" w:name="_c1cdc9tzcuxc" w:colFirst="0" w:colLast="0"/>
      <w:bookmarkEnd w:id="142"/>
      <w:r w:rsidRPr="00B6688A">
        <w:rPr>
          <w:rFonts w:asciiTheme="majorHAnsi" w:hAnsiTheme="majorHAnsi" w:cstheme="majorHAnsi"/>
        </w:rPr>
        <w:t>Data Collection</w:t>
      </w:r>
    </w:p>
    <w:p w14:paraId="47ED4CBD" w14:textId="47FB328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D717AF">
        <w:rPr>
          <w:rFonts w:asciiTheme="majorHAnsi" w:eastAsia="Calibri" w:hAnsiTheme="majorHAnsi" w:cstheme="majorHAnsi"/>
        </w:rPr>
        <w:t>d</w:t>
      </w:r>
      <w:r w:rsidRPr="00B6688A">
        <w:rPr>
          <w:rFonts w:asciiTheme="majorHAnsi" w:eastAsia="Calibri" w:hAnsiTheme="majorHAnsi" w:cstheme="majorHAnsi"/>
        </w:rPr>
        <w:t xml:space="preserve">ata </w:t>
      </w:r>
      <w:r w:rsidR="00D717AF">
        <w:rPr>
          <w:rFonts w:asciiTheme="majorHAnsi" w:eastAsia="Calibri" w:hAnsiTheme="majorHAnsi" w:cstheme="majorHAnsi"/>
        </w:rPr>
        <w:t>a</w:t>
      </w:r>
      <w:r w:rsidRPr="00B6688A">
        <w:rPr>
          <w:rFonts w:asciiTheme="majorHAnsi" w:eastAsia="Calibri" w:hAnsiTheme="majorHAnsi" w:cstheme="majorHAnsi"/>
        </w:rPr>
        <w:t xml:space="preserve">nalytics and </w:t>
      </w:r>
      <w:r w:rsidR="00D717AF">
        <w:rPr>
          <w:rFonts w:asciiTheme="majorHAnsi" w:eastAsia="Calibri" w:hAnsiTheme="majorHAnsi" w:cstheme="majorHAnsi"/>
        </w:rPr>
        <w:t>r</w:t>
      </w:r>
      <w:r w:rsidRPr="00B6688A">
        <w:rPr>
          <w:rFonts w:asciiTheme="majorHAnsi" w:eastAsia="Calibri" w:hAnsiTheme="majorHAnsi" w:cstheme="majorHAnsi"/>
        </w:rPr>
        <w:t xml:space="preserve">eporting (DAR) </w:t>
      </w:r>
      <w:r w:rsidR="00D717AF">
        <w:rPr>
          <w:rFonts w:asciiTheme="majorHAnsi" w:eastAsia="Calibri" w:hAnsiTheme="majorHAnsi" w:cstheme="majorHAnsi"/>
        </w:rPr>
        <w:t>d</w:t>
      </w:r>
      <w:r w:rsidRPr="00B6688A">
        <w:rPr>
          <w:rFonts w:asciiTheme="majorHAnsi" w:eastAsia="Calibri" w:hAnsiTheme="majorHAnsi" w:cstheme="majorHAnsi"/>
        </w:rPr>
        <w:t>ivision collects, analyzes, and reports data on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policies in the residential market, implements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on losses in relation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categories, and delivers regular updates to</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w:t>
      </w:r>
      <w:hyperlink r:id="rId166">
        <w:r w:rsidR="00FB1243" w:rsidRPr="00B6688A">
          <w:rPr>
            <w:rFonts w:asciiTheme="majorHAnsi" w:eastAsia="Calibri" w:hAnsiTheme="majorHAnsi" w:cstheme="majorHAnsi"/>
            <w:color w:val="467886"/>
            <w:u w:val="single"/>
          </w:rPr>
          <w:t>wildfire data webpage</w:t>
        </w:r>
      </w:hyperlink>
      <w:r w:rsidRPr="00B6688A">
        <w:rPr>
          <w:rFonts w:asciiTheme="majorHAnsi" w:eastAsia="Calibri" w:hAnsiTheme="majorHAnsi" w:cstheme="majorHAnsi"/>
        </w:rPr>
        <w:t xml:space="preserve"> to provide a consistent, publicly accessible place for data resources related to wildfire. This data provided the backbone of information used to develop the implementation approach for the </w:t>
      </w:r>
      <w:r w:rsidR="00D717AF">
        <w:rPr>
          <w:rFonts w:asciiTheme="majorHAnsi" w:eastAsia="Calibri" w:hAnsiTheme="majorHAnsi" w:cstheme="majorHAnsi"/>
        </w:rPr>
        <w:t>c</w:t>
      </w:r>
      <w:r w:rsidRPr="00B6688A">
        <w:rPr>
          <w:rFonts w:asciiTheme="majorHAnsi" w:eastAsia="Calibri" w:hAnsiTheme="majorHAnsi" w:cstheme="majorHAnsi"/>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143" w:name="_ynxtjjc0989" w:colFirst="0" w:colLast="0"/>
      <w:bookmarkEnd w:id="143"/>
      <w:r w:rsidRPr="00B6688A">
        <w:rPr>
          <w:rFonts w:asciiTheme="majorHAnsi" w:hAnsiTheme="majorHAnsi" w:cstheme="majorHAnsi"/>
        </w:rPr>
        <w:t>Consumer Outreach and Engagement</w:t>
      </w:r>
    </w:p>
    <w:bookmarkStart w:id="144" w:name="_qddh47t0g6ca" w:colFirst="0" w:colLast="0"/>
    <w:bookmarkEnd w:id="144"/>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145" w:name="_qpm2p6ef00r" w:colFirst="0" w:colLast="0"/>
      <w:bookmarkEnd w:id="145"/>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46" w:name="_jku4ny226j2p" w:colFirst="0" w:colLast="0"/>
      <w:bookmarkEnd w:id="146"/>
      <w:r w:rsidRPr="00B6688A">
        <w:rPr>
          <w:rFonts w:asciiTheme="majorHAnsi" w:eastAsia="Calibri" w:hAnsiTheme="majorHAnsi" w:cstheme="majorHAnsi"/>
        </w:rPr>
        <w:lastRenderedPageBreak/>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47" w:name="_91ozpsh3g65w" w:colFirst="0" w:colLast="0"/>
      <w:bookmarkEnd w:id="147"/>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148" w:name="_kw1bxgjq8p04" w:colFirst="0" w:colLast="0"/>
      <w:bookmarkEnd w:id="148"/>
      <w:r w:rsidRPr="00B6688A">
        <w:rPr>
          <w:rFonts w:asciiTheme="majorHAnsi" w:eastAsia="Calibri" w:hAnsiTheme="majorHAnsi" w:cstheme="majorHAnsi"/>
        </w:rPr>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149" w:name="_mm4xoh1o88wz" w:colFirst="0" w:colLast="0"/>
    <w:bookmarkEnd w:id="149"/>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150" w:name="_tl3w3bf9zc43" w:colFirst="0" w:colLast="0"/>
      <w:bookmarkEnd w:id="150"/>
      <w:r w:rsidRPr="00B6688A">
        <w:rPr>
          <w:rFonts w:asciiTheme="majorHAnsi" w:hAnsiTheme="majorHAnsi" w:cstheme="majorHAnsi"/>
        </w:rPr>
        <w:t xml:space="preserve">Consumer Resources </w:t>
      </w:r>
    </w:p>
    <w:p w14:paraId="47ED4CC6" w14:textId="163F39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To help policyholders access and maintain insurance coverage, </w:t>
      </w:r>
      <w:r w:rsidR="00D717AF">
        <w:rPr>
          <w:rFonts w:asciiTheme="majorHAnsi" w:eastAsia="Calibri" w:hAnsiTheme="majorHAnsi" w:cstheme="majorHAnsi"/>
        </w:rPr>
        <w:t xml:space="preserve">the </w:t>
      </w:r>
      <w:r w:rsidRPr="00B6688A">
        <w:rPr>
          <w:rFonts w:asciiTheme="majorHAnsi" w:eastAsia="Calibri" w:hAnsiTheme="majorHAnsi" w:cstheme="majorHAnsi"/>
        </w:rPr>
        <w:t>CDI has developed several tools and fact sheets that provide guidance on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insurance availability, and claims support. These include:</w:t>
      </w:r>
      <w:r w:rsidR="00BF3AAB">
        <w:rPr>
          <w:rFonts w:asciiTheme="majorHAnsi" w:eastAsia="Calibri" w:hAnsiTheme="majorHAnsi" w:cstheme="majorHAnsi"/>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7">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8">
        <w:r w:rsidRPr="00B6688A">
          <w:rPr>
            <w:rFonts w:asciiTheme="majorHAnsi" w:eastAsia="Calibri" w:hAnsiTheme="majorHAnsi" w:cstheme="majorHAnsi"/>
            <w:color w:val="467886"/>
            <w:u w:val="single"/>
          </w:rPr>
          <w:t>Home Insurance Finder</w:t>
        </w:r>
      </w:hyperlink>
      <w:r w:rsidRPr="00B6688A">
        <w:rPr>
          <w:rFonts w:asciiTheme="majorHAnsi" w:eastAsia="Calibri" w:hAnsiTheme="majorHAnsi" w:cstheme="majorHAnsi"/>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Agents/brokers who are located within either </w:t>
      </w:r>
      <w:r w:rsidR="00D717AF">
        <w:rPr>
          <w:rFonts w:asciiTheme="majorHAnsi" w:eastAsia="Calibri" w:hAnsiTheme="majorHAnsi" w:cstheme="majorHAnsi"/>
          <w:color w:val="000000"/>
        </w:rPr>
        <w:t>five</w:t>
      </w:r>
      <w:r w:rsidRPr="00B6688A">
        <w:rPr>
          <w:rFonts w:asciiTheme="majorHAnsi" w:eastAsia="Calibri" w:hAnsiTheme="majorHAnsi" w:cstheme="majorHAnsi"/>
          <w:color w:val="000000"/>
        </w:rPr>
        <w:t>, 10, 25, 50, or 75 miles of a selected ZIP code or city in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0057510D" w:rsidR="00FB1243" w:rsidRPr="00B6688A" w:rsidRDefault="00FB1243" w:rsidP="00C56306">
      <w:pPr>
        <w:numPr>
          <w:ilvl w:val="1"/>
          <w:numId w:val="14"/>
        </w:numPr>
        <w:spacing w:after="0"/>
        <w:ind w:left="1080"/>
        <w:jc w:val="both"/>
        <w:rPr>
          <w:rFonts w:asciiTheme="majorHAnsi" w:eastAsia="Calibri" w:hAnsiTheme="majorHAnsi" w:cstheme="majorHAnsi"/>
        </w:rPr>
      </w:pPr>
      <w:hyperlink r:id="rId169">
        <w:r w:rsidRPr="00B6688A">
          <w:rPr>
            <w:rFonts w:asciiTheme="majorHAnsi" w:eastAsia="Calibri" w:hAnsiTheme="majorHAnsi" w:cstheme="majorHAnsi"/>
            <w:color w:val="467886"/>
            <w:u w:val="single"/>
          </w:rPr>
          <w:t>Public Wildfire Catastrophe Model Strategy Group</w:t>
        </w:r>
      </w:hyperlink>
      <w:r w:rsidRPr="00B6688A">
        <w:rPr>
          <w:rFonts w:asciiTheme="majorHAnsi" w:eastAsia="Calibri" w:hAnsiTheme="majorHAnsi" w:cstheme="majorHAnsi"/>
        </w:rPr>
        <w:t>: Cal Poly Humboldt convened a strategy group of researchers and wildland fire experts</w:t>
      </w:r>
      <w:r w:rsidR="00D717AF">
        <w:rPr>
          <w:rFonts w:asciiTheme="majorHAnsi" w:eastAsia="Calibri" w:hAnsiTheme="majorHAnsi" w:cstheme="majorHAnsi"/>
        </w:rPr>
        <w:t xml:space="preserve"> who </w:t>
      </w:r>
      <w:r w:rsidR="00D77782">
        <w:rPr>
          <w:rFonts w:asciiTheme="majorHAnsi" w:eastAsia="Calibri" w:hAnsiTheme="majorHAnsi" w:cstheme="majorHAnsi"/>
        </w:rPr>
        <w:t>recommended</w:t>
      </w:r>
      <w:r w:rsidR="00D717AF">
        <w:rPr>
          <w:rFonts w:asciiTheme="majorHAnsi" w:eastAsia="Calibri" w:hAnsiTheme="majorHAnsi" w:cstheme="majorHAnsi"/>
        </w:rPr>
        <w:t xml:space="preserve"> steps that </w:t>
      </w:r>
      <w:r w:rsidR="002E6498" w:rsidRPr="00B6688A">
        <w:rPr>
          <w:rFonts w:asciiTheme="majorHAnsi" w:eastAsia="Calibri" w:hAnsiTheme="majorHAnsi" w:cstheme="majorHAnsi"/>
        </w:rPr>
        <w:t xml:space="preserve">Commissioner Lara </w:t>
      </w:r>
      <w:r w:rsidR="00D717AF">
        <w:rPr>
          <w:rFonts w:asciiTheme="majorHAnsi" w:eastAsia="Calibri" w:hAnsiTheme="majorHAnsi" w:cstheme="majorHAnsi"/>
        </w:rPr>
        <w:t xml:space="preserve">can take </w:t>
      </w:r>
      <w:r w:rsidRPr="00B6688A">
        <w:rPr>
          <w:rFonts w:asciiTheme="majorHAnsi" w:eastAsia="Calibri" w:hAnsiTheme="majorHAnsi" w:cstheme="majorHAnsi"/>
        </w:rPr>
        <w:t>to create the nation’s first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can predict future losses, serve as a benchmark for reviewing catastrophe risks in the insurance sector, provide accessible data for wildfire safety efforts, and create educational and career opportunities for </w:t>
      </w:r>
      <w:r w:rsidRPr="00B6688A">
        <w:rPr>
          <w:rFonts w:asciiTheme="majorHAnsi" w:eastAsia="Calibri" w:hAnsiTheme="majorHAnsi" w:cstheme="majorHAnsi"/>
        </w:rPr>
        <w:lastRenderedPageBreak/>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students. Cal Poly Humboldt chair</w:t>
      </w:r>
      <w:r w:rsidR="00D77782">
        <w:rPr>
          <w:rFonts w:asciiTheme="majorHAnsi" w:eastAsia="Calibri" w:hAnsiTheme="majorHAnsi" w:cstheme="majorHAnsi"/>
        </w:rPr>
        <w:t>ed</w:t>
      </w:r>
      <w:r w:rsidRPr="00B6688A">
        <w:rPr>
          <w:rFonts w:asciiTheme="majorHAnsi" w:eastAsia="Calibri" w:hAnsiTheme="majorHAnsi" w:cstheme="majorHAnsi"/>
        </w:rPr>
        <w:t xml:space="preserve"> the strategy group, which comprises researchers, wildfire risk-reduction experts, and higher education leaders from California State University, the University of California, and other sectors. </w:t>
      </w:r>
      <w:hyperlink r:id="rId170">
        <w:r w:rsidRPr="00B6688A">
          <w:rPr>
            <w:rFonts w:asciiTheme="majorHAnsi" w:eastAsia="Calibri" w:hAnsiTheme="majorHAnsi" w:cstheme="majorHAnsi"/>
            <w:color w:val="0000FF"/>
            <w:u w:val="single"/>
          </w:rPr>
          <w:t xml:space="preserve">In May 2025, the </w:t>
        </w:r>
        <w:r w:rsidR="004B5D1D">
          <w:rPr>
            <w:rFonts w:asciiTheme="majorHAnsi" w:eastAsia="Calibri" w:hAnsiTheme="majorHAnsi" w:cstheme="majorHAnsi"/>
            <w:color w:val="0000FF"/>
            <w:u w:val="single"/>
          </w:rPr>
          <w:t>g</w:t>
        </w:r>
        <w:r w:rsidRPr="00B6688A">
          <w:rPr>
            <w:rFonts w:asciiTheme="majorHAnsi" w:eastAsia="Calibri" w:hAnsiTheme="majorHAnsi" w:cstheme="majorHAnsi"/>
            <w:color w:val="0000FF"/>
            <w:u w:val="single"/>
          </w:rPr>
          <w:t>roup published its recommendations</w:t>
        </w:r>
        <w:r w:rsidR="00696279">
          <w:rPr>
            <w:rFonts w:asciiTheme="majorHAnsi" w:eastAsia="Calibri" w:hAnsiTheme="majorHAnsi" w:cstheme="majorHAnsi"/>
            <w:color w:val="0000FF"/>
            <w:u w:val="single"/>
          </w:rPr>
          <w:t xml:space="preserve"> in </w:t>
        </w:r>
        <w:r w:rsidR="00D77782">
          <w:rPr>
            <w:rFonts w:asciiTheme="majorHAnsi" w:eastAsia="Calibri" w:hAnsiTheme="majorHAnsi" w:cstheme="majorHAnsi"/>
            <w:color w:val="0000FF"/>
            <w:u w:val="single"/>
          </w:rPr>
          <w:t>the report</w:t>
        </w:r>
        <w:r w:rsidRPr="00672550">
          <w:rPr>
            <w:rFonts w:asciiTheme="majorHAnsi" w:eastAsia="Calibri" w:hAnsiTheme="majorHAnsi" w:cstheme="majorHAnsi"/>
            <w:i/>
            <w:iCs/>
            <w:color w:val="0000FF"/>
            <w:u w:val="single"/>
          </w:rPr>
          <w:t xml:space="preserve"> Future Directions and Considerations of Modeling Wildfire Ris</w:t>
        </w:r>
        <w:r w:rsidR="00696279" w:rsidRPr="00672550">
          <w:rPr>
            <w:rFonts w:asciiTheme="majorHAnsi" w:eastAsia="Calibri" w:hAnsiTheme="majorHAnsi" w:cstheme="majorHAnsi"/>
            <w:i/>
            <w:iCs/>
            <w:color w:val="0000FF"/>
            <w:u w:val="single"/>
          </w:rPr>
          <w:t>k</w:t>
        </w:r>
      </w:hyperlink>
      <w:r w:rsidR="00696279">
        <w:t>.</w:t>
      </w:r>
      <w:r w:rsidRPr="00B6688A">
        <w:rPr>
          <w:rFonts w:asciiTheme="majorHAnsi" w:eastAsia="Calibri" w:hAnsiTheme="majorHAnsi" w:cstheme="majorHAnsi"/>
        </w:rPr>
        <w:t xml:space="preserve"> (</w:t>
      </w:r>
      <w:r w:rsidR="00696279">
        <w:rPr>
          <w:rFonts w:asciiTheme="majorHAnsi" w:eastAsia="Calibri" w:hAnsiTheme="majorHAnsi" w:cstheme="majorHAnsi"/>
        </w:rPr>
        <w:t>R</w:t>
      </w:r>
      <w:r w:rsidR="00D717AF">
        <w:rPr>
          <w:rFonts w:asciiTheme="majorHAnsi" w:eastAsia="Calibri" w:hAnsiTheme="majorHAnsi" w:cstheme="majorHAnsi"/>
        </w:rPr>
        <w:t>efer to</w:t>
      </w:r>
      <w:r w:rsidR="00D717AF" w:rsidRPr="00B6688A">
        <w:rPr>
          <w:rFonts w:asciiTheme="majorHAnsi" w:eastAsia="Calibri" w:hAnsiTheme="majorHAnsi" w:cstheme="majorHAnsi"/>
        </w:rPr>
        <w:t xml:space="preserve"> </w:t>
      </w:r>
      <w:r w:rsidR="00857214">
        <w:rPr>
          <w:rFonts w:asciiTheme="majorHAnsi" w:eastAsia="Calibri" w:hAnsiTheme="majorHAnsi" w:cstheme="majorHAnsi"/>
        </w:rPr>
        <w:t>the A</w:t>
      </w:r>
      <w:r w:rsidRPr="00B6688A">
        <w:rPr>
          <w:rFonts w:asciiTheme="majorHAnsi" w:eastAsia="Calibri" w:hAnsiTheme="majorHAnsi" w:cstheme="majorHAnsi"/>
        </w:rPr>
        <w:t xml:space="preserve">dopted </w:t>
      </w:r>
      <w:r w:rsidR="00857214">
        <w:rPr>
          <w:rFonts w:asciiTheme="majorHAnsi" w:eastAsia="Calibri" w:hAnsiTheme="majorHAnsi" w:cstheme="majorHAnsi"/>
        </w:rPr>
        <w:t>L</w:t>
      </w:r>
      <w:r w:rsidRPr="00B6688A">
        <w:rPr>
          <w:rFonts w:asciiTheme="majorHAnsi" w:eastAsia="Calibri" w:hAnsiTheme="majorHAnsi" w:cstheme="majorHAnsi"/>
        </w:rPr>
        <w:t>egislation</w:t>
      </w:r>
      <w:r w:rsidR="00857214">
        <w:rPr>
          <w:rFonts w:asciiTheme="majorHAnsi" w:eastAsia="Calibri" w:hAnsiTheme="majorHAnsi" w:cstheme="majorHAnsi"/>
        </w:rPr>
        <w:t xml:space="preserve"> Highlights section</w:t>
      </w:r>
      <w:r w:rsidRPr="00B6688A">
        <w:rPr>
          <w:rFonts w:asciiTheme="majorHAnsi" w:eastAsia="Calibri" w:hAnsiTheme="majorHAnsi" w:cstheme="majorHAnsi"/>
        </w:rPr>
        <w:t xml:space="preserve"> </w:t>
      </w:r>
      <w:r w:rsidR="00857214">
        <w:rPr>
          <w:rFonts w:asciiTheme="majorHAnsi" w:eastAsia="Calibri" w:hAnsiTheme="majorHAnsi" w:cstheme="majorHAnsi"/>
        </w:rPr>
        <w:t xml:space="preserve">on page 72 </w:t>
      </w:r>
      <w:r w:rsidRPr="00B6688A">
        <w:rPr>
          <w:rFonts w:asciiTheme="majorHAnsi" w:eastAsia="Calibri" w:hAnsiTheme="majorHAnsi" w:cstheme="majorHAnsi"/>
        </w:rPr>
        <w:t>above</w:t>
      </w:r>
      <w:r w:rsidR="00857214">
        <w:rPr>
          <w:rFonts w:asciiTheme="majorHAnsi" w:eastAsia="Calibri" w:hAnsiTheme="majorHAnsi" w:cstheme="majorHAnsi"/>
        </w:rPr>
        <w:t>.</w:t>
      </w:r>
      <w:r w:rsidRPr="00B6688A">
        <w:rPr>
          <w:rFonts w:asciiTheme="majorHAnsi" w:eastAsia="Calibri" w:hAnsiTheme="majorHAnsi" w:cstheme="majorHAnsi"/>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1">
        <w:r>
          <w:rPr>
            <w:rFonts w:asciiTheme="majorHAnsi" w:eastAsia="Calibri" w:hAnsiTheme="majorHAnsi" w:cstheme="majorHAnsi"/>
            <w:color w:val="467886"/>
            <w:u w:val="single"/>
          </w:rPr>
          <w:t>NAIC Natural Catastrophe Risk and Resilience (EX) Task Force</w:t>
        </w:r>
      </w:hyperlink>
      <w:r>
        <w:t xml:space="preserve"> </w:t>
      </w:r>
      <w:r w:rsidRPr="00672550">
        <w:rPr>
          <w:rFonts w:asciiTheme="majorHAnsi" w:hAnsiTheme="majorHAnsi" w:cstheme="majorHAnsi"/>
        </w:rPr>
        <w:t>(form</w:t>
      </w:r>
      <w:r w:rsidR="0000602F" w:rsidRPr="00672550">
        <w:rPr>
          <w:rFonts w:asciiTheme="majorHAnsi" w:hAnsiTheme="majorHAnsi" w:cstheme="majorHAnsi"/>
        </w:rPr>
        <w:t>erly the Climate and Resiliency (EX) Task Force)</w:t>
      </w:r>
      <w:r w:rsidR="00870578" w:rsidRPr="0000602F">
        <w:rPr>
          <w:rFonts w:asciiTheme="majorHAnsi" w:hAnsiTheme="majorHAnsi" w:cstheme="majorHAnsi"/>
        </w:rPr>
        <w:fldChar w:fldCharType="begin"/>
      </w:r>
      <w:r w:rsidR="00870578" w:rsidRPr="0000602F">
        <w:rPr>
          <w:rFonts w:asciiTheme="majorHAnsi" w:hAnsiTheme="majorHAnsi" w:cstheme="majorHAnsi"/>
        </w:rPr>
        <w:instrText xml:space="preserve"> XE "NAIC Climate and Resiliency Task Force" </w:instrText>
      </w:r>
      <w:r w:rsidR="00870578" w:rsidRPr="0000602F">
        <w:rPr>
          <w:rFonts w:asciiTheme="majorHAnsi" w:hAnsiTheme="majorHAnsi" w:cstheme="majorHAnsi"/>
        </w:rPr>
        <w:fldChar w:fldCharType="end"/>
      </w:r>
      <w:r w:rsidR="00FB1243" w:rsidRPr="0000602F">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 xml:space="preserve">In 2021,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led the NAIC in establishing an Executive Committee </w:t>
      </w:r>
      <w:r w:rsidR="0000602F">
        <w:rPr>
          <w:rFonts w:asciiTheme="majorHAnsi" w:eastAsia="Calibri" w:hAnsiTheme="majorHAnsi" w:cstheme="majorHAnsi"/>
          <w:color w:val="000000"/>
        </w:rPr>
        <w:t>t</w:t>
      </w:r>
      <w:r w:rsidR="00FB1243" w:rsidRPr="00B6688A">
        <w:rPr>
          <w:rFonts w:asciiTheme="majorHAnsi" w:eastAsia="Calibri" w:hAnsiTheme="majorHAnsi" w:cstheme="majorHAnsi"/>
          <w:color w:val="000000"/>
        </w:rPr>
        <w:t xml:space="preserve">ask </w:t>
      </w:r>
      <w:r w:rsidR="0000602F">
        <w:rPr>
          <w:rFonts w:asciiTheme="majorHAnsi" w:eastAsia="Calibri" w:hAnsiTheme="majorHAnsi" w:cstheme="majorHAnsi"/>
          <w:color w:val="000000"/>
        </w:rPr>
        <w:t>f</w:t>
      </w:r>
      <w:r w:rsidR="00FB1243" w:rsidRPr="00B6688A">
        <w:rPr>
          <w:rFonts w:asciiTheme="majorHAnsi" w:eastAsia="Calibri" w:hAnsiTheme="majorHAnsi" w:cstheme="majorHAnsi"/>
          <w:color w:val="000000"/>
        </w:rPr>
        <w:t xml:space="preserve">orce on </w:t>
      </w:r>
      <w:r w:rsidR="00440D45">
        <w:rPr>
          <w:rFonts w:asciiTheme="majorHAnsi" w:eastAsia="Calibri" w:hAnsiTheme="majorHAnsi" w:cstheme="majorHAnsi"/>
          <w:color w:val="000000"/>
        </w:rPr>
        <w:t>c</w:t>
      </w:r>
      <w:r w:rsidR="00FB1243" w:rsidRPr="00B6688A">
        <w:rPr>
          <w:rFonts w:asciiTheme="majorHAnsi" w:eastAsia="Calibri" w:hAnsiTheme="majorHAnsi" w:cstheme="majorHAnsi"/>
          <w:color w:val="000000"/>
        </w:rPr>
        <w:t xml:space="preserve">limate and </w:t>
      </w:r>
      <w:r w:rsidR="00440D45">
        <w:rPr>
          <w:rFonts w:asciiTheme="majorHAnsi" w:eastAsia="Calibri" w:hAnsiTheme="majorHAnsi" w:cstheme="majorHAnsi"/>
          <w:color w:val="000000"/>
        </w:rPr>
        <w:t>r</w:t>
      </w:r>
      <w:r w:rsidR="00FB1243" w:rsidRPr="00B6688A">
        <w:rPr>
          <w:rFonts w:asciiTheme="majorHAnsi" w:eastAsia="Calibri" w:hAnsiTheme="majorHAnsi" w:cstheme="majorHAnsi"/>
          <w:color w:val="000000"/>
        </w:rPr>
        <w:t xml:space="preserve">esiliency. The Task Force developed recommendations that were adopted by the NAIC </w:t>
      </w:r>
      <w:r w:rsidR="00DD3EC3" w:rsidRPr="00B6688A">
        <w:rPr>
          <w:rFonts w:asciiTheme="majorHAnsi" w:eastAsia="Calibri" w:hAnsiTheme="majorHAnsi" w:cstheme="majorHAnsi"/>
          <w:color w:val="000000"/>
        </w:rPr>
        <w:t>as part of</w:t>
      </w:r>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hyperlink r:id="rId172">
        <w:r w:rsidR="00FB1243" w:rsidRPr="00B6688A">
          <w:rPr>
            <w:rFonts w:asciiTheme="majorHAnsi" w:eastAsia="Calibri" w:hAnsiTheme="majorHAnsi" w:cstheme="majorHAnsi"/>
            <w:color w:val="467886"/>
            <w:u w:val="single"/>
          </w:rPr>
          <w:t>National Climate Resilience Strategy for Insurance</w:t>
        </w:r>
      </w:hyperlink>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will continue to work closely with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fellow state insurance regulators at the NAIC on pre-disaster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solvency, technology, and innovation</w:t>
      </w:r>
      <w:r w:rsidR="00440D45">
        <w:rPr>
          <w:rFonts w:asciiTheme="majorHAnsi" w:eastAsia="Calibri" w:hAnsiTheme="majorHAnsi" w:cstheme="majorHAnsi"/>
          <w:color w:val="000000"/>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3">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4">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151" w:name="_b2d5xqpuy6xy" w:colFirst="0" w:colLast="0"/>
      <w:bookmarkStart w:id="152" w:name="_Toc236057888"/>
      <w:bookmarkEnd w:id="151"/>
      <w:r w:rsidRPr="00B6688A">
        <w:rPr>
          <w:rFonts w:asciiTheme="majorHAnsi" w:hAnsiTheme="majorHAnsi" w:cstheme="majorHAnsi"/>
        </w:rPr>
        <w:t>Colorado</w:t>
      </w:r>
      <w:bookmarkEnd w:id="15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153" w:name="_x2tkx4xi9z94" w:colFirst="0" w:colLast="0"/>
      <w:bookmarkEnd w:id="153"/>
      <w:r w:rsidRPr="00B6688A">
        <w:rPr>
          <w:rFonts w:asciiTheme="majorHAnsi" w:hAnsiTheme="majorHAnsi" w:cstheme="majorHAnsi"/>
        </w:rPr>
        <w:t>Introduction</w:t>
      </w:r>
    </w:p>
    <w:p w14:paraId="47ED4CD5" w14:textId="5CD84265" w:rsidR="00FB1243" w:rsidRPr="00B6688A" w:rsidRDefault="00440D45">
      <w:pPr>
        <w:jc w:val="both"/>
        <w:rPr>
          <w:rFonts w:asciiTheme="majorHAnsi" w:eastAsia="Calibri" w:hAnsiTheme="majorHAnsi" w:cstheme="majorHAnsi"/>
        </w:rPr>
      </w:pPr>
      <w:r>
        <w:rPr>
          <w:rFonts w:asciiTheme="majorHAnsi" w:eastAsia="Calibri" w:hAnsiTheme="majorHAnsi" w:cstheme="majorHAnsi"/>
        </w:rPr>
        <w:t>A</w:t>
      </w:r>
      <w:r w:rsidR="007413BF" w:rsidRPr="00B6688A">
        <w:rPr>
          <w:rFonts w:asciiTheme="majorHAnsi" w:eastAsia="Calibri" w:hAnsiTheme="majorHAnsi" w:cstheme="majorHAnsi"/>
        </w:rPr>
        <w:t xml:space="preserve">bout half of </w:t>
      </w:r>
      <w:r>
        <w:rPr>
          <w:rFonts w:asciiTheme="majorHAnsi" w:eastAsia="Calibri" w:hAnsiTheme="majorHAnsi" w:cstheme="majorHAnsi"/>
        </w:rPr>
        <w:t>Colorado residents</w:t>
      </w:r>
      <w:r w:rsidR="007413BF" w:rsidRPr="00B6688A">
        <w:rPr>
          <w:rFonts w:asciiTheme="majorHAnsi" w:eastAsia="Calibri" w:hAnsiTheme="majorHAnsi" w:cstheme="majorHAnsi"/>
        </w:rPr>
        <w:t xml:space="preserve"> live in </w:t>
      </w:r>
      <w:r>
        <w:rPr>
          <w:rFonts w:asciiTheme="majorHAnsi" w:eastAsia="Calibri" w:hAnsiTheme="majorHAnsi" w:cstheme="majorHAnsi"/>
        </w:rPr>
        <w:t xml:space="preserve">a </w:t>
      </w:r>
      <w:r w:rsidR="007413BF" w:rsidRPr="00B6688A">
        <w:rPr>
          <w:rFonts w:asciiTheme="majorHAnsi" w:eastAsia="Calibri" w:hAnsiTheme="majorHAnsi" w:cstheme="majorHAnsi"/>
        </w:rPr>
        <w:t>WUI</w:t>
      </w:r>
      <w:r w:rsidR="00DD3EC3" w:rsidRPr="00B6688A">
        <w:rPr>
          <w:rFonts w:asciiTheme="majorHAnsi" w:eastAsia="Calibri" w:hAnsiTheme="majorHAnsi" w:cstheme="majorHAnsi"/>
        </w:rPr>
        <w:t xml:space="preserve">, </w:t>
      </w:r>
      <w:r w:rsidR="007413BF" w:rsidRPr="00B6688A">
        <w:rPr>
          <w:rFonts w:asciiTheme="majorHAnsi" w:eastAsia="Calibri" w:hAnsiTheme="majorHAnsi" w:cstheme="majorHAnsi"/>
        </w:rPr>
        <w:t>where houses are close to flammable vegetation. In recent years, fire behavior has changed dramatically, with larger, more intense fires occurring outside traditional fire seasons due to ongoing drought and strong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events. Wildfire risks have caused notable shifts in Colorado’s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755F3C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the aftermath of the 2021 Marshall Fire, several studies were conducted to understand the extent of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inform responses to catastrophic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hyperlink r:id="rId175">
        <w:r w:rsidR="00FB1243" w:rsidRPr="00B6688A">
          <w:rPr>
            <w:rFonts w:asciiTheme="majorHAnsi" w:eastAsia="Calibri" w:hAnsiTheme="majorHAnsi" w:cstheme="majorHAnsi"/>
            <w:color w:val="1155CC"/>
            <w:u w:val="single"/>
          </w:rPr>
          <w:t>Marshall Fire Insurance Claims Study (2024)</w:t>
        </w:r>
      </w:hyperlink>
      <w:r w:rsidRPr="00B6688A">
        <w:rPr>
          <w:rFonts w:asciiTheme="majorHAnsi" w:eastAsia="Calibri" w:hAnsiTheme="majorHAnsi" w:cstheme="majorHAnsi"/>
        </w:rPr>
        <w:t xml:space="preserve"> by the University of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found that 36% of homeowners were "severely" underinsured. The research further suggested that the homeowner's insurance company is the most important predictor of underinsurance, indicating that insurers' proprietary rebuilding cost estimates are often insufficient.</w:t>
      </w:r>
      <w:r w:rsidRPr="00B6688A">
        <w:rPr>
          <w:rFonts w:asciiTheme="majorHAnsi" w:eastAsia="Calibri" w:hAnsiTheme="majorHAnsi" w:cstheme="majorHAnsi"/>
          <w:vertAlign w:val="superscript"/>
        </w:rPr>
        <w:footnoteReference w:id="142"/>
      </w:r>
      <w:r w:rsidRPr="00B6688A">
        <w:rPr>
          <w:rFonts w:asciiTheme="majorHAnsi" w:eastAsia="Calibri" w:hAnsiTheme="majorHAnsi" w:cstheme="majorHAnsi"/>
        </w:rPr>
        <w:t xml:space="preserve"> </w:t>
      </w:r>
      <w:r w:rsidR="00700FC5">
        <w:rPr>
          <w:rFonts w:asciiTheme="majorHAnsi" w:eastAsia="Calibri" w:hAnsiTheme="majorHAnsi" w:cstheme="majorHAnsi"/>
        </w:rPr>
        <w:t xml:space="preserve">The </w:t>
      </w:r>
      <w:hyperlink r:id="rId176" w:history="1">
        <w:r w:rsidRPr="00B87FE6">
          <w:rPr>
            <w:rStyle w:val="Hyperlink"/>
            <w:rFonts w:asciiTheme="majorHAnsi" w:eastAsia="Calibri" w:hAnsiTheme="majorHAnsi" w:cstheme="majorHAnsi"/>
          </w:rPr>
          <w:t xml:space="preserve">Marshall Fire Operational After-Action </w:t>
        </w:r>
        <w:r w:rsidRPr="00B87FE6">
          <w:rPr>
            <w:rStyle w:val="Hyperlink"/>
            <w:rFonts w:asciiTheme="majorHAnsi" w:eastAsia="Calibri" w:hAnsiTheme="majorHAnsi" w:cstheme="majorHAnsi"/>
          </w:rPr>
          <w:lastRenderedPageBreak/>
          <w:t>Report</w:t>
        </w:r>
      </w:hyperlink>
      <w:r w:rsidRPr="00B6688A">
        <w:rPr>
          <w:rFonts w:asciiTheme="majorHAnsi" w:eastAsia="Calibri" w:hAnsiTheme="majorHAnsi" w:cstheme="majorHAnsi"/>
        </w:rPr>
        <w:t xml:space="preserve"> (AAR), designed to formally analyze the emergency response to the Marshall Fire incident, underscored the extreme scale and speed of catastrophic WUI fires. For the </w:t>
      </w:r>
      <w:r w:rsidR="00700FC5">
        <w:rPr>
          <w:rFonts w:asciiTheme="majorHAnsi" w:eastAsia="Calibri" w:hAnsiTheme="majorHAnsi" w:cstheme="majorHAnsi"/>
        </w:rPr>
        <w:t xml:space="preserve">Colorado </w:t>
      </w:r>
      <w:r w:rsidRPr="00B6688A">
        <w:rPr>
          <w:rFonts w:asciiTheme="majorHAnsi" w:eastAsia="Calibri" w:hAnsiTheme="majorHAnsi" w:cstheme="majorHAnsi"/>
        </w:rPr>
        <w:t>Division of Insurance</w:t>
      </w:r>
      <w:r w:rsidR="005E1658">
        <w:rPr>
          <w:rFonts w:asciiTheme="majorHAnsi" w:eastAsia="Calibri" w:hAnsiTheme="majorHAnsi" w:cstheme="majorHAnsi"/>
        </w:rPr>
        <w:t xml:space="preserve"> (DOI)</w:t>
      </w:r>
      <w:r w:rsidRPr="00B6688A">
        <w:rPr>
          <w:rFonts w:asciiTheme="majorHAnsi" w:eastAsia="Calibri" w:hAnsiTheme="majorHAnsi" w:cstheme="majorHAnsi"/>
        </w:rPr>
        <w:t>, the AAR's findings underscore the need to develop market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to coordinate disaster planning between emergency services and the insurance sector.</w:t>
      </w:r>
    </w:p>
    <w:p w14:paraId="47ED4CD8" w14:textId="2067F3C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DOI’s 2023 report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highlighted trends in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The report, mandated by </w:t>
      </w:r>
      <w:hyperlink r:id="rId177">
        <w:r w:rsidR="00FB1243" w:rsidRPr="00B6688A">
          <w:rPr>
            <w:rFonts w:asciiTheme="majorHAnsi" w:eastAsia="Calibri" w:hAnsiTheme="majorHAnsi" w:cstheme="majorHAnsi"/>
            <w:color w:val="1155CC"/>
            <w:u w:val="single"/>
          </w:rPr>
          <w:t>Senate Bill 22-206</w:t>
        </w:r>
      </w:hyperlink>
      <w:r w:rsidRPr="00B6688A">
        <w:rPr>
          <w:rFonts w:asciiTheme="majorHAnsi" w:eastAsia="Calibri" w:hAnsiTheme="majorHAnsi" w:cstheme="majorHAnsi"/>
        </w:rPr>
        <w:t>, analyzed the availability of coverage, premiums,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exposure. It revealed that the homeowners insurance loss ratio in Colorado averaged 78.6% between 2020 and 2024, a figure heavily influenced by severe catastrophe activity, which directly fueled sharp rate increases.</w:t>
      </w:r>
      <w:r w:rsidRPr="00B6688A">
        <w:rPr>
          <w:rFonts w:asciiTheme="majorHAnsi" w:eastAsia="Calibri" w:hAnsiTheme="majorHAnsi" w:cstheme="majorHAnsi"/>
          <w:vertAlign w:val="superscript"/>
        </w:rPr>
        <w:footnoteReference w:id="143"/>
      </w:r>
      <w:r w:rsidRPr="00B6688A">
        <w:rPr>
          <w:rFonts w:asciiTheme="majorHAnsi" w:eastAsia="Calibri" w:hAnsiTheme="majorHAnsi" w:cstheme="majorHAnsi"/>
        </w:rPr>
        <w:t xml:space="preserve"> The report supported establishing the Colorado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a market of last resort for those who can no longer obtain private coverage.</w:t>
      </w:r>
      <w:r w:rsidRPr="00B6688A">
        <w:rPr>
          <w:rFonts w:asciiTheme="majorHAnsi" w:eastAsia="Calibri" w:hAnsiTheme="majorHAnsi" w:cstheme="majorHAnsi"/>
          <w:vertAlign w:val="superscript"/>
        </w:rPr>
        <w:footnoteReference w:id="144"/>
      </w:r>
    </w:p>
    <w:p w14:paraId="47ED4CD9" w14:textId="657A14DC" w:rsidR="00FB1243" w:rsidRPr="00B6688A" w:rsidRDefault="007413BF" w:rsidP="004749C9">
      <w:pPr>
        <w:pStyle w:val="Heading4"/>
        <w:rPr>
          <w:rFonts w:asciiTheme="majorHAnsi" w:hAnsiTheme="majorHAnsi" w:cstheme="majorHAnsi"/>
        </w:rPr>
      </w:pPr>
      <w:bookmarkStart w:id="154" w:name="_6oey48j5wg40" w:colFirst="0" w:colLast="0"/>
      <w:bookmarkEnd w:id="154"/>
      <w:r w:rsidRPr="00B6688A">
        <w:rPr>
          <w:rFonts w:asciiTheme="majorHAnsi" w:hAnsiTheme="majorHAnsi" w:cstheme="majorHAnsi"/>
        </w:rPr>
        <w:t>Data Collection</w:t>
      </w:r>
    </w:p>
    <w:p w14:paraId="47ED4CDA" w14:textId="150D1E71" w:rsidR="00FB1243" w:rsidRPr="00B6688A" w:rsidRDefault="007413BF" w:rsidP="00DD0606">
      <w:pPr>
        <w:spacing w:before="120" w:after="120"/>
        <w:jc w:val="both"/>
        <w:rPr>
          <w:rFonts w:asciiTheme="majorHAnsi" w:eastAsia="Calibri" w:hAnsiTheme="majorHAnsi" w:cstheme="majorHAnsi"/>
        </w:rPr>
      </w:pPr>
      <w:r w:rsidRPr="00B6688A">
        <w:rPr>
          <w:rFonts w:asciiTheme="majorHAnsi" w:eastAsia="Calibri" w:hAnsiTheme="majorHAnsi" w:cstheme="majorHAnsi"/>
        </w:rPr>
        <w:t xml:space="preserve">In recent years, the </w:t>
      </w:r>
      <w:r w:rsidR="00B227F1">
        <w:rPr>
          <w:rFonts w:asciiTheme="majorHAnsi" w:eastAsia="Calibri" w:hAnsiTheme="majorHAnsi" w:cstheme="majorHAnsi"/>
        </w:rPr>
        <w:t>d</w:t>
      </w:r>
      <w:r w:rsidRPr="00B6688A">
        <w:rPr>
          <w:rFonts w:asciiTheme="majorHAnsi" w:eastAsia="Calibri" w:hAnsiTheme="majorHAnsi" w:cstheme="majorHAnsi"/>
        </w:rPr>
        <w:t>ivision has undertaken a series of actions to improve its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"Data collection"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methodology and collect more granular data, enabling more proactive regulatory oversight of insurer actions and pricing models. The </w:t>
      </w:r>
      <w:r w:rsidR="00B227F1">
        <w:rPr>
          <w:rFonts w:asciiTheme="majorHAnsi" w:eastAsia="Calibri" w:hAnsiTheme="majorHAnsi" w:cstheme="majorHAnsi"/>
        </w:rPr>
        <w:t>d</w:t>
      </w:r>
      <w:r w:rsidRPr="00B6688A">
        <w:rPr>
          <w:rFonts w:asciiTheme="majorHAnsi" w:eastAsia="Calibri" w:hAnsiTheme="majorHAnsi" w:cstheme="majorHAnsi"/>
        </w:rPr>
        <w:t>ivision has collected insurer data on key market indicators, including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"Non-renewals"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average premiums by ZIP code, new policies, and overall premium and loss metrics. This data has been used to help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review coverage trends and understand their </w:t>
      </w:r>
      <w:r w:rsidR="009F56BD" w:rsidRPr="00B6688A">
        <w:rPr>
          <w:rFonts w:asciiTheme="majorHAnsi" w:eastAsia="Calibri" w:hAnsiTheme="majorHAnsi" w:cstheme="majorHAnsi"/>
        </w:rPr>
        <w:t>impact</w:t>
      </w:r>
      <w:r w:rsidRPr="00B6688A">
        <w:rPr>
          <w:rFonts w:asciiTheme="majorHAnsi" w:eastAsia="Calibri" w:hAnsiTheme="majorHAnsi" w:cstheme="majorHAnsi"/>
        </w:rPr>
        <w:t xml:space="preserve"> across different parts of the state. </w:t>
      </w:r>
    </w:p>
    <w:p w14:paraId="47ED4CDB" w14:textId="335580BC"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In addition,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instituted enhanced </w:t>
      </w:r>
      <w:r w:rsidR="00AB1423" w:rsidRPr="00B6688A">
        <w:rPr>
          <w:rFonts w:asciiTheme="majorHAnsi" w:eastAsia="Calibri" w:hAnsiTheme="majorHAnsi" w:cstheme="majorHAnsi"/>
        </w:rPr>
        <w:t>information-gathering requirements regarding insurers’ use of proprietary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models"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B1423" w:rsidRPr="00B6688A">
        <w:rPr>
          <w:rFonts w:asciiTheme="majorHAnsi" w:eastAsia="Calibri" w:hAnsiTheme="majorHAnsi" w:cstheme="majorHAnsi"/>
        </w:rPr>
        <w:t xml:space="preserve"> and risk-scoring tools for</w:t>
      </w:r>
      <w:r w:rsidRPr="00B6688A">
        <w:rPr>
          <w:rFonts w:asciiTheme="majorHAnsi" w:eastAsia="Calibri" w:hAnsiTheme="majorHAnsi" w:cstheme="majorHAnsi"/>
        </w:rPr>
        <w:t xml:space="preserve"> rating and underwriting. The </w:t>
      </w:r>
      <w:r w:rsidR="00B227F1">
        <w:rPr>
          <w:rFonts w:asciiTheme="majorHAnsi" w:eastAsia="Calibri" w:hAnsiTheme="majorHAnsi" w:cstheme="majorHAnsi"/>
        </w:rPr>
        <w:t>d</w:t>
      </w:r>
      <w:r w:rsidRPr="00B6688A">
        <w:rPr>
          <w:rFonts w:asciiTheme="majorHAnsi" w:eastAsia="Calibri" w:hAnsiTheme="majorHAnsi" w:cstheme="majorHAnsi"/>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155" w:name="_pykm9ww97o0" w:colFirst="0" w:colLast="0"/>
      <w:bookmarkEnd w:id="155"/>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lastRenderedPageBreak/>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above, studies undertaken in the aftermath of the latter fire found that many homeowners were significantly underinsured. </w:t>
      </w:r>
    </w:p>
    <w:p w14:paraId="47ED4CE0" w14:textId="4B4E99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HB23-1174 focused on addressing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ensuring </w:t>
      </w:r>
      <w:r w:rsidR="00AB1423" w:rsidRPr="00B6688A">
        <w:rPr>
          <w:rFonts w:asciiTheme="majorHAnsi" w:eastAsia="Calibri" w:hAnsiTheme="majorHAnsi" w:cstheme="majorHAnsi"/>
        </w:rPr>
        <w:t>consumers have the information they need to understand what coverage</w:t>
      </w:r>
      <w:r w:rsidR="00BD08B8" w:rsidRPr="00B6688A">
        <w:rPr>
          <w:rFonts w:asciiTheme="majorHAnsi" w:eastAsia="Calibri" w:hAnsiTheme="majorHAnsi" w:cstheme="majorHAnsi"/>
        </w:rPr>
        <w:t xml:space="preserve"> they need</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The act identifies the factors an insurer must </w:t>
      </w:r>
      <w:r w:rsidRPr="00B6688A">
        <w:rPr>
          <w:rFonts w:asciiTheme="majorHAnsi" w:eastAsia="Calibri" w:hAnsiTheme="majorHAnsi" w:cstheme="majorHAnsi"/>
        </w:rPr>
        <w:t xml:space="preserve">consider when determining </w:t>
      </w:r>
      <w:r w:rsidR="00BD08B8" w:rsidRPr="00B6688A">
        <w:rPr>
          <w:rFonts w:asciiTheme="majorHAnsi" w:eastAsia="Calibri" w:hAnsiTheme="majorHAnsi" w:cstheme="majorHAnsi"/>
        </w:rPr>
        <w:t xml:space="preserve">home reconstruction costs and requires insurers to disclose certain information regarding </w:t>
      </w:r>
      <w:r w:rsidRPr="00B6688A">
        <w:rPr>
          <w:rFonts w:asciiTheme="majorHAnsi" w:eastAsia="Calibri" w:hAnsiTheme="majorHAnsi" w:cstheme="majorHAnsi"/>
        </w:rPr>
        <w:t xml:space="preserve">replacement costs before issuing or renewing a homeowner's insurance policy. It created an </w:t>
      </w:r>
      <w:r w:rsidR="005B5AB6">
        <w:rPr>
          <w:rFonts w:asciiTheme="majorHAnsi" w:eastAsia="Calibri" w:hAnsiTheme="majorHAnsi" w:cstheme="majorHAnsi"/>
        </w:rPr>
        <w:t>a</w:t>
      </w:r>
      <w:r w:rsidRPr="00B6688A">
        <w:rPr>
          <w:rFonts w:asciiTheme="majorHAnsi" w:eastAsia="Calibri" w:hAnsiTheme="majorHAnsi" w:cstheme="majorHAnsi"/>
        </w:rPr>
        <w:t xml:space="preserve">nnual </w:t>
      </w:r>
      <w:r w:rsidR="005B5AB6" w:rsidRPr="006D22B8">
        <w:rPr>
          <w:rFonts w:asciiTheme="majorHAnsi" w:eastAsia="Calibri" w:hAnsiTheme="majorHAnsi" w:cstheme="majorHAnsi"/>
          <w:i/>
          <w:iCs/>
        </w:rPr>
        <w:t xml:space="preserve">Residential </w:t>
      </w:r>
      <w:r w:rsidRPr="006D22B8">
        <w:rPr>
          <w:rFonts w:asciiTheme="majorHAnsi" w:eastAsia="Calibri" w:hAnsiTheme="majorHAnsi" w:cstheme="majorHAnsi"/>
          <w:i/>
          <w:iCs/>
        </w:rPr>
        <w:t>Reconstruction Report</w:t>
      </w:r>
      <w:r w:rsidRPr="00B6688A">
        <w:rPr>
          <w:rFonts w:asciiTheme="majorHAnsi" w:eastAsia="Calibri" w:hAnsiTheme="majorHAnsi" w:cstheme="majorHAnsi"/>
        </w:rPr>
        <w:t xml:space="preserve"> to help consumers understand how construction costs can </w:t>
      </w:r>
      <w:r w:rsidR="008333F8">
        <w:rPr>
          <w:rFonts w:asciiTheme="majorHAnsi" w:eastAsia="Calibri" w:hAnsiTheme="majorHAnsi" w:cstheme="majorHAnsi"/>
        </w:rPr>
        <w:t>vary by region</w:t>
      </w:r>
      <w:r w:rsidRPr="00B6688A">
        <w:rPr>
          <w:rFonts w:asciiTheme="majorHAnsi" w:eastAsia="Calibri" w:hAnsiTheme="majorHAnsi" w:cstheme="majorHAnsi"/>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recently,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undertaken efforts to improve the accuracy and transparency around insurers’ use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models.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Specifically, legislation passed in 2025, HB25-1182, requires: </w:t>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have a process for policyholders to appeal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BD08B8" w:rsidRPr="00B6688A">
        <w:rPr>
          <w:rFonts w:asciiTheme="majorHAnsi" w:eastAsia="Calibri" w:hAnsiTheme="majorHAnsi" w:cstheme="majorHAnsi"/>
        </w:rPr>
        <w:t xml:space="preserve"> </w:t>
      </w:r>
      <w:r w:rsidRPr="00B6688A">
        <w:rPr>
          <w:rFonts w:asciiTheme="majorHAnsi" w:eastAsia="Calibri" w:hAnsiTheme="majorHAnsi" w:cstheme="majorHAnsi"/>
        </w:rPr>
        <w:t>Insurers publicly list available discounts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8333F8">
        <w:rPr>
          <w:rFonts w:asciiTheme="majorHAnsi" w:eastAsia="Calibri" w:hAnsiTheme="majorHAnsi" w:cstheme="majorHAnsi"/>
        </w:rPr>
        <w:t>.</w:t>
      </w:r>
    </w:p>
    <w:p w14:paraId="47ED4CE6" w14:textId="77777777" w:rsidR="00FB1243" w:rsidRPr="00B6688A" w:rsidRDefault="007413BF">
      <w:pPr>
        <w:widowControl w:val="0"/>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is an important step in advancing transparency for regulators and consumers. </w:t>
      </w:r>
    </w:p>
    <w:p w14:paraId="3E693FE5" w14:textId="77777777" w:rsidR="00FB0B79" w:rsidRDefault="007413BF">
      <w:pPr>
        <w:jc w:val="both"/>
        <w:rPr>
          <w:rFonts w:asciiTheme="majorHAnsi" w:eastAsia="Calibri" w:hAnsiTheme="majorHAnsi" w:cstheme="majorHAnsi"/>
        </w:rPr>
      </w:pPr>
      <w:r w:rsidRPr="00B6688A">
        <w:rPr>
          <w:rFonts w:asciiTheme="majorHAnsi" w:eastAsia="Calibri" w:hAnsiTheme="majorHAnsi" w:cstheme="majorHAnsi"/>
        </w:rPr>
        <w:t>While all these measures are critical steps,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explore options to address the affordability and availability issues facing Colorado consumers. In 2025, Colorado first introduced legislation (HB25-1302) to address </w:t>
      </w:r>
      <w:r w:rsidR="00FB0B79">
        <w:rPr>
          <w:rFonts w:asciiTheme="majorHAnsi" w:eastAsia="Calibri" w:hAnsiTheme="majorHAnsi" w:cstheme="majorHAnsi"/>
        </w:rPr>
        <w:t xml:space="preserve">these </w:t>
      </w:r>
      <w:r w:rsidRPr="00B6688A">
        <w:rPr>
          <w:rFonts w:asciiTheme="majorHAnsi" w:eastAsia="Calibri" w:hAnsiTheme="majorHAnsi" w:cstheme="majorHAnsi"/>
        </w:rPr>
        <w:t xml:space="preserve">availability and affordability issues and then passed legislation in 2026 (SB26-155). The legislation creates a Strengthen Colorado Homes program, providing homeowners with grants to fortify their homes, similar to programs in several other states, and requires a study to explore options to address insurance risk in </w:t>
      </w:r>
      <w:r w:rsidR="00BD08B8" w:rsidRPr="00B6688A">
        <w:rPr>
          <w:rFonts w:asciiTheme="majorHAnsi" w:eastAsia="Calibri" w:hAnsiTheme="majorHAnsi" w:cstheme="majorHAnsi"/>
        </w:rPr>
        <w:t>high-risk</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of the state. </w:t>
      </w:r>
    </w:p>
    <w:p w14:paraId="47ED4CE7" w14:textId="41824A4D" w:rsidR="00FB1243" w:rsidRPr="00B6688A" w:rsidRDefault="007413BF">
      <w:pPr>
        <w:jc w:val="both"/>
        <w:rPr>
          <w:rFonts w:asciiTheme="majorHAnsi" w:eastAsia="Calibri" w:hAnsiTheme="majorHAnsi" w:cstheme="majorHAnsi"/>
          <w:color w:val="FF0000"/>
        </w:rPr>
      </w:pPr>
      <w:r w:rsidRPr="00B6688A">
        <w:rPr>
          <w:rFonts w:asciiTheme="majorHAnsi" w:eastAsia="Calibri" w:hAnsiTheme="majorHAnsi" w:cstheme="majorHAnsi"/>
        </w:rPr>
        <w:t>Finally, while not an insurance law, the Wildfire Resiliency Code Board created a baseline set of construction,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vegetation management requirements for designated areas of the state. These new standards apply to new residential construction and to exterior </w:t>
      </w:r>
      <w:r w:rsidRPr="00B6688A">
        <w:rPr>
          <w:rFonts w:asciiTheme="majorHAnsi" w:eastAsia="Calibri" w:hAnsiTheme="majorHAnsi" w:cstheme="majorHAnsi"/>
        </w:rPr>
        <w:lastRenderedPageBreak/>
        <w:t>renovations in which 25% or more of the exterior wall area is replaced, to address several components known to reduce wildfire vulnerability. As with many updates to building and land</w:t>
      </w:r>
      <w:r w:rsidRPr="00B6688A">
        <w:rPr>
          <w:rFonts w:ascii="Cambria Math" w:eastAsia="Cambria Math" w:hAnsi="Cambria Math" w:cs="Cambria Math"/>
        </w:rPr>
        <w:t>‑</w:t>
      </w:r>
      <w:r w:rsidRPr="00B6688A">
        <w:rPr>
          <w:rFonts w:asciiTheme="majorHAnsi" w:eastAsia="Calibri" w:hAnsiTheme="majorHAnsi" w:cstheme="majorHAnsi"/>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156" w:name="_a969v041xq4b" w:colFirst="0" w:colLast="0"/>
      <w:bookmarkEnd w:id="156"/>
      <w:r w:rsidRPr="00B6688A">
        <w:rPr>
          <w:rFonts w:asciiTheme="majorHAnsi" w:hAnsiTheme="majorHAnsi" w:cstheme="majorHAnsi"/>
        </w:rPr>
        <w:t>Consumer Outreach and Educational Materials</w:t>
      </w:r>
    </w:p>
    <w:p w14:paraId="47ED4CE9" w14:textId="2BC88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addition to these legislative initiatives, the </w:t>
      </w:r>
      <w:r w:rsidR="008333F8">
        <w:rPr>
          <w:rFonts w:asciiTheme="majorHAnsi" w:eastAsia="Calibri" w:hAnsiTheme="majorHAnsi" w:cstheme="majorHAnsi"/>
        </w:rPr>
        <w:t>d</w:t>
      </w:r>
      <w:r w:rsidRPr="00B6688A">
        <w:rPr>
          <w:rFonts w:asciiTheme="majorHAnsi" w:eastAsia="Calibri" w:hAnsiTheme="majorHAnsi" w:cstheme="majorHAnsi"/>
        </w:rPr>
        <w:t xml:space="preserve">ivision continues to build out its consumer resources. The </w:t>
      </w:r>
      <w:r w:rsidR="008333F8">
        <w:rPr>
          <w:rFonts w:asciiTheme="majorHAnsi" w:eastAsia="Calibri" w:hAnsiTheme="majorHAnsi" w:cstheme="majorHAnsi"/>
        </w:rPr>
        <w:t>d</w:t>
      </w:r>
      <w:r w:rsidRPr="00B6688A">
        <w:rPr>
          <w:rFonts w:asciiTheme="majorHAnsi" w:eastAsia="Calibri" w:hAnsiTheme="majorHAnsi" w:cstheme="majorHAnsi"/>
        </w:rPr>
        <w:t>ivision created a</w:t>
      </w:r>
      <w:r w:rsidRPr="00B6688A">
        <w:rPr>
          <w:rFonts w:asciiTheme="majorHAnsi" w:eastAsia="Calibri" w:hAnsiTheme="majorHAnsi" w:cstheme="majorHAnsi"/>
          <w:color w:val="FF0000"/>
        </w:rPr>
        <w:t xml:space="preserve"> </w:t>
      </w:r>
      <w:hyperlink r:id="rId178">
        <w:r w:rsidR="00FB1243" w:rsidRPr="00B6688A">
          <w:rPr>
            <w:rFonts w:asciiTheme="majorHAnsi" w:eastAsia="Calibri" w:hAnsiTheme="majorHAnsi" w:cstheme="majorHAnsi"/>
            <w:color w:val="1155CC"/>
            <w:u w:val="single"/>
          </w:rPr>
          <w:t>Homeowner and HOA Toolkit</w:t>
        </w:r>
      </w:hyperlink>
      <w:r w:rsidR="004A669E">
        <w:rPr>
          <w:rFonts w:asciiTheme="majorHAnsi" w:eastAsia="Calibri" w:hAnsiTheme="majorHAnsi" w:cstheme="majorHAnsi"/>
        </w:rPr>
        <w:t>, which</w:t>
      </w:r>
      <w:r w:rsidRPr="00B6688A">
        <w:rPr>
          <w:rFonts w:asciiTheme="majorHAnsi" w:eastAsia="Calibri" w:hAnsiTheme="majorHAnsi" w:cstheme="majorHAnsi"/>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157" w:name="_wvi9v07xh7cg" w:colFirst="0" w:colLast="0"/>
      <w:bookmarkEnd w:id="157"/>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158" w:name="_9r1n5ogx6rau" w:colFirst="0" w:colLast="0"/>
      <w:bookmarkStart w:id="159" w:name="_Toc236057889"/>
      <w:bookmarkEnd w:id="158"/>
      <w:r w:rsidRPr="00B6688A">
        <w:rPr>
          <w:rFonts w:asciiTheme="majorHAnsi" w:hAnsiTheme="majorHAnsi" w:cstheme="majorHAnsi"/>
        </w:rPr>
        <w:t>Washington</w:t>
      </w:r>
      <w:bookmarkEnd w:id="15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in Washington, resulting in higher premiums, more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challenges in obtaining new coverage, especially in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The Washington State Office of the Insurance Commissioner (OIC) has reported an increase </w:t>
      </w:r>
      <w:r w:rsidRPr="00B6688A">
        <w:rPr>
          <w:rFonts w:asciiTheme="majorHAnsi" w:eastAsia="Calibri" w:hAnsiTheme="majorHAnsi" w:cstheme="majorHAnsi"/>
        </w:rPr>
        <w:lastRenderedPageBreak/>
        <w:t>in complaints regarding wildfire-related insurance policy actions. Additionally, in some cases, the 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160" w:name="_vqnrwbhva7ki" w:colFirst="0" w:colLast="0"/>
      <w:bookmarkEnd w:id="160"/>
      <w:r w:rsidRPr="00B6688A">
        <w:rPr>
          <w:rFonts w:asciiTheme="majorHAnsi" w:hAnsiTheme="majorHAnsi" w:cstheme="majorHAnsi"/>
        </w:rPr>
        <w:t>Reports</w:t>
      </w:r>
    </w:p>
    <w:p w14:paraId="47ED4CF1" w14:textId="7CABAA36"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2025 </w:t>
      </w:r>
      <w:hyperlink r:id="rId179">
        <w:r w:rsidR="00FB1243" w:rsidRPr="00B6688A">
          <w:rPr>
            <w:rFonts w:asciiTheme="majorHAnsi" w:eastAsia="Calibri" w:hAnsiTheme="majorHAnsi" w:cstheme="majorHAnsi"/>
            <w:color w:val="0000BF"/>
            <w:u w:val="single"/>
          </w:rPr>
          <w:t>Wildfire Mitigation and Resiliency Standards Work Group</w:t>
        </w:r>
      </w:hyperlink>
      <w:r w:rsidRPr="00B6688A">
        <w:rPr>
          <w:rFonts w:asciiTheme="majorHAnsi" w:eastAsia="Calibri" w:hAnsiTheme="majorHAnsi" w:cstheme="majorHAnsi"/>
        </w:rPr>
        <w:t xml:space="preserve"> (</w:t>
      </w:r>
      <w:hyperlink r:id="rId180">
        <w:r w:rsidR="00FB1243" w:rsidRPr="00B6688A">
          <w:rPr>
            <w:rFonts w:asciiTheme="majorHAnsi" w:eastAsia="Calibri" w:hAnsiTheme="majorHAnsi" w:cstheme="majorHAnsi"/>
            <w:color w:val="0000FF"/>
            <w:u w:val="single"/>
          </w:rPr>
          <w:t>HB 1539</w:t>
        </w:r>
      </w:hyperlink>
      <w:r w:rsidRPr="00B6688A">
        <w:rPr>
          <w:rFonts w:asciiTheme="majorHAnsi" w:eastAsia="Calibri" w:hAnsiTheme="majorHAnsi" w:cstheme="majorHAnsi"/>
        </w:rPr>
        <w:t xml:space="preserve">) studied and made recommendations to the </w:t>
      </w:r>
      <w:r w:rsidR="00B72839">
        <w:rPr>
          <w:rFonts w:asciiTheme="majorHAnsi" w:eastAsia="Calibri" w:hAnsiTheme="majorHAnsi" w:cstheme="majorHAnsi"/>
        </w:rPr>
        <w:t>l</w:t>
      </w:r>
      <w:r w:rsidRPr="00B6688A">
        <w:rPr>
          <w:rFonts w:asciiTheme="majorHAnsi" w:eastAsia="Calibri" w:hAnsiTheme="majorHAnsi" w:cstheme="majorHAnsi"/>
        </w:rPr>
        <w:t>egislature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The work group reached the strongest consensus in two key areas: the need for a voluntary</w:t>
      </w:r>
      <w:r w:rsidR="0023765E" w:rsidRPr="00B6688A">
        <w:rPr>
          <w:rFonts w:asciiTheme="majorHAnsi" w:eastAsia="Calibri" w:hAnsiTheme="majorHAnsi" w:cstheme="majorHAnsi"/>
        </w:rPr>
        <w:t>, state-supported grant program to assist homeowners in retrofitting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Retrofitting"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3765E" w:rsidRPr="00B6688A">
        <w:rPr>
          <w:rFonts w:asciiTheme="majorHAnsi" w:eastAsia="Calibri" w:hAnsiTheme="majorHAnsi" w:cstheme="majorHAnsi"/>
        </w:rPr>
        <w:t xml:space="preserve"> properties to improve access to insurance and to resist wildfire loss,</w:t>
      </w:r>
      <w:r w:rsidRPr="00B6688A">
        <w:rPr>
          <w:rFonts w:asciiTheme="majorHAnsi" w:eastAsia="Calibri" w:hAnsiTheme="majorHAnsi" w:cstheme="majorHAnsi"/>
        </w:rPr>
        <w:t xml:space="preserve"> in tandem with continued and expanded investment in community-level mitigation. Members agreed that measurable, science-based wildfire mitigation practices supported by public investment would be critical to reducing wildfire-related insurance nonrenewals and cancellations in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nonrenewals. The report and additional materials can be found on their work group </w:t>
      </w:r>
      <w:hyperlink r:id="rId181">
        <w:r w:rsidR="00FB1243" w:rsidRPr="00B6688A">
          <w:rPr>
            <w:rFonts w:asciiTheme="majorHAnsi" w:eastAsia="Calibri" w:hAnsiTheme="majorHAnsi" w:cstheme="majorHAnsi"/>
            <w:color w:val="0000FF"/>
            <w:u w:val="single"/>
          </w:rPr>
          <w:t>website</w:t>
        </w:r>
      </w:hyperlink>
      <w:r w:rsidRPr="00B6688A">
        <w:rPr>
          <w:rFonts w:asciiTheme="majorHAnsi" w:eastAsia="Calibri" w:hAnsiTheme="majorHAnsi" w:cstheme="majorHAnsi"/>
        </w:rPr>
        <w:t xml:space="preserve">. </w:t>
      </w:r>
    </w:p>
    <w:p w14:paraId="47ED4CF2" w14:textId="067377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Community Fire Resilience Workgroup 2025 </w:t>
      </w:r>
      <w:hyperlink r:id="rId182">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conducted a </w:t>
      </w:r>
      <w:r w:rsidR="00B72839">
        <w:rPr>
          <w:rFonts w:asciiTheme="majorHAnsi" w:eastAsia="Calibri" w:hAnsiTheme="majorHAnsi" w:cstheme="majorHAnsi"/>
        </w:rPr>
        <w:t>five</w:t>
      </w:r>
      <w:r w:rsidRPr="00B6688A">
        <w:rPr>
          <w:rFonts w:asciiTheme="majorHAnsi" w:eastAsia="Calibri" w:hAnsiTheme="majorHAnsi" w:cstheme="majorHAnsi"/>
        </w:rPr>
        <w:t>-year review of the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w:t>
      </w:r>
      <w:hyperlink r:id="rId183">
        <w:r w:rsidR="00FB1243" w:rsidRPr="00B6688A">
          <w:rPr>
            <w:rFonts w:asciiTheme="majorHAnsi" w:eastAsia="Calibri" w:hAnsiTheme="majorHAnsi" w:cstheme="majorHAnsi"/>
            <w:color w:val="0000FF"/>
            <w:u w:val="single"/>
          </w:rPr>
          <w:t>Wildland Fire Protection Strategic Plan</w:t>
        </w:r>
      </w:hyperlink>
      <w:r w:rsidRPr="00B6688A">
        <w:rPr>
          <w:rFonts w:asciiTheme="majorHAnsi" w:eastAsia="Calibri" w:hAnsiTheme="majorHAnsi" w:cstheme="majorHAnsi"/>
        </w:rPr>
        <w:t xml:space="preserve">. The report finds that without investment and </w:t>
      </w:r>
      <w:r w:rsidR="00AD3211">
        <w:rPr>
          <w:rFonts w:asciiTheme="majorHAnsi" w:eastAsia="Calibri" w:hAnsiTheme="majorHAnsi" w:cstheme="majorHAnsi"/>
        </w:rPr>
        <w:t xml:space="preserve">the </w:t>
      </w:r>
      <w:r w:rsidRPr="00B6688A">
        <w:rPr>
          <w:rFonts w:asciiTheme="majorHAnsi" w:eastAsia="Calibri" w:hAnsiTheme="majorHAnsi" w:cstheme="majorHAnsi"/>
        </w:rPr>
        <w:t>development of more effective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systems, Washington will see increased direct impacts on communities and an expanding insurance crisis. An ongoing challenge is that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-driven fires are difficult to suppress and exhibit fire behavior that results in the greatest number of structures being destroyed. </w:t>
      </w:r>
    </w:p>
    <w:p w14:paraId="47ED4CF3" w14:textId="346E8200" w:rsidR="00FB1243" w:rsidRPr="00B6688A" w:rsidRDefault="007413BF">
      <w:pPr>
        <w:spacing w:before="240" w:after="0"/>
        <w:jc w:val="both"/>
        <w:rPr>
          <w:rFonts w:asciiTheme="majorHAnsi" w:eastAsia="Calibri" w:hAnsiTheme="majorHAnsi" w:cstheme="majorHAnsi"/>
        </w:rPr>
      </w:pPr>
      <w:r w:rsidRPr="00B6688A">
        <w:rPr>
          <w:rFonts w:asciiTheme="majorHAnsi" w:eastAsia="Calibri" w:hAnsiTheme="majorHAnsi" w:cstheme="majorHAnsi"/>
        </w:rPr>
        <w:t xml:space="preserve">The Disaster Resiliency Work Group 2020 </w:t>
      </w:r>
      <w:hyperlink r:id="rId184">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recommended improved coordination on climate risks, a possible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and insurance incentives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report also recommended that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“develop economic incentives for resiliency activities such as partnering with the Insurance Institute for Business &amp; Home Safety to develop a program in Washington to have certified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In 2024, the OIC began collecting </w:t>
      </w:r>
      <w:hyperlink r:id="rId185">
        <w:r w:rsidR="00FB1243" w:rsidRPr="00B6688A">
          <w:rPr>
            <w:rFonts w:asciiTheme="majorHAnsi" w:eastAsia="Calibri" w:hAnsiTheme="majorHAnsi" w:cstheme="majorHAnsi"/>
            <w:color w:val="0000FF"/>
            <w:u w:val="single"/>
          </w:rPr>
          <w:t>annual insurer nonrenewal and cancellation data</w:t>
        </w:r>
      </w:hyperlink>
      <w:r w:rsidRPr="00B6688A">
        <w:rPr>
          <w:rFonts w:asciiTheme="majorHAnsi" w:eastAsia="Calibri" w:hAnsiTheme="majorHAnsi" w:cstheme="majorHAnsi"/>
        </w:rPr>
        <w:t>,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-related reasons, to track insurance market changes at the individual property level. This </w:t>
      </w:r>
      <w:r w:rsidRPr="00B6688A">
        <w:rPr>
          <w:rFonts w:asciiTheme="majorHAnsi" w:eastAsia="Calibri" w:hAnsiTheme="majorHAnsi" w:cstheme="majorHAnsi"/>
        </w:rPr>
        <w:lastRenderedPageBreak/>
        <w:t xml:space="preserve">allows the </w:t>
      </w:r>
      <w:r w:rsidR="00B72839">
        <w:rPr>
          <w:rFonts w:asciiTheme="majorHAnsi" w:eastAsia="Calibri" w:hAnsiTheme="majorHAnsi" w:cstheme="majorHAnsi"/>
        </w:rPr>
        <w:t>c</w:t>
      </w:r>
      <w:r w:rsidRPr="00B6688A">
        <w:rPr>
          <w:rFonts w:asciiTheme="majorHAnsi" w:eastAsia="Calibri" w:hAnsiTheme="majorHAnsi" w:cstheme="majorHAnsi"/>
        </w:rPr>
        <w:t>ommissioner to focus public awareness campaigns and future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on these most impacted areas. The OIC also gathers claims data after disasters, such as the 2023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Over the last decade,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has steadily strengthened its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framework through investments in forest health, wildfire response and preparedness,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utility oversight, and community investments. However, with unstable state budgets and </w:t>
      </w:r>
      <w:r w:rsidR="005B791C" w:rsidRPr="00B6688A">
        <w:rPr>
          <w:rFonts w:asciiTheme="majorHAnsi" w:eastAsia="Calibri" w:hAnsiTheme="majorHAnsi" w:cstheme="majorHAnsi"/>
        </w:rPr>
        <w:t>federal uncertainty</w:t>
      </w:r>
      <w:r w:rsidRPr="00B6688A">
        <w:rPr>
          <w:rFonts w:asciiTheme="majorHAnsi" w:eastAsia="Calibri" w:hAnsiTheme="majorHAnsi" w:cstheme="majorHAnsi"/>
        </w:rPr>
        <w:t xml:space="preserve"> regarding disaster recovery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recovery"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OIC is also exploring innovative options, such as community-based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wildfires, to support rapid rebuilding. </w:t>
      </w:r>
    </w:p>
    <w:p w14:paraId="47ED4CF8" w14:textId="35BD9F1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The OIC is currently working on strategies to address insurance nonrenewals and cancellations due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to implement certain insurance-related recommendations from the December 2025 Wildfire Mitigation and Resiliency Standards Work Group, including two bills requested by the </w:t>
      </w:r>
      <w:r w:rsidR="00B72839">
        <w:rPr>
          <w:rFonts w:asciiTheme="majorHAnsi" w:eastAsia="Calibri" w:hAnsiTheme="majorHAnsi" w:cstheme="majorHAnsi"/>
        </w:rPr>
        <w:t>i</w:t>
      </w:r>
      <w:r w:rsidRPr="00B6688A">
        <w:rPr>
          <w:rFonts w:asciiTheme="majorHAnsi" w:eastAsia="Calibri" w:hAnsiTheme="majorHAnsi" w:cstheme="majorHAnsi"/>
        </w:rPr>
        <w:t xml:space="preserve">nsurance </w:t>
      </w:r>
      <w:r w:rsidR="00B72839">
        <w:rPr>
          <w:rFonts w:asciiTheme="majorHAnsi" w:eastAsia="Calibri" w:hAnsiTheme="majorHAnsi" w:cstheme="majorHAnsi"/>
        </w:rPr>
        <w:t>c</w:t>
      </w:r>
      <w:r w:rsidRPr="00B6688A">
        <w:rPr>
          <w:rFonts w:asciiTheme="majorHAnsi" w:eastAsia="Calibri" w:hAnsiTheme="majorHAnsi" w:cstheme="majorHAnsi"/>
        </w:rPr>
        <w:t xml:space="preserve">ommissioner during the 2026 legislative session. These two bills were inspired by recommendations </w:t>
      </w:r>
      <w:r w:rsidR="00845D1A">
        <w:rPr>
          <w:rFonts w:asciiTheme="majorHAnsi" w:eastAsia="Calibri" w:hAnsiTheme="majorHAnsi" w:cstheme="majorHAnsi"/>
        </w:rPr>
        <w:t>C</w:t>
      </w:r>
      <w:r w:rsidRPr="00B6688A">
        <w:rPr>
          <w:rFonts w:asciiTheme="majorHAnsi" w:eastAsia="Calibri" w:hAnsiTheme="majorHAnsi" w:cstheme="majorHAnsi"/>
        </w:rPr>
        <w:t xml:space="preserve"> and </w:t>
      </w:r>
      <w:r w:rsidR="00845D1A">
        <w:rPr>
          <w:rFonts w:asciiTheme="majorHAnsi" w:eastAsia="Calibri" w:hAnsiTheme="majorHAnsi" w:cstheme="majorHAnsi"/>
        </w:rPr>
        <w:t>E</w:t>
      </w:r>
      <w:r w:rsidRPr="00B6688A">
        <w:rPr>
          <w:rFonts w:asciiTheme="majorHAnsi" w:eastAsia="Calibri" w:hAnsiTheme="majorHAnsi" w:cstheme="majorHAnsi"/>
        </w:rPr>
        <w:t xml:space="preserve"> of the Work Group’s </w:t>
      </w:r>
      <w:hyperlink r:id="rId186">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(1) concerning wildfire risk models and score disclosure (</w:t>
      </w:r>
      <w:hyperlink r:id="rId187">
        <w:r w:rsidR="00FB1243" w:rsidRPr="00B6688A">
          <w:rPr>
            <w:rFonts w:asciiTheme="majorHAnsi" w:eastAsia="Calibri" w:hAnsiTheme="majorHAnsi" w:cstheme="majorHAnsi"/>
            <w:color w:val="0000FF"/>
            <w:u w:val="single"/>
          </w:rPr>
          <w:t>SB 5928</w:t>
        </w:r>
      </w:hyperlink>
      <w:r w:rsidRPr="00B6688A">
        <w:rPr>
          <w:rFonts w:asciiTheme="majorHAnsi" w:eastAsia="Calibri" w:hAnsiTheme="majorHAnsi" w:cstheme="majorHAnsi"/>
        </w:rPr>
        <w:t>) and (2) a home-hardening voluntary grant program using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as the baseline (</w:t>
      </w:r>
      <w:hyperlink r:id="rId188">
        <w:r w:rsidR="00FB1243" w:rsidRPr="00B6688A">
          <w:rPr>
            <w:rFonts w:asciiTheme="majorHAnsi" w:eastAsia="Calibri" w:hAnsiTheme="majorHAnsi" w:cstheme="majorHAnsi"/>
            <w:color w:val="0000FF"/>
            <w:u w:val="single"/>
          </w:rPr>
          <w:t>SB 6079</w:t>
        </w:r>
      </w:hyperlink>
      <w:r w:rsidRPr="00B6688A">
        <w:rPr>
          <w:rFonts w:asciiTheme="majorHAnsi" w:eastAsia="Calibri" w:hAnsiTheme="majorHAnsi" w:cstheme="majorHAnsi"/>
        </w:rPr>
        <w:t xml:space="preserve">). Both SB 5928 and SB 6079 moved out of the Senate but died in the House Consumer Protection and Business Committee. </w:t>
      </w:r>
    </w:p>
    <w:p w14:paraId="47ED4CF9" w14:textId="3CE01B9A"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currently conducting an assessment of fire property protection classification (PPC) methods. Fire PPCs are used by insurers as one input </w:t>
      </w:r>
      <w:r w:rsidR="00D30427">
        <w:rPr>
          <w:rFonts w:asciiTheme="majorHAnsi" w:eastAsia="Calibri" w:hAnsiTheme="majorHAnsi" w:cstheme="majorHAnsi"/>
        </w:rPr>
        <w:t xml:space="preserve">for assessing fire risk </w:t>
      </w:r>
      <w:r w:rsidRPr="00B6688A">
        <w:rPr>
          <w:rFonts w:asciiTheme="majorHAnsi" w:eastAsia="Calibri" w:hAnsiTheme="majorHAnsi" w:cstheme="majorHAnsi"/>
        </w:rPr>
        <w:t>and determining insurance premiums. In Washington State, insurers primarily rely on protection classifications developed by the Washington Surveying and Rating Bureau (WSRB). These classifications are assigned at a defined community</w:t>
      </w:r>
      <w:r w:rsidR="00D30427">
        <w:rPr>
          <w:rFonts w:asciiTheme="majorHAnsi" w:eastAsia="Calibri" w:hAnsiTheme="majorHAnsi" w:cstheme="majorHAnsi"/>
        </w:rPr>
        <w:t>-</w:t>
      </w:r>
      <w:r w:rsidRPr="00B6688A">
        <w:rPr>
          <w:rFonts w:asciiTheme="majorHAnsi" w:eastAsia="Calibri" w:hAnsiTheme="majorHAnsi" w:cstheme="majorHAnsi"/>
        </w:rPr>
        <w:t xml:space="preserve"> or service</w:t>
      </w:r>
      <w:r w:rsidR="00D30427">
        <w:rPr>
          <w:rFonts w:asciiTheme="majorHAnsi" w:eastAsia="Calibri" w:hAnsiTheme="majorHAnsi" w:cstheme="majorHAnsi"/>
        </w:rPr>
        <w:t>-</w:t>
      </w:r>
      <w:r w:rsidRPr="00B6688A">
        <w:rPr>
          <w:rFonts w:asciiTheme="majorHAnsi" w:eastAsia="Calibri" w:hAnsiTheme="majorHAnsi" w:cstheme="majorHAnsi"/>
        </w:rPr>
        <w:t xml:space="preserve">area level and are intended to represent the overall level of fire protection available to insured properties. The assessment aims to provide a comprehensive review of the existing PPC methodology in </w:t>
      </w:r>
      <w:r w:rsidR="00D30427">
        <w:rPr>
          <w:rFonts w:asciiTheme="majorHAnsi" w:eastAsia="Calibri" w:hAnsiTheme="majorHAnsi" w:cstheme="majorHAnsi"/>
        </w:rPr>
        <w:t>the state, establishing</w:t>
      </w:r>
      <w:r w:rsidRPr="00B6688A">
        <w:rPr>
          <w:rFonts w:asciiTheme="majorHAnsi" w:eastAsia="Calibri" w:hAnsiTheme="majorHAnsi" w:cstheme="majorHAnsi"/>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state promotes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Preparedness Month held in May, with</w:t>
      </w:r>
      <w:r w:rsidR="00D2392A">
        <w:rPr>
          <w:rFonts w:asciiTheme="majorHAnsi" w:eastAsia="Calibri" w:hAnsiTheme="majorHAnsi" w:cstheme="majorHAnsi"/>
        </w:rPr>
        <w:t xml:space="preserve"> the</w:t>
      </w:r>
      <w:r w:rsidRPr="00B6688A">
        <w:rPr>
          <w:rFonts w:asciiTheme="majorHAnsi" w:eastAsia="Calibri" w:hAnsiTheme="majorHAnsi" w:cstheme="majorHAnsi"/>
        </w:rPr>
        <w:t xml:space="preserve"> OIC issuing reminders for residents to review policies,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inventories. The OIC’s </w:t>
      </w:r>
      <w:hyperlink r:id="rId189">
        <w:r w:rsidR="00FB1243" w:rsidRPr="00B6688A">
          <w:rPr>
            <w:rFonts w:asciiTheme="majorHAnsi" w:eastAsia="Calibri" w:hAnsiTheme="majorHAnsi" w:cstheme="majorHAnsi"/>
            <w:color w:val="0000FF"/>
            <w:u w:val="single"/>
          </w:rPr>
          <w:t>Wildfires and Homeowners Insurance page</w:t>
        </w:r>
      </w:hyperlink>
      <w:r w:rsidRPr="00B6688A">
        <w:rPr>
          <w:rFonts w:asciiTheme="majorHAnsi" w:eastAsia="Calibri" w:hAnsiTheme="majorHAnsi" w:cstheme="majorHAnsi"/>
        </w:rPr>
        <w:t xml:space="preserve"> offers FAQs, including steps if coverage is canceled or unavailable, preparation tips for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and details about Washington’s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 xml:space="preserve">OIC staff attend county fairs and expos, especially in fire-prone regions. The </w:t>
      </w:r>
      <w:r w:rsidR="00D30427">
        <w:rPr>
          <w:rFonts w:asciiTheme="majorHAnsi" w:eastAsia="Calibri" w:hAnsiTheme="majorHAnsi" w:cstheme="majorHAnsi"/>
        </w:rPr>
        <w:t>i</w:t>
      </w:r>
      <w:r w:rsidRPr="00B6688A">
        <w:rPr>
          <w:rFonts w:asciiTheme="majorHAnsi" w:eastAsia="Calibri" w:hAnsiTheme="majorHAnsi" w:cstheme="majorHAnsi"/>
        </w:rPr>
        <w:t xml:space="preserve">nsurance </w:t>
      </w:r>
      <w:r w:rsidR="00D30427">
        <w:rPr>
          <w:rFonts w:asciiTheme="majorHAnsi" w:eastAsia="Calibri" w:hAnsiTheme="majorHAnsi" w:cstheme="majorHAnsi"/>
        </w:rPr>
        <w:t>c</w:t>
      </w:r>
      <w:r w:rsidRPr="00B6688A">
        <w:rPr>
          <w:rFonts w:asciiTheme="majorHAnsi" w:eastAsia="Calibri" w:hAnsiTheme="majorHAnsi" w:cstheme="majorHAnsi"/>
        </w:rPr>
        <w:t xml:space="preserve">ommissioner uses media appearances after major fires to share insurance resources and highlight success stories, often alongside other state leaders. </w:t>
      </w:r>
      <w:r w:rsidR="00D30427">
        <w:rPr>
          <w:rFonts w:asciiTheme="majorHAnsi" w:eastAsia="Calibri" w:hAnsiTheme="majorHAnsi" w:cstheme="majorHAnsi"/>
        </w:rPr>
        <w:t xml:space="preserve">The </w:t>
      </w:r>
      <w:r w:rsidRPr="00B6688A">
        <w:rPr>
          <w:rFonts w:asciiTheme="majorHAnsi" w:eastAsia="Calibri" w:hAnsiTheme="majorHAnsi" w:cstheme="majorHAnsi"/>
        </w:rPr>
        <w:t>OIC also offers claims advocacy after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161" w:name="_Toc236057890"/>
      <w:r w:rsidRPr="00B6688A">
        <w:rPr>
          <w:rFonts w:asciiTheme="majorHAnsi" w:hAnsiTheme="majorHAnsi" w:cstheme="majorHAnsi"/>
        </w:rPr>
        <w:t>Wyoming</w:t>
      </w:r>
      <w:bookmarkEnd w:id="16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162" w:name="_2rdg14r39non" w:colFirst="0" w:colLast="0"/>
      <w:bookmarkEnd w:id="162"/>
      <w:r w:rsidRPr="00B6688A">
        <w:rPr>
          <w:rFonts w:asciiTheme="majorHAnsi" w:hAnsiTheme="majorHAnsi" w:cstheme="majorHAnsi"/>
        </w:rPr>
        <w:t>Introduction</w:t>
      </w:r>
    </w:p>
    <w:p w14:paraId="47ED4D02" w14:textId="6C69DD6E"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In Wyoming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the wildfire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peril has shifted to a primary driver of rising costs and reduced availability for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particularly for rural and vacation properties. Insurance rates have risen sharply year over year due to updated wildfire risk designations. This is most prominent in areas of the state with dense forests and a growing WUI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Wildfire risk is addressed in broader state plans. The 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Forestry Division’s</w:t>
      </w:r>
      <w:r w:rsidR="00CC722C">
        <w:rPr>
          <w:rFonts w:asciiTheme="majorHAnsi" w:eastAsia="Calibri" w:hAnsiTheme="majorHAnsi" w:cstheme="majorHAnsi"/>
        </w:rPr>
        <w:t xml:space="preserve"> (</w:t>
      </w:r>
      <w:r w:rsidR="00CC722C" w:rsidRPr="00CC722C">
        <w:rPr>
          <w:rFonts w:asciiTheme="majorHAnsi" w:eastAsia="Calibri" w:hAnsiTheme="majorHAnsi" w:cstheme="majorHAnsi"/>
        </w:rPr>
        <w:t>WSFD</w:t>
      </w:r>
      <w:r w:rsidR="00CC722C">
        <w:rPr>
          <w:rFonts w:asciiTheme="majorHAnsi" w:eastAsia="Calibri" w:hAnsiTheme="majorHAnsi" w:cstheme="majorHAnsi"/>
        </w:rPr>
        <w:t>’s)</w:t>
      </w:r>
      <w:r w:rsidRPr="00B6688A">
        <w:rPr>
          <w:rFonts w:asciiTheme="majorHAnsi" w:eastAsia="Calibri" w:hAnsiTheme="majorHAnsi" w:cstheme="majorHAnsi"/>
        </w:rPr>
        <w:t xml:space="preserve"> 2020 Forest Action Plan mapped </w:t>
      </w:r>
      <w:r w:rsidR="008F0265" w:rsidRPr="00B6688A">
        <w:rPr>
          <w:rFonts w:asciiTheme="majorHAnsi" w:eastAsia="Calibri" w:hAnsiTheme="majorHAnsi" w:cstheme="majorHAnsi"/>
        </w:rPr>
        <w:t>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0265" w:rsidRPr="00B6688A">
        <w:rPr>
          <w:rFonts w:asciiTheme="majorHAnsi" w:eastAsia="Calibri" w:hAnsiTheme="majorHAnsi" w:cstheme="majorHAnsi"/>
        </w:rPr>
        <w:t xml:space="preserve"> risk and forest conditions statewide</w:t>
      </w:r>
      <w:r w:rsidRPr="00B6688A">
        <w:rPr>
          <w:rFonts w:asciiTheme="majorHAnsi" w:eastAsia="Calibri" w:hAnsiTheme="majorHAnsi" w:cstheme="majorHAnsi"/>
        </w:rPr>
        <w:t xml:space="preserve">, finding that most of the state faces moderate wildfire risk. The </w:t>
      </w:r>
      <w:r w:rsidR="002C3B29">
        <w:rPr>
          <w:rFonts w:asciiTheme="majorHAnsi" w:eastAsia="Calibri" w:hAnsiTheme="majorHAnsi" w:cstheme="majorHAnsi"/>
        </w:rPr>
        <w:t xml:space="preserve">Wyoming </w:t>
      </w:r>
      <w:r w:rsidRPr="00B6688A">
        <w:rPr>
          <w:rFonts w:asciiTheme="majorHAnsi" w:eastAsia="Calibri" w:hAnsiTheme="majorHAnsi" w:cstheme="majorHAnsi"/>
        </w:rPr>
        <w:t>Office of Homeland Security’s State Mitigation Plan, updated in 2023, identifies wildfire as a key hazard. In June 2025, legislators received a 2024 Wyoming Wildfire Update</w:t>
      </w:r>
      <w:r w:rsidR="00CB36CC" w:rsidRPr="00B6688A">
        <w:rPr>
          <w:rFonts w:asciiTheme="majorHAnsi" w:eastAsia="Calibri" w:hAnsiTheme="majorHAnsi" w:cstheme="majorHAnsi"/>
        </w:rPr>
        <w:t xml:space="preserve"> that summarized the severe 2024 fire season, during which over 850,000 acres burned—approximately 70% on state and private lands—and outlined</w:t>
      </w:r>
      <w:r w:rsidRPr="00B6688A">
        <w:rPr>
          <w:rFonts w:asciiTheme="majorHAnsi" w:eastAsia="Calibri" w:hAnsiTheme="majorHAnsi" w:cstheme="majorHAnsi"/>
        </w:rPr>
        <w:t xml:space="preserve"> recovery needs. Additionally, a 2023 briefing from the </w:t>
      </w:r>
      <w:r w:rsidR="00835249">
        <w:rPr>
          <w:rFonts w:asciiTheme="majorHAnsi" w:eastAsia="Calibri" w:hAnsiTheme="majorHAnsi" w:cstheme="majorHAnsi"/>
        </w:rPr>
        <w:t>i</w:t>
      </w:r>
      <w:r w:rsidRPr="00B6688A">
        <w:rPr>
          <w:rFonts w:asciiTheme="majorHAnsi" w:eastAsia="Calibri" w:hAnsiTheme="majorHAnsi" w:cstheme="majorHAnsi"/>
        </w:rPr>
        <w:t xml:space="preserve">nsurance </w:t>
      </w:r>
      <w:r w:rsidR="00835249">
        <w:rPr>
          <w:rFonts w:asciiTheme="majorHAnsi" w:eastAsia="Calibri" w:hAnsiTheme="majorHAnsi" w:cstheme="majorHAnsi"/>
        </w:rPr>
        <w:t>c</w:t>
      </w:r>
      <w:r w:rsidRPr="00B6688A">
        <w:rPr>
          <w:rFonts w:asciiTheme="majorHAnsi" w:eastAsia="Calibri" w:hAnsiTheme="majorHAnsi" w:cstheme="majorHAnsi"/>
        </w:rPr>
        <w:t xml:space="preserve">ommissioner warned that rising wildfire liability insurance costs for utility companies could lead to </w:t>
      </w:r>
      <w:r w:rsidR="00CB36CC" w:rsidRPr="00B6688A">
        <w:rPr>
          <w:rFonts w:asciiTheme="majorHAnsi" w:eastAsia="Calibri" w:hAnsiTheme="majorHAnsi" w:cstheme="majorHAnsi"/>
        </w:rPr>
        <w:t xml:space="preserve">higher electricity rates, highlighting </w:t>
      </w:r>
      <w:r w:rsidRPr="00B6688A">
        <w:rPr>
          <w:rFonts w:asciiTheme="majorHAnsi" w:eastAsia="Calibri" w:hAnsiTheme="majorHAnsi" w:cstheme="majorHAnsi"/>
        </w:rPr>
        <w:t>cross-sector impacts.</w:t>
      </w:r>
    </w:p>
    <w:p w14:paraId="47ED4D05" w14:textId="1EB4238E" w:rsidR="00FB1243" w:rsidRPr="00B6688A" w:rsidRDefault="007413BF" w:rsidP="003F3EDC">
      <w:pPr>
        <w:pStyle w:val="Heading4"/>
        <w:rPr>
          <w:rFonts w:asciiTheme="majorHAnsi" w:hAnsiTheme="majorHAnsi" w:cstheme="majorHAnsi"/>
        </w:rPr>
      </w:pPr>
      <w:bookmarkStart w:id="163" w:name="_bg6fn6h5d56h" w:colFirst="0" w:colLast="0"/>
      <w:bookmarkEnd w:id="163"/>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D572C8">
        <w:rPr>
          <w:rFonts w:asciiTheme="majorHAnsi" w:eastAsia="Calibri" w:hAnsiTheme="majorHAnsi" w:cstheme="majorHAnsi"/>
        </w:rPr>
        <w:t xml:space="preserve">The </w:t>
      </w:r>
      <w:r w:rsidR="00B35D66" w:rsidRPr="00D572C8">
        <w:rPr>
          <w:rFonts w:asciiTheme="majorHAnsi" w:eastAsia="Calibri" w:hAnsiTheme="majorHAnsi" w:cstheme="majorHAnsi"/>
        </w:rPr>
        <w:t>Wyoming Department of Insurance (</w:t>
      </w:r>
      <w:r w:rsidR="007413BF" w:rsidRPr="00D572C8">
        <w:rPr>
          <w:rFonts w:asciiTheme="majorHAnsi" w:eastAsia="Calibri" w:hAnsiTheme="majorHAnsi" w:cstheme="majorHAnsi"/>
        </w:rPr>
        <w:t>DOI</w:t>
      </w:r>
      <w:r w:rsidR="00B35D66" w:rsidRPr="00D572C8">
        <w:rPr>
          <w:rFonts w:asciiTheme="majorHAnsi" w:eastAsia="Calibri" w:hAnsiTheme="majorHAnsi" w:cstheme="majorHAnsi"/>
        </w:rPr>
        <w:t>)</w:t>
      </w:r>
      <w:r w:rsidR="007413BF" w:rsidRPr="00D572C8">
        <w:rPr>
          <w:rFonts w:asciiTheme="majorHAnsi" w:eastAsia="Calibri" w:hAnsiTheme="majorHAnsi" w:cstheme="majorHAnsi"/>
        </w:rPr>
        <w:t xml:space="preserve"> informally tracks homeowners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164" w:name="_qm41yxbwicpk" w:colFirst="0" w:colLast="0"/>
      <w:bookmarkEnd w:id="164"/>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Technical Coordination: </w:t>
      </w:r>
      <w:r w:rsidR="00970672">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 xml:space="preserve">DOI collaborates with the </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tate</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Fire Marshal and Forestry Division for expertise on fire behavior and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County Wildfire Protection Plans (CWPPs): All 23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165" w:name="_fnicqiwsbxo2" w:colFirst="0" w:colLast="0"/>
      <w:bookmarkEnd w:id="165"/>
      <w:r w:rsidRPr="00B6688A">
        <w:rPr>
          <w:rFonts w:asciiTheme="majorHAnsi" w:hAnsiTheme="majorHAnsi" w:cstheme="majorHAnsi"/>
        </w:rPr>
        <w:t>Consumer Outreach and Educational Materials</w:t>
      </w:r>
    </w:p>
    <w:p w14:paraId="47ED4D0F" w14:textId="1912EB60" w:rsidR="00FB1243" w:rsidRPr="00B6688A" w:rsidRDefault="00522F77">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provides disaster insurance resources online and in brochures, covering preparation, coverage reviews, and claim processes. After major fires,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advises policyholders to confirm </w:t>
      </w:r>
      <w:r w:rsidR="009C2A0F" w:rsidRPr="00B6688A">
        <w:rPr>
          <w:rFonts w:asciiTheme="majorHAnsi" w:eastAsia="Calibri" w:hAnsiTheme="majorHAnsi" w:cstheme="majorHAnsi"/>
        </w:rPr>
        <w:t xml:space="preserve">that they have adequate coverage and to </w:t>
      </w:r>
      <w:r w:rsidR="007413BF" w:rsidRPr="00B6688A">
        <w:rPr>
          <w:rFonts w:asciiTheme="majorHAnsi" w:eastAsia="Calibri" w:hAnsiTheme="majorHAnsi" w:cstheme="majorHAnsi"/>
        </w:rPr>
        <w:t>consider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endorsements. Guidance on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insurers for those unable to find coverage.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hosts insurance fairs at county events and uses local media to stress annual policy reviews. </w:t>
      </w:r>
      <w:r w:rsidR="00992B0B">
        <w:rPr>
          <w:rFonts w:asciiTheme="majorHAnsi" w:eastAsia="Calibri" w:hAnsiTheme="majorHAnsi" w:cstheme="majorHAnsi"/>
        </w:rPr>
        <w:t>It</w:t>
      </w:r>
      <w:r w:rsidR="00992B0B" w:rsidRPr="00B6688A">
        <w:rPr>
          <w:rFonts w:asciiTheme="majorHAnsi" w:eastAsia="Calibri" w:hAnsiTheme="majorHAnsi" w:cstheme="majorHAnsi"/>
        </w:rPr>
        <w:t xml:space="preserve"> </w:t>
      </w:r>
      <w:r w:rsidR="007413BF" w:rsidRPr="00B6688A">
        <w:rPr>
          <w:rFonts w:asciiTheme="majorHAnsi" w:eastAsia="Calibri" w:hAnsiTheme="majorHAnsi" w:cstheme="majorHAnsi"/>
        </w:rPr>
        <w:t xml:space="preserve">maintains a Wildfire and Homeowner Insurance FAQ webpage. Annual </w:t>
      </w:r>
      <w:r w:rsidR="00992B0B">
        <w:rPr>
          <w:rFonts w:asciiTheme="majorHAnsi" w:eastAsia="Calibri" w:hAnsiTheme="majorHAnsi" w:cstheme="majorHAnsi"/>
        </w:rPr>
        <w:t>w</w:t>
      </w:r>
      <w:r w:rsidR="007413BF" w:rsidRPr="00B6688A">
        <w:rPr>
          <w:rFonts w:asciiTheme="majorHAnsi" w:eastAsia="Calibri" w:hAnsiTheme="majorHAnsi" w:cstheme="majorHAnsi"/>
        </w:rPr>
        <w:t xml:space="preserve">ildfire </w:t>
      </w:r>
      <w:r w:rsidR="00992B0B">
        <w:rPr>
          <w:rFonts w:asciiTheme="majorHAnsi" w:eastAsia="Calibri" w:hAnsiTheme="majorHAnsi" w:cstheme="majorHAnsi"/>
        </w:rPr>
        <w:t>p</w:t>
      </w:r>
      <w:r w:rsidR="007413BF" w:rsidRPr="00B6688A">
        <w:rPr>
          <w:rFonts w:asciiTheme="majorHAnsi" w:eastAsia="Calibri" w:hAnsiTheme="majorHAnsi" w:cstheme="majorHAnsi"/>
        </w:rPr>
        <w:t xml:space="preserve">reparedness workshops are conducted in high-risk areas by the </w:t>
      </w:r>
      <w:r w:rsidR="00A52FFF">
        <w:rPr>
          <w:rFonts w:asciiTheme="majorHAnsi" w:eastAsia="Calibri" w:hAnsiTheme="majorHAnsi" w:cstheme="majorHAnsi"/>
        </w:rPr>
        <w:t>WSFD</w:t>
      </w:r>
      <w:r w:rsidR="007413BF" w:rsidRPr="00B6688A">
        <w:rPr>
          <w:rFonts w:asciiTheme="majorHAnsi" w:eastAsia="Calibri" w:hAnsiTheme="majorHAnsi" w:cstheme="majorHAnsi"/>
        </w:rPr>
        <w:t xml:space="preserve">, </w:t>
      </w:r>
      <w:r w:rsidR="00992B0B">
        <w:rPr>
          <w:rFonts w:asciiTheme="majorHAnsi" w:eastAsia="Calibri" w:hAnsiTheme="majorHAnsi" w:cstheme="majorHAnsi"/>
        </w:rPr>
        <w:t>c</w:t>
      </w:r>
      <w:r w:rsidR="007413BF" w:rsidRPr="00B6688A">
        <w:rPr>
          <w:rFonts w:asciiTheme="majorHAnsi" w:eastAsia="Calibri" w:hAnsiTheme="majorHAnsi" w:cstheme="majorHAnsi"/>
        </w:rPr>
        <w:t xml:space="preserve">ounty </w:t>
      </w:r>
      <w:r w:rsidR="00992B0B">
        <w:rPr>
          <w:rFonts w:asciiTheme="majorHAnsi" w:eastAsia="Calibri" w:hAnsiTheme="majorHAnsi" w:cstheme="majorHAnsi"/>
        </w:rPr>
        <w:t>f</w:t>
      </w:r>
      <w:r w:rsidR="007413BF" w:rsidRPr="00B6688A">
        <w:rPr>
          <w:rFonts w:asciiTheme="majorHAnsi" w:eastAsia="Calibri" w:hAnsiTheme="majorHAnsi" w:cstheme="majorHAnsi"/>
        </w:rPr>
        <w:t xml:space="preserve">ire </w:t>
      </w:r>
      <w:r w:rsidR="00992B0B">
        <w:rPr>
          <w:rFonts w:asciiTheme="majorHAnsi" w:eastAsia="Calibri" w:hAnsiTheme="majorHAnsi" w:cstheme="majorHAnsi"/>
        </w:rPr>
        <w:t>w</w:t>
      </w:r>
      <w:r w:rsidR="007413BF" w:rsidRPr="00B6688A">
        <w:rPr>
          <w:rFonts w:asciiTheme="majorHAnsi" w:eastAsia="Calibri" w:hAnsiTheme="majorHAnsi" w:cstheme="majorHAnsi"/>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166" w:name="_12al5pe5icw3" w:colFirst="0" w:colLast="0"/>
      <w:bookmarkEnd w:id="166"/>
      <w:r w:rsidRPr="00B6688A">
        <w:rPr>
          <w:rFonts w:asciiTheme="majorHAnsi" w:hAnsiTheme="majorHAnsi" w:cstheme="majorHAnsi"/>
        </w:rPr>
        <w:t>Partnerships</w:t>
      </w:r>
    </w:p>
    <w:p w14:paraId="47ED4D11" w14:textId="63B9C2F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collaborates with neighboring states through the Western Governors’ Association and informal regulator networks to share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strategies. A liaison working group between the </w:t>
      </w:r>
      <w:r w:rsidR="006854C9">
        <w:rPr>
          <w:rFonts w:asciiTheme="majorHAnsi" w:eastAsia="Calibri" w:hAnsiTheme="majorHAnsi" w:cstheme="majorHAnsi"/>
        </w:rPr>
        <w:t>WSFD</w:t>
      </w:r>
      <w:r w:rsidRPr="00B6688A">
        <w:rPr>
          <w:rFonts w:asciiTheme="majorHAnsi" w:eastAsia="Calibri" w:hAnsiTheme="majorHAnsi" w:cstheme="majorHAnsi"/>
        </w:rPr>
        <w:t xml:space="preserve"> and </w:t>
      </w:r>
      <w:r w:rsidR="00C9691F">
        <w:rPr>
          <w:rFonts w:asciiTheme="majorHAnsi" w:eastAsia="Calibri" w:hAnsiTheme="majorHAnsi" w:cstheme="majorHAnsi"/>
        </w:rPr>
        <w:t xml:space="preserve">the </w:t>
      </w:r>
      <w:r w:rsidRPr="00B6688A">
        <w:rPr>
          <w:rFonts w:asciiTheme="majorHAnsi" w:eastAsia="Calibri" w:hAnsiTheme="majorHAnsi" w:cstheme="majorHAnsi"/>
        </w:rPr>
        <w:t>DOI exchanges data</w:t>
      </w:r>
      <w:r w:rsidR="006854C9">
        <w:rPr>
          <w:rFonts w:asciiTheme="majorHAnsi" w:eastAsia="Calibri" w:hAnsiTheme="majorHAnsi" w:cstheme="majorHAnsi"/>
        </w:rPr>
        <w:t>: the</w:t>
      </w:r>
      <w:r w:rsidRPr="00B6688A">
        <w:rPr>
          <w:rFonts w:asciiTheme="majorHAnsi" w:eastAsia="Calibri" w:hAnsiTheme="majorHAnsi" w:cstheme="majorHAnsi"/>
        </w:rPr>
        <w:t xml:space="preserve"> WSFD shares aggregated high-risk home locations, and </w:t>
      </w:r>
      <w:r w:rsidR="00A52FFF">
        <w:rPr>
          <w:rFonts w:asciiTheme="majorHAnsi" w:eastAsia="Calibri" w:hAnsiTheme="majorHAnsi" w:cstheme="majorHAnsi"/>
        </w:rPr>
        <w:t xml:space="preserve">the </w:t>
      </w:r>
      <w:r w:rsidRPr="00B6688A">
        <w:rPr>
          <w:rFonts w:asciiTheme="majorHAnsi" w:eastAsia="Calibri" w:hAnsiTheme="majorHAnsi" w:cstheme="majorHAnsi"/>
        </w:rPr>
        <w:t xml:space="preserve">DOI alerts </w:t>
      </w:r>
      <w:r w:rsidR="006854C9">
        <w:rPr>
          <w:rFonts w:asciiTheme="majorHAnsi" w:eastAsia="Calibri" w:hAnsiTheme="majorHAnsi" w:cstheme="majorHAnsi"/>
        </w:rPr>
        <w:t xml:space="preserve">the </w:t>
      </w:r>
      <w:r w:rsidRPr="00B6688A">
        <w:rPr>
          <w:rFonts w:asciiTheme="majorHAnsi" w:eastAsia="Calibri" w:hAnsiTheme="majorHAnsi" w:cstheme="majorHAnsi"/>
        </w:rPr>
        <w:t>WSFD about spikes in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167" w:name="_Toc236057891"/>
      <w:r w:rsidRPr="00B6688A">
        <w:rPr>
          <w:rFonts w:asciiTheme="majorHAnsi" w:hAnsiTheme="majorHAnsi" w:cstheme="majorHAnsi"/>
        </w:rPr>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167"/>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168" w:name="_Toc236057892"/>
      <w:r w:rsidRPr="00B6688A">
        <w:rPr>
          <w:rFonts w:asciiTheme="majorHAnsi" w:hAnsiTheme="majorHAnsi" w:cstheme="majorHAnsi"/>
        </w:rPr>
        <w:t>Overview</w:t>
      </w:r>
      <w:bookmarkEnd w:id="168"/>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homeowners insurance policies generally exclude earthquake damage. </w:t>
      </w:r>
      <w:r w:rsidR="00E44746" w:rsidRPr="00E44746">
        <w:rPr>
          <w:rFonts w:ascii="Calibri" w:hAnsi="Calibri" w:cs="Calibri"/>
          <w:lang w:val="en-US"/>
        </w:rPr>
        <w:t xml:space="preserve">Even when earthquake coverage is purchased separately, a major earthquake can still affect homeowners insurance affordability and availability by disrupting </w:t>
      </w:r>
      <w:r w:rsidR="00E44746" w:rsidRPr="00E44746">
        <w:rPr>
          <w:rFonts w:ascii="Calibri" w:hAnsi="Calibri" w:cs="Calibri"/>
          <w:lang w:val="en-US"/>
        </w:rPr>
        <w:lastRenderedPageBreak/>
        <w:t>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169" w:name="_Toc236057893"/>
      <w:r w:rsidRPr="00B6688A">
        <w:rPr>
          <w:rFonts w:asciiTheme="majorHAnsi" w:hAnsiTheme="majorHAnsi" w:cstheme="majorHAnsi"/>
        </w:rPr>
        <w:t>California</w:t>
      </w:r>
      <w:bookmarkEnd w:id="16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one of the highest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in the country, accounting for roughly two-thirds of U.S. seismic risk and encompassing more than 15,000 known faults, according to the </w:t>
      </w:r>
      <w:hyperlink r:id="rId190">
        <w:r w:rsidR="00FB1243" w:rsidRPr="00B6688A">
          <w:rPr>
            <w:rFonts w:asciiTheme="majorHAnsi" w:eastAsia="Calibri" w:hAnsiTheme="majorHAnsi" w:cstheme="majorHAnsi"/>
            <w:color w:val="0000FF"/>
            <w:u w:val="single"/>
          </w:rPr>
          <w:t>California Geological Survey</w:t>
        </w:r>
      </w:hyperlink>
      <w:r w:rsidRPr="00B6688A">
        <w:rPr>
          <w:rFonts w:asciiTheme="majorHAnsi" w:eastAsia="Calibri" w:hAnsiTheme="majorHAnsi" w:cstheme="majorHAnsi"/>
        </w:rPr>
        <w:t xml:space="preserve">. There is a greater than 99% chance of one or more magnitude 6.7 or larger earthquakes striking California, based on the </w:t>
      </w:r>
      <w:hyperlink r:id="rId191">
        <w:r w:rsidR="00FB1243" w:rsidRPr="00B6688A">
          <w:rPr>
            <w:rFonts w:asciiTheme="majorHAnsi" w:eastAsia="Calibri" w:hAnsiTheme="majorHAnsi" w:cstheme="majorHAnsi"/>
            <w:color w:val="0000FF"/>
            <w:u w:val="single"/>
          </w:rPr>
          <w:t>Uniform California Earthquake Rupture Forecast</w:t>
        </w:r>
      </w:hyperlink>
      <w:r w:rsidRPr="00B6688A">
        <w:rPr>
          <w:rFonts w:asciiTheme="majorHAnsi" w:eastAsia="Calibri" w:hAnsiTheme="majorHAnsi" w:cstheme="majorHAnsi"/>
        </w:rPr>
        <w:t>. Past events underscore the scale of potential impacts: the 1989 Loma Prieta earthquake damaged more than 18,000 homes and destroyed 963</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5"/>
      </w:r>
      <w:r w:rsidRPr="00B6688A">
        <w:rPr>
          <w:rFonts w:asciiTheme="majorHAnsi" w:eastAsia="Calibri" w:hAnsiTheme="majorHAnsi" w:cstheme="majorHAnsi"/>
        </w:rPr>
        <w:t xml:space="preserve"> and the 1994 Northridge earthquake caused approximately $20 billion in property losses</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6"/>
      </w:r>
      <w:r w:rsidRPr="00B6688A">
        <w:rPr>
          <w:rFonts w:asciiTheme="majorHAnsi" w:eastAsia="Calibri" w:hAnsiTheme="majorHAnsi" w:cstheme="majorHAnsi"/>
        </w:rPr>
        <w:t xml:space="preserve"> Yet despite this risk, only about 10% of Californians carry earthquake insurance</w:t>
      </w:r>
      <w:r w:rsidR="001159F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vertAlign w:val="superscript"/>
        </w:rPr>
        <w:footnoteReference w:id="147"/>
      </w:r>
      <w:r w:rsidRPr="00B6688A">
        <w:rPr>
          <w:rFonts w:asciiTheme="majorHAnsi" w:eastAsia="Calibri" w:hAnsiTheme="majorHAnsi" w:cstheme="majorHAnsi"/>
        </w:rPr>
        <w:t xml:space="preserve"> leaving most households financially exposed. In Southern California, tsunami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Tsunami"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hazards associated with offshore earthquakes are expected to be exacerbated by climate change</w:t>
      </w:r>
      <w:r w:rsidR="000667EB">
        <w:rPr>
          <w:rFonts w:asciiTheme="majorHAnsi" w:eastAsia="Calibri" w:hAnsiTheme="majorHAnsi" w:cstheme="majorHAnsi"/>
        </w:rPr>
        <w:t xml:space="preserve">, </w:t>
      </w:r>
      <w:r w:rsidRPr="00B6688A">
        <w:rPr>
          <w:rFonts w:asciiTheme="majorHAnsi" w:eastAsia="Calibri" w:hAnsiTheme="majorHAnsi" w:cstheme="majorHAnsi"/>
        </w:rPr>
        <w:t xml:space="preserve">driven </w:t>
      </w:r>
      <w:r w:rsidR="000667EB">
        <w:rPr>
          <w:rFonts w:asciiTheme="majorHAnsi" w:eastAsia="Calibri" w:hAnsiTheme="majorHAnsi" w:cstheme="majorHAnsi"/>
        </w:rPr>
        <w:t xml:space="preserve">by </w:t>
      </w:r>
      <w:r w:rsidRPr="00B6688A">
        <w:rPr>
          <w:rFonts w:asciiTheme="majorHAnsi" w:eastAsia="Calibri" w:hAnsiTheme="majorHAnsi" w:cstheme="majorHAnsi"/>
        </w:rPr>
        <w:t>sea level rise, further compounding coastal risk</w:t>
      </w:r>
      <w:r w:rsidR="000667EB">
        <w:rPr>
          <w:rFonts w:asciiTheme="majorHAnsi" w:eastAsia="Calibri" w:hAnsiTheme="majorHAnsi" w:cstheme="majorHAnsi"/>
        </w:rPr>
        <w:t>.</w:t>
      </w:r>
      <w:r w:rsidRPr="00B6688A">
        <w:rPr>
          <w:rFonts w:asciiTheme="majorHAnsi" w:eastAsia="Calibri" w:hAnsiTheme="majorHAnsi" w:cstheme="majorHAnsi"/>
          <w:vertAlign w:val="superscript"/>
        </w:rPr>
        <w:footnoteReference w:id="148"/>
      </w:r>
      <w:r w:rsidRPr="00B6688A">
        <w:rPr>
          <w:rFonts w:asciiTheme="majorHAnsi" w:eastAsia="Calibri" w:hAnsiTheme="majorHAnsi" w:cstheme="majorHAnsi"/>
        </w:rPr>
        <w:t xml:space="preserve"> </w:t>
      </w:r>
    </w:p>
    <w:p w14:paraId="47ED4D17" w14:textId="21F1C9BA" w:rsidR="00FB1243" w:rsidRPr="00B6688A" w:rsidRDefault="007413BF" w:rsidP="00B562F5">
      <w:pPr>
        <w:pStyle w:val="Heading4"/>
        <w:rPr>
          <w:rFonts w:asciiTheme="majorHAnsi" w:hAnsiTheme="majorHAnsi" w:cstheme="majorHAnsi"/>
        </w:rPr>
      </w:pPr>
      <w:bookmarkStart w:id="170" w:name="_zannohss9hh4" w:colFirst="0" w:colLast="0"/>
      <w:bookmarkEnd w:id="170"/>
      <w:r w:rsidRPr="00B6688A">
        <w:rPr>
          <w:rFonts w:asciiTheme="majorHAnsi" w:hAnsiTheme="majorHAnsi" w:cstheme="majorHAnsi"/>
        </w:rPr>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2">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Fire Following Earthquake Coverage</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3">
        <w:r w:rsidR="00FB1243" w:rsidRPr="00B6688A">
          <w:rPr>
            <w:rFonts w:asciiTheme="majorHAnsi" w:eastAsia="Calibri" w:hAnsiTheme="majorHAnsi" w:cstheme="majorHAnsi"/>
            <w:color w:val="467886"/>
            <w:u w:val="single"/>
          </w:rPr>
          <w:t>10088.5</w:t>
        </w:r>
      </w:hyperlink>
      <w:r w:rsidRPr="00B6688A">
        <w:rPr>
          <w:rFonts w:asciiTheme="majorHAnsi" w:eastAsia="Calibri" w:hAnsiTheme="majorHAnsi" w:cstheme="majorHAnsi"/>
        </w:rPr>
        <w:t>): Fire following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covered by the underlying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4">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171" w:name="_4tuwkxszmtuq" w:colFirst="0" w:colLast="0"/>
      <w:bookmarkEnd w:id="171"/>
      <w:r w:rsidRPr="00B6688A">
        <w:rPr>
          <w:rFonts w:asciiTheme="majorHAnsi" w:hAnsiTheme="majorHAnsi" w:cstheme="majorHAnsi"/>
        </w:rPr>
        <w:lastRenderedPageBreak/>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00D572C8">
      <w:pPr>
        <w:numPr>
          <w:ilvl w:val="0"/>
          <w:numId w:val="29"/>
        </w:numPr>
        <w:spacing w:after="0"/>
        <w:ind w:left="1080"/>
        <w:jc w:val="both"/>
        <w:rPr>
          <w:rFonts w:asciiTheme="majorHAnsi" w:eastAsia="Calibri" w:hAnsiTheme="majorHAnsi" w:cstheme="majorHAnsi"/>
        </w:rPr>
      </w:pPr>
      <w:hyperlink r:id="rId195">
        <w:r w:rsidRPr="00B6688A">
          <w:rPr>
            <w:rFonts w:asciiTheme="majorHAnsi" w:eastAsia="Calibri" w:hAnsiTheme="majorHAnsi" w:cstheme="majorHAnsi"/>
            <w:color w:val="467886"/>
            <w:u w:val="single"/>
          </w:rPr>
          <w:t>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Authority</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Earthquake Authority (CEA)" </w:instrText>
      </w:r>
      <w:r w:rsidR="00870578" w:rsidRPr="00B6688A">
        <w:rPr>
          <w:rFonts w:asciiTheme="majorHAnsi" w:hAnsiTheme="majorHAnsi" w:cstheme="majorHAnsi"/>
        </w:rPr>
        <w:fldChar w:fldCharType="end"/>
      </w:r>
      <w:r w:rsidRPr="00B6688A">
        <w:rPr>
          <w:rFonts w:asciiTheme="majorHAnsi" w:eastAsia="Calibri" w:hAnsiTheme="majorHAnsi" w:cstheme="majorHAnsi"/>
          <w:u w:val="single"/>
        </w:rPr>
        <w:t xml:space="preserve"> (CEA</w:t>
      </w:r>
      <w:r w:rsidRPr="00B6688A">
        <w:rPr>
          <w:rFonts w:asciiTheme="majorHAnsi" w:eastAsia="Calibri" w:hAnsiTheme="majorHAnsi" w:cstheme="majorHAnsi"/>
        </w:rPr>
        <w:t>): The CEA is a not-for-profit, publicly managed, privately funded entity.</w:t>
      </w:r>
      <w:r w:rsidR="00F20372">
        <w:rPr>
          <w:rFonts w:asciiTheme="majorHAnsi" w:eastAsia="Calibri" w:hAnsiTheme="majorHAnsi" w:cstheme="majorHAnsi"/>
        </w:rPr>
        <w:t xml:space="preserve"> </w:t>
      </w:r>
      <w:r w:rsidRPr="00B6688A">
        <w:rPr>
          <w:rFonts w:asciiTheme="majorHAnsi" w:eastAsia="Calibri" w:hAnsiTheme="majorHAnsi" w:cstheme="majorHAnsi"/>
        </w:rPr>
        <w:t>It is the largest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insurer in the state.</w:t>
      </w:r>
      <w:r w:rsidR="00F20372">
        <w:rPr>
          <w:rFonts w:asciiTheme="majorHAnsi" w:eastAsia="Calibri" w:hAnsiTheme="majorHAnsi" w:cstheme="majorHAnsi"/>
        </w:rPr>
        <w:t xml:space="preserve"> </w:t>
      </w:r>
      <w:r w:rsidRPr="00B6688A">
        <w:rPr>
          <w:rFonts w:asciiTheme="majorHAnsi" w:eastAsia="Calibri" w:hAnsiTheme="majorHAnsi" w:cstheme="majorHAnsi"/>
        </w:rPr>
        <w:t>It writes earthquake policies on behalf of insurers that participate in the CEA program.</w:t>
      </w:r>
      <w:r w:rsidR="00F20372">
        <w:rPr>
          <w:rFonts w:asciiTheme="majorHAnsi" w:eastAsia="Calibri" w:hAnsiTheme="majorHAnsi" w:cstheme="majorHAnsi"/>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196">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00D572C8">
      <w:pPr>
        <w:numPr>
          <w:ilvl w:val="0"/>
          <w:numId w:val="29"/>
        </w:numPr>
        <w:ind w:left="1080"/>
        <w:jc w:val="both"/>
        <w:rPr>
          <w:rFonts w:asciiTheme="majorHAnsi" w:eastAsia="Calibri" w:hAnsiTheme="majorHAnsi" w:cstheme="majorHAnsi"/>
        </w:rPr>
      </w:pPr>
      <w:hyperlink r:id="rId197">
        <w:r w:rsidRPr="00B6688A">
          <w:rPr>
            <w:rFonts w:asciiTheme="majorHAnsi" w:eastAsia="Calibri" w:hAnsiTheme="majorHAnsi" w:cstheme="majorHAnsi"/>
            <w:color w:val="467886"/>
            <w:u w:val="single"/>
          </w:rPr>
          <w:t xml:space="preserve">Parametric </w:t>
        </w:r>
        <w:r w:rsidR="00985734">
          <w:rPr>
            <w:rFonts w:asciiTheme="majorHAnsi" w:eastAsia="Calibri" w:hAnsiTheme="majorHAnsi" w:cstheme="majorHAnsi"/>
            <w:color w:val="467886"/>
            <w:u w:val="single"/>
          </w:rPr>
          <w:t>e</w:t>
        </w:r>
        <w:r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nsurance</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with coverage up to $20</w:t>
      </w:r>
      <w:r w:rsidR="00441FE3">
        <w:rPr>
          <w:rFonts w:asciiTheme="majorHAnsi" w:eastAsia="Calibri" w:hAnsiTheme="majorHAnsi" w:cstheme="majorHAnsi"/>
        </w:rPr>
        <w:t>,000</w:t>
      </w:r>
      <w:r w:rsidRPr="00B6688A">
        <w:rPr>
          <w:rFonts w:asciiTheme="majorHAnsi" w:eastAsia="Calibri" w:hAnsiTheme="majorHAnsi" w:cstheme="majorHAnsi"/>
        </w:rPr>
        <w:t xml:space="preserve"> is available to cover a policyholder’s immediate needs following an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It is not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00D572C8">
      <w:pPr>
        <w:numPr>
          <w:ilvl w:val="0"/>
          <w:numId w:val="3"/>
        </w:numPr>
        <w:spacing w:after="0"/>
        <w:ind w:left="1080"/>
        <w:jc w:val="both"/>
        <w:rPr>
          <w:rFonts w:asciiTheme="majorHAnsi" w:eastAsia="Calibri" w:hAnsiTheme="majorHAnsi" w:cstheme="majorHAnsi"/>
        </w:rPr>
      </w:pPr>
      <w:hyperlink r:id="rId198">
        <w:r w:rsidRPr="00B6688A">
          <w:rPr>
            <w:rFonts w:asciiTheme="majorHAnsi" w:eastAsia="Calibri" w:hAnsiTheme="majorHAnsi" w:cstheme="majorHAnsi"/>
            <w:color w:val="467886"/>
            <w:u w:val="single"/>
          </w:rPr>
          <w:t>Earthquake Retrofit Grants</w:t>
        </w:r>
      </w:hyperlink>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required to set aside funds for loss</w:t>
      </w:r>
      <w:r w:rsidR="00441FE3">
        <w:rPr>
          <w:rFonts w:asciiTheme="majorHAnsi" w:eastAsia="Calibri" w:hAnsiTheme="majorHAnsi" w:cstheme="majorHAnsi"/>
        </w:rPr>
        <w:t>-</w:t>
      </w:r>
      <w:r w:rsidRPr="00B6688A">
        <w:rPr>
          <w:rFonts w:asciiTheme="majorHAnsi" w:eastAsia="Calibri" w:hAnsiTheme="majorHAnsi" w:cstheme="majorHAnsi"/>
        </w:rPr>
        <w:t>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Accordingly, the CEA created the </w:t>
      </w:r>
      <w:hyperlink r:id="rId199">
        <w:r w:rsidRPr="00B6688A">
          <w:rPr>
            <w:rFonts w:asciiTheme="majorHAnsi" w:eastAsia="Calibri" w:hAnsiTheme="majorHAnsi" w:cstheme="majorHAnsi"/>
            <w:color w:val="467886"/>
            <w:u w:val="single"/>
          </w:rPr>
          <w:t>CRMP</w:t>
        </w:r>
      </w:hyperlink>
      <w:r w:rsidRPr="00B6688A">
        <w:rPr>
          <w:rFonts w:asciiTheme="majorHAnsi" w:eastAsia="Calibri" w:hAnsiTheme="majorHAnsi" w:cstheme="majorHAnsi"/>
        </w:rPr>
        <w:t xml:space="preserve"> to provide grants and assist with developing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0">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An incentive program, run by the CRMP,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odes. The program provides retrofit funding to make 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1">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00D572C8">
      <w:pPr>
        <w:numPr>
          <w:ilvl w:val="0"/>
          <w:numId w:val="58"/>
        </w:numPr>
        <w:spacing w:after="0"/>
        <w:ind w:left="1080"/>
        <w:jc w:val="both"/>
        <w:rPr>
          <w:rFonts w:asciiTheme="majorHAnsi" w:eastAsia="Calibri" w:hAnsiTheme="majorHAnsi" w:cstheme="majorHAnsi"/>
        </w:rPr>
      </w:pPr>
      <w:hyperlink r:id="rId202">
        <w:r w:rsidRPr="00B6688A">
          <w:rPr>
            <w:rFonts w:asciiTheme="majorHAnsi" w:eastAsia="Calibri" w:hAnsiTheme="majorHAnsi" w:cstheme="majorHAnsi"/>
            <w:color w:val="467886"/>
            <w:u w:val="single"/>
          </w:rPr>
          <w:t xml:space="preserve">Structural </w:t>
        </w:r>
        <w:r w:rsidR="00A13ACC">
          <w:rPr>
            <w:rFonts w:asciiTheme="majorHAnsi" w:eastAsia="Calibri" w:hAnsiTheme="majorHAnsi" w:cstheme="majorHAnsi"/>
            <w:color w:val="467886"/>
            <w:u w:val="single"/>
          </w:rPr>
          <w:t>r</w:t>
        </w:r>
        <w:r w:rsidRPr="00B6688A">
          <w:rPr>
            <w:rFonts w:asciiTheme="majorHAnsi" w:eastAsia="Calibri" w:hAnsiTheme="majorHAnsi" w:cstheme="majorHAnsi"/>
            <w:color w:val="467886"/>
            <w:u w:val="single"/>
          </w:rPr>
          <w:t>isks</w:t>
        </w:r>
      </w:hyperlink>
      <w:r w:rsidRPr="00B6688A">
        <w:rPr>
          <w:rFonts w:asciiTheme="majorHAnsi" w:eastAsia="Calibri" w:hAnsiTheme="majorHAnsi" w:cstheme="majorHAnsi"/>
        </w:rPr>
        <w:t xml:space="preserve"> to residential properties are explained </w:t>
      </w:r>
      <w:r w:rsidR="00A13ACC">
        <w:rPr>
          <w:rFonts w:asciiTheme="majorHAnsi" w:eastAsia="Calibri" w:hAnsiTheme="majorHAnsi" w:cstheme="majorHAnsi"/>
        </w:rPr>
        <w:t>on</w:t>
      </w:r>
      <w:r w:rsidRPr="00B6688A">
        <w:rPr>
          <w:rFonts w:asciiTheme="majorHAnsi" w:eastAsia="Calibri" w:hAnsiTheme="majorHAnsi" w:cstheme="majorHAnsi"/>
        </w:rPr>
        <w:t xml:space="preserve"> the CRMP website.</w:t>
      </w:r>
    </w:p>
    <w:p w14:paraId="47ED4D26" w14:textId="36E19B6E" w:rsidR="00FB1243" w:rsidRPr="00B6688A" w:rsidRDefault="007413BF" w:rsidP="00D572C8">
      <w:pPr>
        <w:numPr>
          <w:ilvl w:val="0"/>
          <w:numId w:val="58"/>
        </w:numPr>
        <w:ind w:left="1080"/>
        <w:jc w:val="both"/>
        <w:rPr>
          <w:rFonts w:asciiTheme="majorHAnsi" w:eastAsia="Calibri" w:hAnsiTheme="majorHAnsi" w:cstheme="majorHAnsi"/>
        </w:rPr>
      </w:pPr>
      <w:r w:rsidRPr="00B6688A">
        <w:rPr>
          <w:rFonts w:asciiTheme="majorHAnsi" w:eastAsia="Calibri" w:hAnsiTheme="majorHAnsi" w:cstheme="majorHAnsi"/>
        </w:rPr>
        <w:t xml:space="preserve">Additional </w:t>
      </w:r>
      <w:hyperlink r:id="rId203">
        <w:r w:rsidR="00A13ACC">
          <w:rPr>
            <w:rFonts w:asciiTheme="majorHAnsi" w:eastAsia="Calibri" w:hAnsiTheme="majorHAnsi" w:cstheme="majorHAnsi"/>
            <w:color w:val="467886"/>
            <w:u w:val="single"/>
          </w:rPr>
          <w:t>h</w:t>
        </w:r>
        <w:r w:rsidR="00FB1243" w:rsidRPr="00B6688A">
          <w:rPr>
            <w:rFonts w:asciiTheme="majorHAnsi" w:eastAsia="Calibri" w:hAnsiTheme="majorHAnsi" w:cstheme="majorHAnsi"/>
            <w:color w:val="467886"/>
            <w:u w:val="single"/>
          </w:rPr>
          <w:t xml:space="preserve">azard </w:t>
        </w:r>
        <w:r w:rsidR="00A13ACC">
          <w:rPr>
            <w:rFonts w:asciiTheme="majorHAnsi" w:eastAsia="Calibri" w:hAnsiTheme="majorHAnsi" w:cstheme="majorHAnsi"/>
            <w:color w:val="467886"/>
            <w:u w:val="single"/>
          </w:rPr>
          <w:t>m</w:t>
        </w:r>
        <w:r w:rsidR="00FB1243" w:rsidRPr="00B6688A">
          <w:rPr>
            <w:rFonts w:asciiTheme="majorHAnsi" w:eastAsia="Calibri" w:hAnsiTheme="majorHAnsi" w:cstheme="majorHAnsi"/>
            <w:color w:val="467886"/>
            <w:u w:val="single"/>
          </w:rPr>
          <w:t>itigation</w:t>
        </w:r>
      </w:hyperlink>
      <w:r w:rsidRPr="00B6688A">
        <w:rPr>
          <w:rFonts w:asciiTheme="majorHAnsi" w:eastAsia="Calibri" w:hAnsiTheme="majorHAnsi" w:cstheme="majorHAnsi"/>
        </w:rPr>
        <w:t xml:space="preserve"> resources are available </w:t>
      </w:r>
      <w:r w:rsidR="00A13ACC">
        <w:rPr>
          <w:rFonts w:asciiTheme="majorHAnsi" w:eastAsia="Calibri" w:hAnsiTheme="majorHAnsi" w:cstheme="majorHAnsi"/>
        </w:rPr>
        <w:t>on</w:t>
      </w:r>
      <w:r w:rsidRPr="00B6688A">
        <w:rPr>
          <w:rFonts w:asciiTheme="majorHAnsi" w:eastAsia="Calibri" w:hAnsiTheme="majorHAnsi" w:cstheme="majorHAnsi"/>
        </w:rPr>
        <w:t xml:space="preserve"> the </w:t>
      </w:r>
      <w:r w:rsidR="00A13ACC">
        <w:rPr>
          <w:rFonts w:asciiTheme="majorHAnsi" w:eastAsia="Calibri" w:hAnsiTheme="majorHAnsi" w:cstheme="majorHAnsi"/>
        </w:rPr>
        <w:t>CEA’s</w:t>
      </w:r>
      <w:r w:rsidRPr="00B6688A">
        <w:rPr>
          <w:rFonts w:asciiTheme="majorHAnsi" w:eastAsia="Calibri" w:hAnsiTheme="majorHAnsi" w:cstheme="majorHAnsi"/>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172" w:name="_frlqfs3umym" w:colFirst="0" w:colLast="0"/>
      <w:bookmarkEnd w:id="172"/>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4">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173" w:name="_r241t6kv7e1y" w:colFirst="0" w:colLast="0"/>
      <w:bookmarkStart w:id="174" w:name="_wv3g1hwaoniv" w:colFirst="0" w:colLast="0"/>
      <w:bookmarkStart w:id="175" w:name="_Toc236057894"/>
      <w:bookmarkEnd w:id="173"/>
      <w:bookmarkEnd w:id="174"/>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17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176" w:name="_dvc5wwcqndny" w:colFirst="0" w:colLast="0"/>
      <w:bookmarkStart w:id="177" w:name="_Toc236057895"/>
      <w:bookmarkEnd w:id="176"/>
      <w:r w:rsidRPr="00B6688A">
        <w:rPr>
          <w:rFonts w:asciiTheme="majorHAnsi" w:hAnsiTheme="majorHAnsi" w:cstheme="majorHAnsi"/>
        </w:rPr>
        <w:t>Overview</w:t>
      </w:r>
      <w:bookmarkEnd w:id="177"/>
    </w:p>
    <w:p w14:paraId="47ED4D2C" w14:textId="1BBEEA2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Flooding poses a significant threat to communities throughout the United States, affecting both coastal and inland regions. Various factors, such as heavy rainfall,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surges, and </w:t>
      </w:r>
      <w:r w:rsidRPr="00B6688A">
        <w:rPr>
          <w:rFonts w:asciiTheme="majorHAnsi" w:eastAsia="Calibri" w:hAnsiTheme="majorHAnsi" w:cstheme="majorHAnsi"/>
        </w:rPr>
        <w:lastRenderedPageBreak/>
        <w:t xml:space="preserve">river overflows, </w:t>
      </w:r>
      <w:r w:rsidR="006477E0" w:rsidRPr="00B6688A">
        <w:rPr>
          <w:rFonts w:asciiTheme="majorHAnsi" w:eastAsia="Calibri" w:hAnsiTheme="majorHAnsi" w:cstheme="majorHAnsi"/>
        </w:rPr>
        <w:t>increase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477E0" w:rsidRPr="00B6688A">
        <w:rPr>
          <w:rFonts w:asciiTheme="majorHAnsi" w:eastAsia="Calibri" w:hAnsiTheme="majorHAnsi" w:cstheme="majorHAnsi"/>
        </w:rPr>
        <w:t xml:space="preserve"> risk, leading to</w:t>
      </w:r>
      <w:r w:rsidRPr="00B6688A">
        <w:rPr>
          <w:rFonts w:asciiTheme="majorHAnsi" w:eastAsia="Calibri" w:hAnsiTheme="majorHAnsi" w:cstheme="majorHAnsi"/>
        </w:rPr>
        <w:t xml:space="preserve"> property damage, economic losses, and disruptions to daily life. As extreme weather events become more frequent, understanding and mitigating flood hazards is crucial for protecting residential areas and supporting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This section discusses activities specific to flooding in the states of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D" w14:textId="5A0665C6" w:rsidR="00FB1243" w:rsidRPr="00B6688A" w:rsidRDefault="007413BF" w:rsidP="00BE3C2A">
      <w:pPr>
        <w:pStyle w:val="Heading3"/>
        <w:rPr>
          <w:rFonts w:asciiTheme="majorHAnsi" w:hAnsiTheme="majorHAnsi" w:cstheme="majorHAnsi"/>
        </w:rPr>
      </w:pPr>
      <w:bookmarkStart w:id="178" w:name="_1irn5zcujm5" w:colFirst="0" w:colLast="0"/>
      <w:bookmarkStart w:id="179" w:name="_Toc236057896"/>
      <w:bookmarkEnd w:id="178"/>
      <w:r w:rsidRPr="00B6688A">
        <w:rPr>
          <w:rFonts w:asciiTheme="majorHAnsi" w:hAnsiTheme="majorHAnsi" w:cstheme="majorHAnsi"/>
        </w:rPr>
        <w:t>Florida</w:t>
      </w:r>
      <w:bookmarkEnd w:id="17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180" w:name="_xkpp6w74ai6h" w:colFirst="0" w:colLast="0"/>
      <w:bookmarkEnd w:id="180"/>
      <w:r w:rsidRPr="00B6688A">
        <w:rPr>
          <w:rFonts w:asciiTheme="majorHAnsi" w:hAnsiTheme="majorHAnsi" w:cstheme="majorHAnsi"/>
        </w:rPr>
        <w:t>Introduction</w:t>
      </w:r>
    </w:p>
    <w:p w14:paraId="47ED4D2F" w14:textId="51E4DA82" w:rsidR="00FB1243" w:rsidRPr="00B6688A" w:rsidRDefault="007413BF">
      <w:pPr>
        <w:pStyle w:val="Heading4"/>
        <w:spacing w:after="0" w:line="276" w:lineRule="auto"/>
        <w:rPr>
          <w:rFonts w:asciiTheme="majorHAnsi" w:hAnsiTheme="majorHAnsi" w:cstheme="majorHAnsi"/>
          <w:i w:val="0"/>
          <w:iCs w:val="0"/>
          <w:color w:val="000000"/>
        </w:rPr>
      </w:pPr>
      <w:r w:rsidRPr="00B6688A">
        <w:rPr>
          <w:rFonts w:asciiTheme="majorHAnsi" w:hAnsiTheme="majorHAnsi" w:cstheme="majorHAnsi"/>
          <w:i w:val="0"/>
          <w:iCs w:val="0"/>
          <w:color w:val="000000"/>
        </w:rPr>
        <w:t>Florida</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has a significant flood</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through the National Flood Insurance Program</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(NFIP) or private insurers. Although standard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doesn't cover flooding, floods can still affect coverage by </w:t>
      </w:r>
      <w:r w:rsidR="006477E0" w:rsidRPr="00B6688A">
        <w:rPr>
          <w:rFonts w:asciiTheme="majorHAnsi" w:hAnsiTheme="majorHAnsi" w:cstheme="majorHAnsi"/>
          <w:i w:val="0"/>
          <w:iCs w:val="0"/>
          <w:color w:val="000000"/>
        </w:rPr>
        <w:t>leading to nonrenewals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Non-renewals"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6477E0" w:rsidRPr="00B6688A">
        <w:rPr>
          <w:rFonts w:asciiTheme="majorHAnsi" w:hAnsiTheme="majorHAnsi" w:cstheme="majorHAnsi"/>
          <w:i w:val="0"/>
          <w:iCs w:val="0"/>
          <w:color w:val="000000"/>
        </w:rPr>
        <w:t>, higher premiums, or uncovered damage that may render</w:t>
      </w:r>
      <w:r w:rsidRPr="00B6688A">
        <w:rPr>
          <w:rFonts w:asciiTheme="majorHAnsi" w:hAnsiTheme="majorHAnsi" w:cstheme="majorHAnsi"/>
          <w:i w:val="0"/>
          <w:iCs w:val="0"/>
          <w:color w:val="000000"/>
        </w:rPr>
        <w:t xml:space="preserve"> a home ineligible for insurance.</w:t>
      </w:r>
      <w:r w:rsidR="00F20372">
        <w:rPr>
          <w:rFonts w:asciiTheme="majorHAnsi" w:hAnsiTheme="majorHAnsi" w:cstheme="majorHAnsi"/>
          <w:i w:val="0"/>
          <w:iCs w:val="0"/>
          <w:color w:val="000000"/>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hyperlink r:id="rId205">
        <w:r w:rsidRPr="00B6688A">
          <w:rPr>
            <w:rFonts w:asciiTheme="majorHAnsi" w:eastAsia="Calibri" w:hAnsiTheme="majorHAnsi" w:cstheme="majorHAnsi"/>
            <w:color w:val="467886"/>
            <w:u w:val="single"/>
          </w:rPr>
          <w:t>Section 161.551,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Statutes</w:t>
        </w:r>
      </w:hyperlink>
      <w:r w:rsidRPr="00B6688A">
        <w:rPr>
          <w:rFonts w:asciiTheme="majorHAnsi" w:eastAsia="Calibri" w:hAnsiTheme="majorHAnsi" w:cstheme="majorHAnsi"/>
          <w:color w:val="262222"/>
        </w:rPr>
        <w:t>, requires state agencies, municipalities, counties, special districts, authorities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or other corporate bodies of the state, which commission or manage a construction project within the coastal building zone using funds appropriated from the state</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to conduct a sea-level impact projection (SLIP) study. The SLIP study must be conducted, submitted to the Florida Department of Environmental Protection, and published on the </w:t>
      </w:r>
      <w:r w:rsidR="00121DEA">
        <w:rPr>
          <w:rFonts w:asciiTheme="majorHAnsi" w:eastAsia="Calibri" w:hAnsiTheme="majorHAnsi" w:cstheme="majorHAnsi"/>
          <w:color w:val="262222"/>
        </w:rPr>
        <w:t>d</w:t>
      </w:r>
      <w:r w:rsidRPr="00B6688A">
        <w:rPr>
          <w:rFonts w:asciiTheme="majorHAnsi" w:eastAsia="Calibri" w:hAnsiTheme="majorHAnsi" w:cstheme="majorHAnsi"/>
          <w:color w:val="262222"/>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06">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181" w:name="_3oa2xucfqnc" w:colFirst="0" w:colLast="0"/>
      <w:bookmarkEnd w:id="181"/>
      <w:r w:rsidRPr="00B6688A">
        <w:rPr>
          <w:rFonts w:asciiTheme="majorHAnsi" w:hAnsiTheme="majorHAnsi" w:cstheme="majorHAnsi"/>
        </w:rPr>
        <w:t>Data Collection</w:t>
      </w:r>
    </w:p>
    <w:p w14:paraId="47ED4D34" w14:textId="45EB83E1"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7">
        <w:r w:rsidR="00FB1243" w:rsidRPr="00B6688A">
          <w:rPr>
            <w:rFonts w:asciiTheme="majorHAnsi" w:eastAsia="Calibri" w:hAnsiTheme="majorHAnsi" w:cstheme="majorHAnsi"/>
            <w:color w:val="467886"/>
            <w:u w:val="single"/>
          </w:rPr>
          <w:t>Market Intelligence Report</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personal residential primary private flood and personal residential excess private flood </w:t>
      </w:r>
      <w:r w:rsidRPr="00B6688A">
        <w:rPr>
          <w:rFonts w:asciiTheme="majorHAnsi" w:eastAsia="Calibri" w:hAnsiTheme="majorHAnsi" w:cstheme="majorHAnsi"/>
          <w:color w:val="000000"/>
        </w:rPr>
        <w:t xml:space="preserve">policies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on a monthly basis.</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8">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182" w:name="_1pse23qg5qxv" w:colFirst="0" w:colLast="0"/>
      <w:bookmarkEnd w:id="182"/>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RIPL resources provide a comprehensive, systems-based framework for assessing and enhancing the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residential buildings. Developed </w:t>
      </w:r>
      <w:r w:rsidR="00EB1911" w:rsidRPr="00B6688A">
        <w:rPr>
          <w:rFonts w:asciiTheme="majorHAnsi" w:eastAsia="Calibri" w:hAnsiTheme="majorHAnsi" w:cstheme="majorHAnsi"/>
          <w:color w:val="000000"/>
        </w:rPr>
        <w:t xml:space="preserve">on the Sustainable </w:t>
      </w:r>
      <w:r w:rsidR="00EB1911" w:rsidRPr="00B6688A">
        <w:rPr>
          <w:rFonts w:asciiTheme="majorHAnsi" w:eastAsia="Calibri" w:hAnsiTheme="majorHAnsi" w:cstheme="majorHAnsi"/>
          <w:color w:val="000000"/>
        </w:rPr>
        <w:lastRenderedPageBreak/>
        <w:t>Adaptive Material Performance Level (SAMPL) platform, RIPL identifies key preventive factors, particularly the selection and combination of building materials and finishes, that can substantially mitigate the risk of water intrusion from</w:t>
      </w:r>
      <w:r w:rsidRPr="00B6688A">
        <w:rPr>
          <w:rFonts w:asciiTheme="majorHAnsi" w:eastAsia="Calibri" w:hAnsiTheme="majorHAnsi" w:cstheme="majorHAnsi"/>
          <w:color w:val="000000"/>
        </w:rPr>
        <w:t xml:space="preserve"> 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09">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spotlights vital resources, expert advice, 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0">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183" w:name="_5h50yk5m3fo3" w:colFirst="0" w:colLast="0"/>
      <w:bookmarkEnd w:id="183"/>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1">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HAnsi"/>
          <w:color w:val="000000"/>
        </w:rPr>
      </w:pPr>
      <w:r w:rsidRPr="00B6688A">
        <w:rPr>
          <w:rFonts w:asciiTheme="majorHAnsi" w:eastAsia="Calibri" w:hAnsiTheme="majorHAnsi" w:cstheme="majorHAnsi"/>
          <w:color w:val="000000"/>
        </w:rPr>
        <w:t xml:space="preserve">The </w:t>
      </w:r>
      <w:r w:rsidR="00153882">
        <w:rPr>
          <w:rFonts w:asciiTheme="majorHAnsi" w:eastAsia="Calibri" w:hAnsiTheme="majorHAnsi" w:cstheme="majorHAnsi"/>
          <w:color w:val="000000"/>
        </w:rPr>
        <w:t xml:space="preserve">Florida </w:t>
      </w:r>
      <w:r w:rsidRPr="00B6688A">
        <w:rPr>
          <w:rFonts w:asciiTheme="majorHAnsi" w:eastAsia="Calibri" w:hAnsiTheme="majorHAnsi" w:cstheme="majorHAnsi"/>
          <w:color w:val="000000"/>
        </w:rPr>
        <w:t>Department of Financial Services</w:t>
      </w:r>
      <w:r w:rsidR="00153882">
        <w:rPr>
          <w:rFonts w:asciiTheme="majorHAnsi" w:eastAsia="Calibri" w:hAnsiTheme="majorHAnsi" w:cstheme="majorHAnsi"/>
          <w:color w:val="000000"/>
        </w:rPr>
        <w:t xml:space="preserve"> (DFS)</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OIR</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FDEM</w:t>
      </w:r>
      <w:r w:rsidRPr="00B6688A">
        <w:rPr>
          <w:rFonts w:asciiTheme="majorHAnsi" w:eastAsia="Calibri" w:hAnsiTheme="majorHAnsi" w:cstheme="majorHAnsi"/>
          <w:color w:val="000000"/>
        </w:rPr>
        <w:t>, and insurers have worked collaboratively to set up insurance villages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villages"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post-event</w:t>
      </w:r>
      <w:r w:rsidR="0015388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These </w:t>
      </w:r>
      <w:r w:rsidR="008E50D1">
        <w:rPr>
          <w:rFonts w:asciiTheme="majorHAnsi" w:eastAsia="Calibri" w:hAnsiTheme="majorHAnsi" w:cstheme="majorHAnsi"/>
          <w:color w:val="000000"/>
        </w:rPr>
        <w:t>assist impacted consumers by filing and paying claims</w:t>
      </w:r>
      <w:r w:rsidRPr="00B6688A">
        <w:rPr>
          <w:rFonts w:asciiTheme="majorHAnsi" w:eastAsia="Calibri" w:hAnsiTheme="majorHAnsi" w:cstheme="majorHAnsi"/>
          <w:color w:val="000000"/>
        </w:rPr>
        <w:t xml:space="preserve"> and </w:t>
      </w:r>
      <w:r w:rsidR="008B0EEF" w:rsidRPr="00B6688A">
        <w:rPr>
          <w:rFonts w:asciiTheme="majorHAnsi" w:eastAsia="Calibri" w:hAnsiTheme="majorHAnsi" w:cstheme="majorHAnsi"/>
          <w:color w:val="000000"/>
        </w:rPr>
        <w:t xml:space="preserve">providing </w:t>
      </w:r>
      <w:r w:rsidRPr="00B6688A">
        <w:rPr>
          <w:rFonts w:asciiTheme="majorHAnsi" w:eastAsia="Calibri" w:hAnsiTheme="majorHAnsi" w:cstheme="majorHAnsi"/>
          <w:color w:val="000000"/>
        </w:rPr>
        <w:t xml:space="preserve">an opportunity to speak with company representatives. The DFS most recently hosted </w:t>
      </w:r>
      <w:r w:rsidR="00153882">
        <w:rPr>
          <w:rFonts w:asciiTheme="majorHAnsi" w:eastAsia="Calibri" w:hAnsiTheme="majorHAnsi" w:cstheme="majorHAnsi"/>
          <w:color w:val="000000"/>
        </w:rPr>
        <w:t>four</w:t>
      </w:r>
      <w:r w:rsidRPr="00B6688A">
        <w:rPr>
          <w:rFonts w:asciiTheme="majorHAnsi" w:eastAsia="Calibri" w:hAnsiTheme="majorHAnsi" w:cstheme="majorHAnsi"/>
          <w:color w:val="000000"/>
        </w:rPr>
        <w:t xml:space="preserve"> insurance villages </w:t>
      </w:r>
      <w:r w:rsidR="00A8463F">
        <w:rPr>
          <w:rFonts w:asciiTheme="majorHAnsi" w:eastAsia="Calibri" w:hAnsiTheme="majorHAnsi" w:cstheme="majorHAnsi"/>
          <w:color w:val="000000"/>
        </w:rPr>
        <w:t>in impacted areas post-Hurricane Milton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49"/>
      </w:r>
      <w:r w:rsidRPr="00B6688A">
        <w:rPr>
          <w:rFonts w:asciiTheme="majorHAnsi" w:eastAsia="Calibri" w:hAnsiTheme="majorHAnsi" w:cstheme="majorHAnsi"/>
          <w:color w:val="000000"/>
        </w:rPr>
        <w:t xml:space="preserve"> following </w:t>
      </w:r>
      <w:r w:rsidR="00153882">
        <w:rPr>
          <w:rFonts w:asciiTheme="majorHAnsi" w:eastAsia="Calibri" w:hAnsiTheme="majorHAnsi" w:cstheme="majorHAnsi"/>
          <w:color w:val="000000"/>
        </w:rPr>
        <w:t xml:space="preserve">seven </w:t>
      </w:r>
      <w:r w:rsidRPr="00B6688A">
        <w:rPr>
          <w:rFonts w:asciiTheme="majorHAnsi" w:eastAsia="Calibri" w:hAnsiTheme="majorHAnsi" w:cstheme="majorHAnsi"/>
          <w:color w:val="000000"/>
        </w:rPr>
        <w:t xml:space="preserve">insurance villages and </w:t>
      </w:r>
      <w:r w:rsidR="00153882">
        <w:rPr>
          <w:rFonts w:asciiTheme="majorHAnsi" w:eastAsia="Calibri" w:hAnsiTheme="majorHAnsi" w:cstheme="majorHAnsi"/>
          <w:color w:val="000000"/>
        </w:rPr>
        <w:t>two</w:t>
      </w:r>
      <w:r w:rsidRPr="00B6688A">
        <w:rPr>
          <w:rFonts w:asciiTheme="majorHAnsi" w:eastAsia="Calibri" w:hAnsiTheme="majorHAnsi" w:cstheme="majorHAnsi"/>
          <w:color w:val="000000"/>
        </w:rPr>
        <w:t xml:space="preserve"> initial payment centers established in the aftermath of Hurricane Ian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0"/>
      </w:r>
    </w:p>
    <w:p w14:paraId="47ED4D3E" w14:textId="59C289BD" w:rsidR="00FB1243" w:rsidRPr="00B6688A" w:rsidRDefault="007413BF" w:rsidP="00BE3C2A">
      <w:pPr>
        <w:pStyle w:val="Heading4"/>
        <w:rPr>
          <w:rFonts w:asciiTheme="majorHAnsi" w:hAnsiTheme="majorHAnsi" w:cstheme="majorHAnsi"/>
        </w:rPr>
      </w:pPr>
      <w:bookmarkStart w:id="184" w:name="_veq3c8q3yhgp" w:colFirst="0" w:colLast="0"/>
      <w:bookmarkEnd w:id="184"/>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2">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3">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4">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 xml:space="preserve">The </w:t>
      </w:r>
      <w:r w:rsidR="007413BF" w:rsidRPr="00B6688A">
        <w:rPr>
          <w:rFonts w:asciiTheme="majorHAnsi" w:eastAsia="Calibri" w:hAnsiTheme="majorHAnsi" w:cstheme="majorHAnsi"/>
          <w:color w:val="000000"/>
        </w:rPr>
        <w:t>OIR partnered with the University of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to study new technologies, products, and material assemblies that would</w:t>
      </w:r>
      <w:r>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enhance home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against water intrusion</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among other things</w:t>
      </w:r>
      <w:r w:rsidR="007413BF" w:rsidRPr="00B6688A">
        <w:rPr>
          <w:rFonts w:asciiTheme="majorHAnsi" w:eastAsia="Calibri" w:hAnsiTheme="majorHAnsi" w:cstheme="majorHAnsi"/>
          <w:color w:val="000000"/>
        </w:rPr>
        <w:t xml:space="preserve">. The </w:t>
      </w:r>
      <w:hyperlink r:id="rId215">
        <w:r w:rsidR="00FB1243" w:rsidRPr="00B6688A">
          <w:rPr>
            <w:rFonts w:asciiTheme="majorHAnsi" w:eastAsia="Calibri" w:hAnsiTheme="majorHAnsi" w:cstheme="majorHAnsi"/>
            <w:color w:val="467886"/>
            <w:u w:val="single"/>
          </w:rPr>
          <w:t>RIPL report</w:t>
        </w:r>
      </w:hyperlink>
      <w:r w:rsidR="007413BF" w:rsidRPr="00B6688A">
        <w:rPr>
          <w:rFonts w:asciiTheme="majorHAnsi" w:eastAsia="Calibri" w:hAnsiTheme="majorHAnsi" w:cstheme="majorHAnsi"/>
          <w:color w:val="000000"/>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185" w:name="_x83dr6dmxra1" w:colFirst="0" w:colLast="0"/>
      <w:bookmarkStart w:id="186" w:name="_Toc236057897"/>
      <w:bookmarkEnd w:id="185"/>
      <w:r w:rsidRPr="00B6688A">
        <w:rPr>
          <w:rFonts w:asciiTheme="majorHAnsi" w:hAnsiTheme="majorHAnsi" w:cstheme="majorHAnsi"/>
        </w:rPr>
        <w:t>Minnesota</w:t>
      </w:r>
      <w:bookmarkEnd w:id="18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pPr>
        <w:jc w:val="both"/>
        <w:rPr>
          <w:rFonts w:asciiTheme="majorHAnsi" w:eastAsia="Calibri" w:hAnsiTheme="majorHAnsi" w:cstheme="majorHAnsi"/>
          <w:i/>
          <w:iCs/>
        </w:rPr>
      </w:pPr>
      <w:r w:rsidRPr="00B6688A">
        <w:rPr>
          <w:rFonts w:asciiTheme="majorHAnsi" w:eastAsia="Calibri" w:hAnsiTheme="majorHAnsi" w:cstheme="majorHAnsi"/>
        </w:rPr>
        <w:t>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growing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E507DB">
        <w:rPr>
          <w:rFonts w:asciiTheme="majorHAnsi" w:eastAsia="Calibri" w:hAnsiTheme="majorHAnsi" w:cstheme="majorHAnsi"/>
        </w:rPr>
        <w:t>primarily from heavy rain and river overflows</w:t>
      </w:r>
      <w:r w:rsidRPr="00B6688A">
        <w:rPr>
          <w:rFonts w:asciiTheme="majorHAnsi" w:eastAsia="Calibri" w:hAnsiTheme="majorHAnsi" w:cstheme="majorHAnsi"/>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00B6688A">
        <w:rPr>
          <w:rFonts w:asciiTheme="majorHAnsi" w:eastAsia="Calibri" w:hAnsiTheme="majorHAnsi" w:cstheme="majorHAnsi"/>
        </w:rPr>
        <w:t>urban development are worsening these flood risks</w:t>
      </w:r>
      <w:r w:rsidRPr="00B6688A">
        <w:rPr>
          <w:rFonts w:asciiTheme="majorHAnsi" w:eastAsia="Calibri" w:hAnsiTheme="majorHAnsi" w:cstheme="majorHAnsi"/>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In 2022,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launched the state’s Climate Action Framework (CAF), </w:t>
      </w:r>
      <w:r w:rsidR="00711EB0" w:rsidRPr="00B6688A">
        <w:rPr>
          <w:rFonts w:asciiTheme="majorHAnsi" w:eastAsia="Calibri" w:hAnsiTheme="majorHAnsi" w:cstheme="majorHAnsi"/>
        </w:rPr>
        <w:t>a positive roadmap to</w:t>
      </w:r>
      <w:r w:rsidRPr="00B6688A">
        <w:rPr>
          <w:rFonts w:asciiTheme="majorHAnsi" w:eastAsia="Calibri" w:hAnsiTheme="majorHAnsi" w:cstheme="majorHAnsi"/>
        </w:rPr>
        <w:t xml:space="preserve"> guide state and local actions to keep Minnesotans safe and healthy. </w:t>
      </w:r>
      <w:hyperlink r:id="rId216">
        <w:r w:rsidR="00FB1243" w:rsidRPr="00B6688A">
          <w:rPr>
            <w:rFonts w:asciiTheme="majorHAnsi" w:eastAsia="Calibri" w:hAnsiTheme="majorHAnsi" w:cstheme="majorHAnsi"/>
            <w:color w:val="0000FF"/>
            <w:u w:val="single"/>
          </w:rPr>
          <w:t>The state has updated the CAF with a renewed focus on affordability</w:t>
        </w:r>
      </w:hyperlink>
      <w:r w:rsidRPr="00B6688A">
        <w:rPr>
          <w:rFonts w:asciiTheme="majorHAnsi" w:eastAsia="Calibri" w:hAnsiTheme="majorHAnsi" w:cstheme="majorHAnsi"/>
        </w:rPr>
        <w:t>. The CAF identifies that investment in state and municipal infrastructure, as well as building adaptation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can reduce financial risk exposure for public budgets and private insurance coverage. The updated buildings chapter specifically highlights partners like Habitat for Humanity</w:t>
      </w:r>
      <w:r w:rsidR="00711EB0" w:rsidRPr="00B6688A">
        <w:rPr>
          <w:rFonts w:asciiTheme="majorHAnsi" w:eastAsia="Calibri" w:hAnsiTheme="majorHAnsi" w:cstheme="majorHAnsi"/>
        </w:rPr>
        <w:t>,</w:t>
      </w:r>
      <w:r w:rsidRPr="00B6688A">
        <w:rPr>
          <w:rFonts w:asciiTheme="majorHAnsi" w:eastAsia="Calibri" w:hAnsiTheme="majorHAnsi" w:cstheme="majorHAnsi"/>
        </w:rPr>
        <w:t xml:space="preserve"> </w:t>
      </w:r>
      <w:r w:rsidR="00711EB0" w:rsidRPr="00B6688A">
        <w:rPr>
          <w:rFonts w:asciiTheme="majorHAnsi" w:eastAsia="Calibri" w:hAnsiTheme="majorHAnsi" w:cstheme="majorHAnsi"/>
        </w:rPr>
        <w:t>which</w:t>
      </w:r>
      <w:r w:rsidRPr="00B6688A">
        <w:rPr>
          <w:rFonts w:asciiTheme="majorHAnsi" w:eastAsia="Calibri" w:hAnsiTheme="majorHAnsi" w:cstheme="majorHAnsi"/>
        </w:rPr>
        <w:t xml:space="preserve"> have recognized the value </w:t>
      </w:r>
      <w:r w:rsidR="00711EB0" w:rsidRPr="00B6688A">
        <w:rPr>
          <w:rFonts w:asciiTheme="majorHAnsi" w:eastAsia="Calibri" w:hAnsiTheme="majorHAnsi" w:cstheme="majorHAnsi"/>
        </w:rPr>
        <w:t>of building more resilient homes for</w:t>
      </w:r>
      <w:r w:rsidRPr="00B6688A">
        <w:rPr>
          <w:rFonts w:asciiTheme="majorHAnsi" w:eastAsia="Calibri" w:hAnsiTheme="majorHAnsi" w:cstheme="majorHAnsi"/>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187" w:name="_kzdkvptunjbs" w:colFirst="0" w:colLast="0"/>
      <w:bookmarkEnd w:id="187"/>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Many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offer resources to help residents and businesses strengthen their buildings against the impacts of expensive extreme weather perils. Many of these strategies focus on </w:t>
      </w:r>
      <w:r w:rsidR="00711EB0" w:rsidRPr="00B6688A">
        <w:rPr>
          <w:rFonts w:asciiTheme="majorHAnsi" w:eastAsia="Calibri" w:hAnsiTheme="majorHAnsi" w:cstheme="majorHAnsi"/>
        </w:rPr>
        <w:t>investments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11EB0" w:rsidRPr="00B6688A">
        <w:rPr>
          <w:rFonts w:asciiTheme="majorHAnsi" w:eastAsia="Calibri" w:hAnsiTheme="majorHAnsi" w:cstheme="majorHAnsi"/>
        </w:rPr>
        <w:t xml:space="preserve"> or stormwater management</w:t>
      </w:r>
      <w:r w:rsidRPr="00B6688A">
        <w:rPr>
          <w:rFonts w:asciiTheme="majorHAnsi" w:eastAsia="Calibri" w:hAnsiTheme="majorHAnsi" w:cstheme="majorHAnsi"/>
        </w:rPr>
        <w:t xml:space="preserve">. These range from </w:t>
      </w:r>
      <w:hyperlink r:id="rId217">
        <w:r w:rsidR="00FB1243" w:rsidRPr="00B6688A">
          <w:rPr>
            <w:rFonts w:asciiTheme="majorHAnsi" w:eastAsia="Calibri" w:hAnsiTheme="majorHAnsi" w:cstheme="majorHAnsi"/>
            <w:color w:val="467886"/>
            <w:u w:val="single"/>
          </w:rPr>
          <w:t>large cities</w:t>
        </w:r>
      </w:hyperlink>
      <w:r w:rsidRPr="00B6688A">
        <w:rPr>
          <w:rFonts w:asciiTheme="majorHAnsi" w:eastAsia="Calibri" w:hAnsiTheme="majorHAnsi" w:cstheme="majorHAnsi"/>
        </w:rPr>
        <w:t xml:space="preserve"> to </w:t>
      </w:r>
      <w:hyperlink r:id="rId218">
        <w:r w:rsidR="00FB1243" w:rsidRPr="00B6688A">
          <w:rPr>
            <w:rFonts w:asciiTheme="majorHAnsi" w:eastAsia="Calibri" w:hAnsiTheme="majorHAnsi" w:cstheme="majorHAnsi"/>
            <w:color w:val="467886"/>
            <w:u w:val="single"/>
          </w:rPr>
          <w:t>suburban cities</w:t>
        </w:r>
      </w:hyperlink>
      <w:r w:rsidRPr="00B6688A">
        <w:rPr>
          <w:rFonts w:asciiTheme="majorHAnsi" w:eastAsia="Calibri" w:hAnsiTheme="majorHAnsi" w:cstheme="majorHAnsi"/>
        </w:rPr>
        <w:t xml:space="preserve"> to </w:t>
      </w:r>
      <w:hyperlink r:id="rId219">
        <w:r w:rsidR="00FB1243" w:rsidRPr="00B6688A">
          <w:rPr>
            <w:rFonts w:asciiTheme="majorHAnsi" w:eastAsia="Calibri" w:hAnsiTheme="majorHAnsi" w:cstheme="majorHAnsi"/>
            <w:color w:val="467886"/>
            <w:u w:val="single"/>
          </w:rPr>
          <w:t>neighborhood associations</w:t>
        </w:r>
      </w:hyperlink>
      <w:r w:rsidRPr="00B6688A">
        <w:rPr>
          <w:rFonts w:asciiTheme="majorHAnsi" w:eastAsia="Calibri" w:hAnsiTheme="majorHAnsi" w:cstheme="majorHAnsi"/>
        </w:rPr>
        <w:t>. In a state where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w:t>
      </w:r>
      <w:r w:rsidR="00DB21CF" w:rsidRPr="00B6688A">
        <w:rPr>
          <w:rFonts w:asciiTheme="majorHAnsi" w:eastAsia="Calibri" w:hAnsiTheme="majorHAnsi" w:cstheme="majorHAnsi"/>
        </w:rPr>
        <w:t>updates are</w:t>
      </w:r>
      <w:r w:rsidRPr="00B6688A">
        <w:rPr>
          <w:rFonts w:asciiTheme="majorHAnsi" w:eastAsia="Calibri" w:hAnsiTheme="majorHAnsi" w:cstheme="majorHAnsi"/>
        </w:rPr>
        <w:t xml:space="preserve"> low, managing risks associated with water intrusion into buildings is a vital strategy for limiting the impacts of extreme weather events. Leveraging state and local resources helps </w:t>
      </w:r>
      <w:r w:rsidR="00BF15F1">
        <w:rPr>
          <w:rFonts w:asciiTheme="majorHAnsi" w:eastAsia="Calibri" w:hAnsiTheme="majorHAnsi" w:cstheme="majorHAnsi"/>
        </w:rPr>
        <w:t xml:space="preserve">mitigate insurance risks, which should positively impact </w:t>
      </w:r>
      <w:r w:rsidRPr="00B6688A">
        <w:rPr>
          <w:rFonts w:asciiTheme="majorHAnsi" w:eastAsia="Calibri" w:hAnsiTheme="majorHAnsi" w:cstheme="majorHAnsi"/>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The most significant set of investments came in 2023 with </w:t>
      </w:r>
      <w:hyperlink r:id="rId220">
        <w:r w:rsidR="00FB1243" w:rsidRPr="00B6688A">
          <w:rPr>
            <w:rFonts w:asciiTheme="majorHAnsi" w:eastAsia="Calibri" w:hAnsiTheme="majorHAnsi" w:cstheme="majorHAnsi"/>
            <w:color w:val="467886"/>
            <w:u w:val="single"/>
          </w:rPr>
          <w:t>$100</w:t>
        </w:r>
        <w:r w:rsidR="00BF15F1">
          <w:rPr>
            <w:rFonts w:asciiTheme="majorHAnsi" w:eastAsia="Calibri" w:hAnsiTheme="majorHAnsi" w:cstheme="majorHAnsi"/>
            <w:color w:val="467886"/>
            <w:u w:val="single"/>
          </w:rPr>
          <w:t xml:space="preserve"> million</w:t>
        </w:r>
        <w:r w:rsidR="00FB1243" w:rsidRPr="00B6688A">
          <w:rPr>
            <w:rFonts w:asciiTheme="majorHAnsi" w:eastAsia="Calibri" w:hAnsiTheme="majorHAnsi" w:cstheme="majorHAnsi"/>
            <w:color w:val="467886"/>
            <w:u w:val="single"/>
          </w:rPr>
          <w:t xml:space="preserve"> in resiliency</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and water infrastructure grants for local and </w:t>
        </w:r>
        <w:r w:rsidR="00BF15F1">
          <w:rPr>
            <w:rFonts w:asciiTheme="majorHAnsi" w:eastAsia="Calibri" w:hAnsiTheme="majorHAnsi" w:cstheme="majorHAnsi"/>
            <w:color w:val="467886"/>
            <w:u w:val="single"/>
          </w:rPr>
          <w:t>t</w:t>
        </w:r>
        <w:r w:rsidR="00FB1243" w:rsidRPr="00B6688A">
          <w:rPr>
            <w:rFonts w:asciiTheme="majorHAnsi" w:eastAsia="Calibri" w:hAnsiTheme="majorHAnsi" w:cstheme="majorHAnsi"/>
            <w:color w:val="467886"/>
            <w:u w:val="single"/>
          </w:rPr>
          <w:t>ribal governments</w:t>
        </w:r>
      </w:hyperlink>
      <w:r w:rsidRPr="00B6688A">
        <w:rPr>
          <w:rFonts w:asciiTheme="majorHAnsi" w:eastAsia="Calibri" w:hAnsiTheme="majorHAnsi" w:cstheme="majorHAnsi"/>
        </w:rPr>
        <w:t>. These projects allowed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to assess risks, develop plans, and break ground on priority construction projects </w:t>
      </w:r>
      <w:hyperlink r:id="rId221">
        <w:r w:rsidR="00FB1243" w:rsidRPr="00B6688A">
          <w:rPr>
            <w:rFonts w:asciiTheme="majorHAnsi" w:eastAsia="Calibri" w:hAnsiTheme="majorHAnsi" w:cstheme="majorHAnsi"/>
            <w:color w:val="467886"/>
            <w:u w:val="single"/>
          </w:rPr>
          <w:t>across the state</w:t>
        </w:r>
      </w:hyperlink>
      <w:r w:rsidRPr="00B6688A">
        <w:rPr>
          <w:rFonts w:asciiTheme="majorHAnsi" w:eastAsia="Calibri" w:hAnsiTheme="majorHAnsi" w:cstheme="majorHAnsi"/>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lastRenderedPageBreak/>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2">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3">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such a 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188" w:name="_kk83p44gxb8k" w:colFirst="0" w:colLast="0"/>
      <w:bookmarkStart w:id="189" w:name="_Toc236057898"/>
      <w:bookmarkEnd w:id="188"/>
      <w:r w:rsidRPr="00B6688A">
        <w:rPr>
          <w:rFonts w:asciiTheme="majorHAnsi" w:hAnsiTheme="majorHAnsi" w:cstheme="majorHAnsi"/>
        </w:rPr>
        <w:t>Mississippi</w:t>
      </w:r>
      <w:bookmarkEnd w:id="18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190" w:name="_1ww9gfa7vqyb" w:colFirst="0" w:colLast="0"/>
      <w:bookmarkEnd w:id="190"/>
      <w:r w:rsidRPr="00B6688A">
        <w:rPr>
          <w:rFonts w:asciiTheme="majorHAnsi" w:hAnsiTheme="majorHAnsi" w:cstheme="majorHAnsi"/>
        </w:rPr>
        <w:t>Introduction</w:t>
      </w:r>
    </w:p>
    <w:p w14:paraId="47ED4D50" w14:textId="6C503AE7"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Mississippi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is vulnerable to flooding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w:t>
      </w:r>
      <w:r w:rsidR="00007D1B" w:rsidRPr="00B6688A">
        <w:rPr>
          <w:rFonts w:asciiTheme="majorHAnsi" w:hAnsiTheme="majorHAnsi" w:cstheme="majorHAnsi"/>
          <w:i w:val="0"/>
          <w:iCs w:val="0"/>
          <w:color w:val="000000"/>
        </w:rPr>
        <w:t>from hurricanes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007D1B" w:rsidRPr="00B6688A">
        <w:rPr>
          <w:rFonts w:asciiTheme="majorHAnsi" w:hAnsiTheme="majorHAnsi" w:cstheme="majorHAnsi"/>
          <w:i w:val="0"/>
          <w:iCs w:val="0"/>
          <w:color w:val="000000"/>
        </w:rPr>
        <w:t xml:space="preserve">, coastal storm </w:t>
      </w:r>
      <w:r w:rsidRPr="00B6688A">
        <w:rPr>
          <w:rFonts w:asciiTheme="majorHAnsi" w:hAnsiTheme="majorHAnsi" w:cstheme="majorHAnsi"/>
          <w:i w:val="0"/>
          <w:iCs w:val="0"/>
          <w:color w:val="000000"/>
        </w:rPr>
        <w:t xml:space="preserve">surges, and overflowing rivers. The Mississippi Emergency Management Agency reports that the state ranks eighth nationwide </w:t>
      </w:r>
      <w:r w:rsidR="00007D1B" w:rsidRPr="00B6688A">
        <w:rPr>
          <w:rFonts w:asciiTheme="majorHAnsi" w:hAnsiTheme="majorHAnsi" w:cstheme="majorHAnsi"/>
          <w:i w:val="0"/>
          <w:iCs w:val="0"/>
          <w:color w:val="000000"/>
        </w:rPr>
        <w:t xml:space="preserve">in the number of repetitive-loss structures and has over </w:t>
      </w:r>
      <w:r w:rsidR="006402D6">
        <w:rPr>
          <w:rFonts w:asciiTheme="majorHAnsi" w:hAnsiTheme="majorHAnsi" w:cstheme="majorHAnsi"/>
          <w:i w:val="0"/>
          <w:iCs w:val="0"/>
          <w:color w:val="000000"/>
        </w:rPr>
        <w:t>five</w:t>
      </w:r>
      <w:r w:rsidR="00007D1B" w:rsidRPr="00B6688A">
        <w:rPr>
          <w:rFonts w:asciiTheme="majorHAnsi" w:hAnsiTheme="majorHAnsi" w:cstheme="majorHAnsi"/>
          <w:i w:val="0"/>
          <w:iCs w:val="0"/>
          <w:color w:val="000000"/>
        </w:rPr>
        <w:t xml:space="preserve"> million acres of floodplain, the </w:t>
      </w:r>
      <w:r w:rsidR="00C37CDB" w:rsidRPr="00B6688A">
        <w:rPr>
          <w:rFonts w:asciiTheme="majorHAnsi" w:hAnsiTheme="majorHAnsi" w:cstheme="majorHAnsi"/>
          <w:i w:val="0"/>
          <w:iCs w:val="0"/>
          <w:color w:val="000000"/>
        </w:rPr>
        <w:t>fifth</w:t>
      </w:r>
      <w:r w:rsidR="0039109E">
        <w:rPr>
          <w:rFonts w:asciiTheme="majorHAnsi" w:hAnsiTheme="majorHAnsi" w:cstheme="majorHAnsi"/>
          <w:i w:val="0"/>
          <w:iCs w:val="0"/>
          <w:color w:val="000000"/>
        </w:rPr>
        <w:t>-</w:t>
      </w:r>
      <w:r w:rsidR="00C37CDB" w:rsidRPr="00B6688A">
        <w:rPr>
          <w:rFonts w:asciiTheme="majorHAnsi" w:hAnsiTheme="majorHAnsi" w:cstheme="majorHAnsi"/>
          <w:i w:val="0"/>
          <w:iCs w:val="0"/>
          <w:color w:val="000000"/>
        </w:rPr>
        <w:t>largest</w:t>
      </w:r>
      <w:r w:rsidRPr="00B6688A">
        <w:rPr>
          <w:rFonts w:asciiTheme="majorHAnsi" w:hAnsiTheme="majorHAnsi" w:cstheme="majorHAnsi"/>
          <w:i w:val="0"/>
          <w:iCs w:val="0"/>
          <w:color w:val="000000"/>
        </w:rPr>
        <w:t xml:space="preserve"> in the country. The combination of standard policy premiums, separate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4"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5"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6"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27">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w:t>
      </w:r>
      <w:r w:rsidR="00DC0A4E">
        <w:rPr>
          <w:rFonts w:asciiTheme="majorHAnsi" w:eastAsia="Calibri" w:hAnsiTheme="majorHAnsi" w:cstheme="majorHAnsi"/>
        </w:rPr>
        <w:t xml:space="preserve">Department </w:t>
      </w:r>
      <w:r w:rsidRPr="00B6688A">
        <w:rPr>
          <w:rFonts w:asciiTheme="majorHAnsi" w:eastAsia="Calibri" w:hAnsiTheme="majorHAnsi" w:cstheme="majorHAnsi"/>
        </w:rPr>
        <w:t xml:space="preserve">requires sellers to disclose any known defects or conditions that could materially affect the </w:t>
      </w:r>
      <w:r w:rsidR="00C37CDB" w:rsidRPr="00B6688A">
        <w:rPr>
          <w:rFonts w:asciiTheme="majorHAnsi" w:eastAsia="Calibri" w:hAnsiTheme="majorHAnsi" w:cstheme="majorHAnsi"/>
        </w:rPr>
        <w:t>property's safety or value</w:t>
      </w:r>
      <w:r w:rsidRPr="00B6688A">
        <w:rPr>
          <w:rFonts w:asciiTheme="majorHAnsi" w:eastAsia="Calibri" w:hAnsiTheme="majorHAnsi" w:cstheme="majorHAnsi"/>
        </w:rPr>
        <w:t>, including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8">
        <w:r w:rsidRPr="00B6688A">
          <w:rPr>
            <w:rFonts w:asciiTheme="majorHAnsi" w:eastAsia="Calibri" w:hAnsiTheme="majorHAnsi" w:cstheme="majorHAnsi"/>
            <w:color w:val="0000FF"/>
            <w:u w:val="single"/>
          </w:rPr>
          <w:t>SB 2277</w:t>
        </w:r>
      </w:hyperlink>
      <w:r w:rsidRPr="00B6688A">
        <w:rPr>
          <w:rFonts w:asciiTheme="majorHAnsi" w:eastAsia="Calibri" w:hAnsiTheme="majorHAnsi" w:cstheme="majorHAnsi"/>
          <w:color w:val="000000"/>
        </w:rPr>
        <w:t xml:space="preserve"> was passed to help protect consumers from purchasing </w:t>
      </w:r>
      <w:r w:rsidR="00C37CDB" w:rsidRPr="00B6688A">
        <w:rPr>
          <w:rFonts w:asciiTheme="majorHAnsi" w:eastAsia="Calibri" w:hAnsiTheme="majorHAnsi" w:cstheme="majorHAnsi"/>
          <w:color w:val="000000"/>
        </w:rPr>
        <w:t>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-damaged</w:t>
      </w:r>
      <w:r w:rsidRPr="00B6688A">
        <w:rPr>
          <w:rFonts w:asciiTheme="majorHAnsi" w:eastAsia="Calibri" w:hAnsiTheme="majorHAnsi" w:cstheme="majorHAnsi"/>
          <w:color w:val="000000"/>
        </w:rPr>
        <w:t xml:space="preserve"> vehicles.</w:t>
      </w:r>
    </w:p>
    <w:p w14:paraId="47ED4D5F" w14:textId="6E55F814"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29">
        <w:r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Community Development Block Grant</w:t>
        </w:r>
        <w:r w:rsidR="001C1FE1">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Disaster Recovery (CDBG-DR)</w:t>
        </w:r>
        <w:r w:rsidRPr="00777179">
          <w:rPr>
            <w:rFonts w:asciiTheme="majorHAnsi" w:eastAsia="Calibri" w:hAnsiTheme="majorHAnsi" w:cstheme="majorHAnsi"/>
            <w:color w:val="467886"/>
          </w:rPr>
          <w:t xml:space="preserve"> </w:t>
        </w:r>
      </w:hyperlink>
      <w:r w:rsidRPr="00B6688A">
        <w:rPr>
          <w:rFonts w:asciiTheme="majorHAnsi" w:eastAsia="Calibri" w:hAnsiTheme="majorHAnsi" w:cstheme="majorHAnsi"/>
          <w:color w:val="000000"/>
        </w:rPr>
        <w:t xml:space="preserve">funds are allocated by </w:t>
      </w:r>
      <w:r w:rsidR="005901DD">
        <w:rPr>
          <w:rFonts w:asciiTheme="majorHAnsi" w:eastAsia="Calibri" w:hAnsiTheme="majorHAnsi" w:cstheme="majorHAnsi"/>
          <w:color w:val="000000"/>
        </w:rPr>
        <w:t>the U</w:t>
      </w:r>
      <w:r w:rsidR="005901DD" w:rsidRPr="005901DD">
        <w:rPr>
          <w:rFonts w:asciiTheme="majorHAnsi" w:eastAsia="Calibri" w:hAnsiTheme="majorHAnsi" w:cstheme="majorHAnsi"/>
          <w:color w:val="000000"/>
        </w:rPr>
        <w:t>.S. Department of Housing and Urban Development</w:t>
      </w:r>
      <w:r w:rsidR="005901DD">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HUD</w:t>
      </w:r>
      <w:r w:rsidR="005901D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 support long-term recovery in areas affected by </w:t>
      </w:r>
      <w:r w:rsidR="005901DD">
        <w:rPr>
          <w:rFonts w:asciiTheme="majorHAnsi" w:eastAsia="Calibri" w:hAnsiTheme="majorHAnsi" w:cstheme="majorHAnsi"/>
          <w:color w:val="000000"/>
        </w:rPr>
        <w:t>p</w:t>
      </w:r>
      <w:r w:rsidRPr="00B6688A">
        <w:rPr>
          <w:rFonts w:asciiTheme="majorHAnsi" w:eastAsia="Calibri" w:hAnsiTheme="majorHAnsi" w:cstheme="majorHAnsi"/>
          <w:color w:val="000000"/>
        </w:rPr>
        <w:t>residentially declared disasters. These flexible grants help states, tribes, counties, municipalities</w:t>
      </w:r>
      <w:r w:rsidR="00C37CDB"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households 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provides hazard and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through programs like the </w:t>
      </w:r>
      <w:hyperlink r:id="rId230">
        <w:r w:rsidR="00FB1243" w:rsidRPr="00B6688A">
          <w:rPr>
            <w:rFonts w:asciiTheme="majorHAnsi" w:eastAsia="Calibri" w:hAnsiTheme="majorHAnsi" w:cstheme="majorHAnsi"/>
            <w:color w:val="0000FF"/>
            <w:u w:val="single"/>
          </w:rPr>
          <w:t>FEMA</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Hazard Mitigation Grant Program (HMGP) and the Flood Mitigation Assistance (FMA) </w:t>
        </w:r>
      </w:hyperlink>
      <w:r w:rsidRPr="00B6688A">
        <w:rPr>
          <w:rFonts w:asciiTheme="majorHAnsi" w:eastAsia="Calibri" w:hAnsiTheme="majorHAnsi" w:cstheme="majorHAnsi"/>
          <w:color w:val="000000"/>
        </w:rPr>
        <w:t>managed by the</w:t>
      </w:r>
      <w:r w:rsidR="00683612">
        <w:rPr>
          <w:rFonts w:asciiTheme="majorHAnsi" w:eastAsia="Calibri" w:hAnsiTheme="majorHAnsi" w:cstheme="majorHAnsi"/>
          <w:color w:val="000000"/>
        </w:rPr>
        <w:t xml:space="preserve"> </w:t>
      </w:r>
      <w:hyperlink r:id="rId231" w:history="1">
        <w:r w:rsidR="00683612" w:rsidRPr="00683612">
          <w:rPr>
            <w:rStyle w:val="Hyperlink"/>
            <w:rFonts w:asciiTheme="majorHAnsi" w:eastAsia="Calibri" w:hAnsiTheme="majorHAnsi" w:cstheme="majorHAnsi"/>
          </w:rPr>
          <w:t>Mississippi Emergency Management Agency</w:t>
        </w:r>
      </w:hyperlink>
      <w:r w:rsidRPr="00B6688A">
        <w:rPr>
          <w:rFonts w:asciiTheme="majorHAnsi" w:eastAsia="Calibri" w:hAnsiTheme="majorHAnsi" w:cstheme="majorHAnsi"/>
          <w:color w:val="000000"/>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2"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r w:rsidR="00525EE3">
        <w:rPr>
          <w:rFonts w:asciiTheme="majorHAnsi" w:eastAsia="Calibri" w:hAnsiTheme="majorHAnsi" w:cstheme="majorHAnsi"/>
          <w:color w:val="000000"/>
        </w:rPr>
        <w:t>Mississippi Insurance</w:t>
      </w:r>
      <w:r w:rsidR="0013401C">
        <w:rPr>
          <w:rFonts w:asciiTheme="majorHAnsi" w:eastAsia="Calibri" w:hAnsiTheme="majorHAnsi" w:cstheme="majorHAnsi"/>
          <w:color w:val="000000"/>
        </w:rPr>
        <w:t xml:space="preserve"> Department</w:t>
      </w:r>
      <w:r w:rsidRPr="00B6688A">
        <w:rPr>
          <w:rFonts w:asciiTheme="majorHAnsi" w:eastAsia="Calibri" w:hAnsiTheme="majorHAnsi" w:cstheme="majorHAnsi"/>
          <w:color w:val="000000"/>
        </w:rPr>
        <w:t xml:space="preserve"> and the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Collision Repair Association have </w:t>
      </w:r>
      <w:hyperlink r:id="rId233" w:history="1">
        <w:r w:rsidRPr="0013401C">
          <w:rPr>
            <w:rStyle w:val="Hyperlink"/>
            <w:rFonts w:asciiTheme="majorHAnsi" w:eastAsia="Calibri" w:hAnsiTheme="majorHAnsi" w:cstheme="majorHAnsi"/>
          </w:rPr>
          <w:t>teamed up to protect residents</w:t>
        </w:r>
      </w:hyperlink>
      <w:r w:rsidRPr="00B6688A">
        <w:rPr>
          <w:rFonts w:asciiTheme="majorHAnsi" w:eastAsia="Calibri" w:hAnsiTheme="majorHAnsi" w:cstheme="majorHAnsi"/>
          <w:color w:val="000000"/>
        </w:rPr>
        <w:t xml:space="preserve"> from buying cars damaged by flood</w:t>
      </w:r>
      <w:r w:rsidR="0013401C">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bookmarkStart w:id="191" w:name="_sje2nqx3d2ao" w:colFirst="0" w:colLast="0"/>
    <w:bookmarkEnd w:id="191"/>
    <w:p w14:paraId="7FB0C21C" w14:textId="0336E09A" w:rsidR="00551DB0" w:rsidRPr="00261881" w:rsidRDefault="007413BF" w:rsidP="004D58F5">
      <w:pPr>
        <w:numPr>
          <w:ilvl w:val="0"/>
          <w:numId w:val="46"/>
        </w:numPr>
        <w:pBdr>
          <w:top w:val="nil"/>
          <w:left w:val="nil"/>
          <w:bottom w:val="nil"/>
          <w:right w:val="nil"/>
          <w:between w:val="nil"/>
        </w:pBdr>
        <w:ind w:left="1080"/>
        <w:jc w:val="both"/>
        <w:rPr>
          <w:rFonts w:asciiTheme="majorHAnsi" w:eastAsia="Calibri" w:hAnsiTheme="majorHAnsi" w:cstheme="majorHAnsi"/>
          <w:color w:val="000000"/>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00261881">
        <w:rPr>
          <w:rFonts w:asciiTheme="majorHAnsi" w:eastAsia="Calibri" w:hAnsiTheme="majorHAnsi" w:cstheme="majorHAnsi"/>
          <w:color w:val="467886"/>
          <w:u w:val="single"/>
        </w:rPr>
        <w:t>SB 2277</w:t>
      </w:r>
      <w:r w:rsidRPr="00261881">
        <w:rPr>
          <w:rFonts w:asciiTheme="majorHAnsi" w:hAnsiTheme="majorHAnsi" w:cstheme="majorHAnsi"/>
        </w:rPr>
        <w:fldChar w:fldCharType="end"/>
      </w:r>
      <w:r w:rsidRPr="00261881">
        <w:rPr>
          <w:rFonts w:asciiTheme="majorHAnsi" w:eastAsia="Calibri" w:hAnsiTheme="majorHAnsi" w:cstheme="majorHAnsi"/>
          <w:color w:val="000000"/>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00261881">
        <w:rPr>
          <w:rFonts w:asciiTheme="majorHAnsi" w:eastAsia="Calibri" w:hAnsiTheme="majorHAnsi" w:cstheme="majorHAnsi"/>
          <w:color w:val="000000"/>
        </w:rPr>
        <w:t>-damaged vehicles</w:t>
      </w:r>
      <w:r w:rsidR="0013401C">
        <w:rPr>
          <w:rFonts w:asciiTheme="majorHAnsi" w:eastAsia="Calibri" w:hAnsiTheme="majorHAnsi" w:cstheme="majorHAnsi"/>
          <w:color w:val="000000"/>
        </w:rPr>
        <w:t>.</w:t>
      </w:r>
    </w:p>
    <w:p w14:paraId="39959085" w14:textId="77777777" w:rsidR="00551DB0" w:rsidRPr="00B6688A" w:rsidRDefault="009726FC" w:rsidP="00551DB0">
      <w:pPr>
        <w:jc w:val="both"/>
        <w:rPr>
          <w:rFonts w:asciiTheme="majorHAnsi" w:eastAsia="Calibri" w:hAnsiTheme="majorHAnsi" w:cstheme="majorHAnsi"/>
        </w:rPr>
      </w:pPr>
      <w:r>
        <w:rPr>
          <w:rFonts w:asciiTheme="majorHAnsi" w:hAnsiTheme="majorHAnsi" w:cstheme="majorHAnsi"/>
        </w:rPr>
        <w:pict w14:anchorId="591945BF">
          <v:rect id="_x0000_i1031" style="width:0;height:1.5pt" o:hralign="center" o:hrstd="t" o:hr="t" fillcolor="#a0a0a0" stroked="f"/>
        </w:pict>
      </w:r>
    </w:p>
    <w:p w14:paraId="47ED4D67" w14:textId="33024A6B" w:rsidR="00FB1243" w:rsidRPr="00B6688A" w:rsidRDefault="007413BF" w:rsidP="00FC6659">
      <w:pPr>
        <w:pStyle w:val="Heading1"/>
        <w:pageBreakBefore/>
        <w:rPr>
          <w:rFonts w:asciiTheme="majorHAnsi" w:hAnsiTheme="majorHAnsi" w:cstheme="majorHAnsi"/>
        </w:rPr>
      </w:pPr>
      <w:bookmarkStart w:id="192" w:name="_Toc236057899"/>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192"/>
    </w:p>
    <w:p w14:paraId="0959DBBA" w14:textId="070D6FE0" w:rsidR="00DE3302" w:rsidRPr="00702B45" w:rsidRDefault="00DE3302" w:rsidP="00DE3302">
      <w:pPr>
        <w:pStyle w:val="Heading2"/>
        <w:rPr>
          <w:rFonts w:asciiTheme="majorHAnsi" w:hAnsiTheme="majorHAnsi" w:cstheme="majorHAnsi"/>
        </w:rPr>
      </w:pPr>
      <w:bookmarkStart w:id="193" w:name="_Toc236057900"/>
      <w:r w:rsidRPr="00702B45">
        <w:rPr>
          <w:rFonts w:asciiTheme="majorHAnsi" w:hAnsiTheme="majorHAnsi" w:cstheme="majorHAnsi"/>
        </w:rPr>
        <w:t>Section A: Overview</w:t>
      </w:r>
      <w:bookmarkEnd w:id="193"/>
    </w:p>
    <w:p w14:paraId="47ED4D68" w14:textId="2989947B" w:rsidR="00FB1243" w:rsidRPr="00702B45" w:rsidRDefault="007413BF">
      <w:pPr>
        <w:keepNext/>
        <w:keepLines/>
        <w:spacing w:after="0" w:line="276" w:lineRule="auto"/>
        <w:jc w:val="both"/>
        <w:rPr>
          <w:rFonts w:asciiTheme="majorHAnsi" w:eastAsia="Calibri" w:hAnsiTheme="majorHAnsi" w:cstheme="majorHAnsi"/>
        </w:rPr>
      </w:pPr>
      <w:r w:rsidRPr="00702B45">
        <w:rPr>
          <w:rFonts w:asciiTheme="majorHAnsi" w:eastAsia="Calibri" w:hAnsiTheme="majorHAnsi" w:cstheme="majorHAnsi"/>
        </w:rPr>
        <w:t>While much of the discussion around insurance availability and affordability has focused on established drivers</w:t>
      </w:r>
      <w:r w:rsidR="00156D40">
        <w:rPr>
          <w:rFonts w:asciiTheme="majorHAnsi" w:eastAsia="Calibri" w:hAnsiTheme="majorHAnsi" w:cstheme="majorHAnsi"/>
        </w:rPr>
        <w:t>,</w:t>
      </w:r>
      <w:r w:rsidRPr="00702B45">
        <w:rPr>
          <w:rFonts w:asciiTheme="majorHAnsi" w:eastAsia="Calibri" w:hAnsiTheme="majorHAnsi" w:cstheme="majorHAnsi"/>
        </w:rPr>
        <w:t xml:space="preserve"> such as hurricanes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Hurricanes"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some emerging hazards are creating new protection gaps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that may increasingly influence consumer outcomes. Atmospheric rivers and extreme heat</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Extreme heat"</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00702B45">
        <w:rPr>
          <w:rFonts w:asciiTheme="majorHAnsi" w:eastAsia="Calibri" w:hAnsiTheme="majorHAnsi" w:cstheme="majorHAnsi"/>
        </w:rPr>
        <w:t>property</w:t>
      </w:r>
      <w:r w:rsidR="00195452">
        <w:rPr>
          <w:rFonts w:asciiTheme="majorHAnsi" w:eastAsia="Calibri" w:hAnsiTheme="majorHAnsi" w:cstheme="majorHAnsi"/>
        </w:rPr>
        <w:t>/</w:t>
      </w:r>
      <w:r w:rsidR="000D3088" w:rsidRPr="00702B45">
        <w:rPr>
          <w:rFonts w:asciiTheme="majorHAnsi" w:eastAsia="Calibri" w:hAnsiTheme="majorHAnsi" w:cstheme="majorHAnsi"/>
        </w:rPr>
        <w:t>casualty</w:t>
      </w:r>
      <w:r w:rsidR="00195452">
        <w:rPr>
          <w:rFonts w:asciiTheme="majorHAnsi" w:eastAsia="Calibri" w:hAnsiTheme="majorHAnsi" w:cstheme="majorHAnsi"/>
        </w:rPr>
        <w:t xml:space="preserve"> (P/C)</w:t>
      </w:r>
      <w:r w:rsidR="000D3088" w:rsidRPr="00702B45">
        <w:rPr>
          <w:rFonts w:asciiTheme="majorHAnsi" w:eastAsia="Calibri" w:hAnsiTheme="majorHAnsi" w:cstheme="majorHAnsi"/>
        </w:rPr>
        <w:t xml:space="preserve"> lines, they can contribute to property damage, business interruption, infrastructure strain, health impacts, and economic disruption, all of which</w:t>
      </w:r>
      <w:r w:rsidRPr="00702B45">
        <w:rPr>
          <w:rFonts w:asciiTheme="majorHAnsi" w:eastAsia="Calibri" w:hAnsiTheme="majorHAnsi" w:cstheme="majorHAnsi"/>
        </w:rPr>
        <w:t xml:space="preserve"> affect insured losses, consumer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pPr>
        <w:keepNext/>
        <w:keepLines/>
        <w:spacing w:after="0" w:line="276" w:lineRule="auto"/>
        <w:jc w:val="both"/>
        <w:rPr>
          <w:rFonts w:asciiTheme="majorHAnsi" w:eastAsia="Calibri" w:hAnsiTheme="majorHAnsi" w:cstheme="majorHAnsi"/>
        </w:rPr>
      </w:pPr>
      <w:bookmarkStart w:id="194" w:name="_kxs46hx9add6" w:colFirst="0" w:colLast="0"/>
      <w:bookmarkEnd w:id="194"/>
      <w:r w:rsidRPr="00702B45">
        <w:rPr>
          <w:rFonts w:asciiTheme="majorHAnsi" w:eastAsia="Calibri" w:hAnsiTheme="majorHAnsi" w:cstheme="majorHAnsi"/>
        </w:rPr>
        <w:t>Part 3 explores these emerging protection gaps</w:t>
      </w:r>
      <w:r w:rsidR="00AB5193" w:rsidRPr="00AB5193">
        <w:rPr>
          <w:rFonts w:asciiTheme="majorHAnsi" w:eastAsia="Calibri" w:hAnsiTheme="majorHAnsi" w:cstheme="majorHAnsi"/>
        </w:rPr>
        <w:t>, driven by losses and costs,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in both residential and commercial insurance</w:t>
      </w:r>
      <w:r w:rsidR="00AB5193">
        <w:rPr>
          <w:rFonts w:asciiTheme="majorHAnsi" w:eastAsia="Calibri" w:hAnsiTheme="majorHAnsi" w:cstheme="majorHAnsi"/>
        </w:rPr>
        <w:t xml:space="preserve"> and</w:t>
      </w:r>
      <w:r w:rsidRPr="00702B45">
        <w:rPr>
          <w:rFonts w:asciiTheme="majorHAnsi" w:eastAsia="Calibri" w:hAnsiTheme="majorHAnsi" w:cstheme="majorHAnsi"/>
        </w:rPr>
        <w:t xml:space="preserve"> highlight</w:t>
      </w:r>
      <w:r w:rsidR="00AB5193">
        <w:rPr>
          <w:rFonts w:asciiTheme="majorHAnsi" w:eastAsia="Calibri" w:hAnsiTheme="majorHAnsi" w:cstheme="majorHAnsi"/>
        </w:rPr>
        <w:t>s</w:t>
      </w:r>
      <w:r w:rsidRPr="00702B45">
        <w:rPr>
          <w:rFonts w:asciiTheme="majorHAnsi" w:eastAsia="Calibri" w:hAnsiTheme="majorHAnsi" w:cstheme="majorHAnsi"/>
        </w:rPr>
        <w:t xml:space="preserve"> how evolving hazards may expose limitations in existing coverage frameworks and present opportunities in risk communication, risk reduction, risk assessment approaches</w:t>
      </w:r>
      <w:r w:rsidR="000D3088" w:rsidRPr="00702B45">
        <w:rPr>
          <w:rFonts w:asciiTheme="majorHAnsi" w:eastAsia="Calibri" w:hAnsiTheme="majorHAnsi" w:cstheme="majorHAnsi"/>
        </w:rPr>
        <w:t>,</w:t>
      </w:r>
      <w:r w:rsidRPr="00702B45">
        <w:rPr>
          <w:rFonts w:asciiTheme="majorHAnsi" w:eastAsia="Calibri" w:hAnsiTheme="majorHAnsi" w:cstheme="majorHAnsi"/>
        </w:rPr>
        <w:t xml:space="preserve"> and market development. Like Part 2, this section offers strategies policymakers and regulators may consider to better understand, anticipate, and address emerging availability and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195" w:name="_Toc236057901"/>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195"/>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196" w:name="_jkfx5zeo4ag7" w:colFirst="0" w:colLast="0"/>
      <w:bookmarkStart w:id="197" w:name="_Toc236057902"/>
      <w:bookmarkEnd w:id="196"/>
      <w:r w:rsidRPr="00702B45">
        <w:rPr>
          <w:rFonts w:asciiTheme="majorHAnsi" w:hAnsiTheme="majorHAnsi" w:cstheme="majorHAnsi"/>
        </w:rPr>
        <w:t>California</w:t>
      </w:r>
      <w:bookmarkEnd w:id="197"/>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One important source of flooding</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Flood"</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risk in California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California"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is a meteorological phenomenon known as atmospheric rivers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Atmospheric rivers"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Atmospheric rivers are long, narrow regions of the atmosphere that transport water vapor, sometimes referred to as “rivers in the sky.” While atmospheric rivers are</w:t>
      </w:r>
      <w:r w:rsidRPr="00B6688A">
        <w:rPr>
          <w:rFonts w:asciiTheme="majorHAnsi" w:eastAsia="Calibri" w:hAnsiTheme="majorHAnsi" w:cstheme="majorHAnsi"/>
        </w:rPr>
        <w:t xml:space="preserve"> a key component of the global water cycle and contribute significantly to California’s water supply, they can also cause heavy</w:t>
      </w:r>
      <w:r w:rsidR="00AF2014" w:rsidRPr="00B6688A">
        <w:rPr>
          <w:rFonts w:asciiTheme="majorHAnsi" w:eastAsia="Calibri" w:hAnsiTheme="majorHAnsi" w:cstheme="majorHAnsi"/>
        </w:rPr>
        <w:t>, concentrated precipitation, posing</w:t>
      </w:r>
      <w:r w:rsidRPr="00B6688A">
        <w:rPr>
          <w:rFonts w:asciiTheme="majorHAnsi" w:eastAsia="Calibri" w:hAnsiTheme="majorHAnsi" w:cstheme="majorHAnsi"/>
        </w:rPr>
        <w:t xml:space="preserve"> serious flood risks. Extreme atmospheric rivers can disrupt travel, induce mudslides, and cause catastrophic damage to life and property. Research has found that atmospheric rivers are responsible for the majority of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intense winds, and power </w:t>
      </w:r>
      <w:r w:rsidRPr="00B6688A">
        <w:rPr>
          <w:rFonts w:asciiTheme="majorHAnsi" w:eastAsia="Calibri" w:hAnsiTheme="majorHAnsi" w:cstheme="majorHAnsi"/>
        </w:rPr>
        <w:lastRenderedPageBreak/>
        <w:t>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storms caused record-breaking rainfall totals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198" w:name="_2xr23nij4j4u" w:colFirst="0" w:colLast="0"/>
      <w:bookmarkEnd w:id="198"/>
      <w:r w:rsidRPr="00B6688A">
        <w:rPr>
          <w:rFonts w:asciiTheme="majorHAnsi" w:hAnsiTheme="majorHAnsi" w:cstheme="majorHAnsi"/>
        </w:rPr>
        <w:t>Reports</w:t>
      </w:r>
    </w:p>
    <w:bookmarkStart w:id="199" w:name="_y7nhy7ciqzvm" w:colFirst="0" w:colLast="0"/>
    <w:bookmarkEnd w:id="199"/>
    <w:p w14:paraId="47ED4D72" w14:textId="70AC7627"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Climate Insurance Report</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AD1382" w:rsidRPr="00B6688A">
        <w:rPr>
          <w:rFonts w:asciiTheme="majorHAnsi" w:eastAsia="Calibri" w:hAnsiTheme="majorHAnsi" w:cstheme="majorHAnsi"/>
        </w:rPr>
        <w:t>recommend</w:t>
      </w:r>
      <w:r w:rsidRPr="00B6688A">
        <w:rPr>
          <w:rFonts w:asciiTheme="majorHAnsi" w:eastAsia="Calibri" w:hAnsiTheme="majorHAnsi" w:cstheme="majorHAnsi"/>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w:t>
      </w:r>
      <w:r w:rsidR="00310137">
        <w:rPr>
          <w:rFonts w:asciiTheme="majorHAnsi" w:eastAsia="Calibri" w:hAnsiTheme="majorHAnsi" w:cstheme="majorHAnsi"/>
        </w:rPr>
        <w:t xml:space="preserve"> working group</w:t>
      </w:r>
      <w:r w:rsidRPr="00B6688A">
        <w:rPr>
          <w:rFonts w:asciiTheme="majorHAnsi" w:eastAsia="Calibri" w:hAnsiTheme="majorHAnsi" w:cstheme="majorHAnsi"/>
        </w:rPr>
        <w:t xml:space="preserve"> released </w:t>
      </w:r>
      <w:r w:rsidR="00310137">
        <w:rPr>
          <w:rFonts w:asciiTheme="majorHAnsi" w:eastAsia="Calibri" w:hAnsiTheme="majorHAnsi" w:cstheme="majorHAnsi"/>
        </w:rPr>
        <w:t>its</w:t>
      </w:r>
      <w:r w:rsidR="00310137"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C724E9">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73" w14:textId="63D3444B"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The report’s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837053">
        <w:rPr>
          <w:rFonts w:asciiTheme="majorHAnsi" w:eastAsia="Calibri" w:hAnsiTheme="majorHAnsi" w:cstheme="majorHAnsi"/>
        </w:rPr>
        <w:t>c</w:t>
      </w:r>
      <w:r w:rsidRPr="00B6688A">
        <w:rPr>
          <w:rFonts w:asciiTheme="majorHAnsi" w:eastAsia="Calibri" w:hAnsiTheme="majorHAnsi" w:cstheme="majorHAnsi"/>
        </w:rPr>
        <w:t>onduct high rainfall event vulnerability analysis</w:t>
      </w:r>
      <w:r w:rsidR="00837053">
        <w:rPr>
          <w:rFonts w:asciiTheme="majorHAnsi" w:eastAsia="Calibri" w:hAnsiTheme="majorHAnsi" w:cstheme="majorHAnsi"/>
        </w:rPr>
        <w:t>;</w:t>
      </w:r>
      <w:r w:rsidRPr="00B6688A">
        <w:rPr>
          <w:rFonts w:asciiTheme="majorHAnsi" w:eastAsia="Calibri" w:hAnsiTheme="majorHAnsi" w:cstheme="majorHAnsi"/>
        </w:rPr>
        <w:t xml:space="preserve"> (2) </w:t>
      </w:r>
      <w:r w:rsidR="00837053">
        <w:rPr>
          <w:rFonts w:asciiTheme="majorHAnsi" w:eastAsia="Calibri" w:hAnsiTheme="majorHAnsi" w:cstheme="majorHAnsi"/>
        </w:rPr>
        <w:t>m</w:t>
      </w:r>
      <w:r w:rsidRPr="00B6688A">
        <w:rPr>
          <w:rFonts w:asciiTheme="majorHAnsi" w:eastAsia="Calibri" w:hAnsiTheme="majorHAnsi" w:cstheme="majorHAnsi"/>
        </w:rPr>
        <w:t>ake risk reduction information more accessible</w:t>
      </w:r>
      <w:r w:rsidR="00837053">
        <w:rPr>
          <w:rFonts w:asciiTheme="majorHAnsi" w:eastAsia="Calibri" w:hAnsiTheme="majorHAnsi" w:cstheme="majorHAnsi"/>
        </w:rPr>
        <w:t>;</w:t>
      </w:r>
      <w:r w:rsidRPr="00B6688A">
        <w:rPr>
          <w:rFonts w:asciiTheme="majorHAnsi" w:eastAsia="Calibri" w:hAnsiTheme="majorHAnsi" w:cstheme="majorHAnsi"/>
        </w:rPr>
        <w:t xml:space="preserve"> (3) </w:t>
      </w:r>
      <w:r w:rsidR="00837053">
        <w:rPr>
          <w:rFonts w:asciiTheme="majorHAnsi" w:eastAsia="Calibri" w:hAnsiTheme="majorHAnsi" w:cstheme="majorHAnsi"/>
        </w:rPr>
        <w:t>c</w:t>
      </w:r>
      <w:r w:rsidRPr="00B6688A">
        <w:rPr>
          <w:rFonts w:asciiTheme="majorHAnsi" w:eastAsia="Calibri" w:hAnsiTheme="majorHAnsi" w:cstheme="majorHAnsi"/>
        </w:rPr>
        <w:t>reate a market for natural infrastructure investment to reduce flooding risk</w:t>
      </w:r>
      <w:r w:rsidR="00837053">
        <w:rPr>
          <w:rFonts w:asciiTheme="majorHAnsi" w:eastAsia="Calibri" w:hAnsiTheme="majorHAnsi" w:cstheme="majorHAnsi"/>
        </w:rPr>
        <w:t>; and</w:t>
      </w:r>
      <w:r w:rsidRPr="00B6688A">
        <w:rPr>
          <w:rFonts w:asciiTheme="majorHAnsi" w:eastAsia="Calibri" w:hAnsiTheme="majorHAnsi" w:cstheme="majorHAnsi"/>
        </w:rPr>
        <w:t xml:space="preserve"> (4) </w:t>
      </w:r>
      <w:r w:rsidR="00837053">
        <w:rPr>
          <w:rFonts w:asciiTheme="majorHAnsi" w:eastAsia="Calibri" w:hAnsiTheme="majorHAnsi" w:cstheme="majorHAnsi"/>
        </w:rPr>
        <w:t>d</w:t>
      </w:r>
      <w:r w:rsidRPr="00B6688A">
        <w:rPr>
          <w:rFonts w:asciiTheme="majorHAnsi" w:eastAsia="Calibri" w:hAnsiTheme="majorHAnsi" w:cstheme="majorHAnsi"/>
        </w:rPr>
        <w:t xml:space="preserve">evelop </w:t>
      </w:r>
      <w:r w:rsidR="00AD1382" w:rsidRPr="00B6688A">
        <w:rPr>
          <w:rFonts w:asciiTheme="majorHAnsi" w:eastAsia="Calibri" w:hAnsiTheme="majorHAnsi" w:cstheme="majorHAnsi"/>
        </w:rPr>
        <w:t xml:space="preserve">a </w:t>
      </w:r>
      <w:r w:rsidRPr="00B6688A">
        <w:rPr>
          <w:rFonts w:asciiTheme="majorHAnsi" w:eastAsia="Calibri" w:hAnsiTheme="majorHAnsi" w:cstheme="majorHAnsi"/>
        </w:rPr>
        <w:t>proof of concept for nature-based solution</w:t>
      </w:r>
      <w:r w:rsidR="00837053">
        <w:rPr>
          <w:rFonts w:asciiTheme="majorHAnsi" w:eastAsia="Calibri" w:hAnsiTheme="majorHAnsi" w:cstheme="majorHAnsi"/>
        </w:rPr>
        <w:t>s</w:t>
      </w:r>
      <w:r w:rsidRPr="00B6688A">
        <w:rPr>
          <w:rFonts w:asciiTheme="majorHAnsi" w:eastAsia="Calibri" w:hAnsiTheme="majorHAnsi" w:cstheme="majorHAnsi"/>
        </w:rPr>
        <w:t xml:space="preserve"> and risk transfer</w:t>
      </w:r>
      <w:r w:rsidR="00156834">
        <w:rPr>
          <w:rFonts w:asciiTheme="majorHAnsi" w:eastAsia="Calibri" w:hAnsiTheme="majorHAnsi" w:cstheme="majorHAnsi"/>
        </w:rPr>
        <w:t xml:space="preserve">. </w:t>
      </w:r>
      <w:r w:rsidRPr="00B6688A">
        <w:rPr>
          <w:rFonts w:asciiTheme="majorHAnsi" w:eastAsia="Calibri" w:hAnsiTheme="majorHAnsi" w:cstheme="majorHAnsi"/>
        </w:rPr>
        <w:t>(</w:t>
      </w:r>
      <w:r w:rsidR="00156834">
        <w:rPr>
          <w:rFonts w:asciiTheme="majorHAnsi" w:eastAsia="Calibri" w:hAnsiTheme="majorHAnsi" w:cstheme="majorHAnsi"/>
        </w:rPr>
        <w:t>R</w:t>
      </w:r>
      <w:r w:rsidR="00837053">
        <w:rPr>
          <w:rFonts w:asciiTheme="majorHAnsi" w:eastAsia="Calibri" w:hAnsiTheme="majorHAnsi" w:cstheme="majorHAnsi"/>
        </w:rPr>
        <w:t>efer to</w:t>
      </w:r>
      <w:r w:rsidR="00837053" w:rsidRPr="00B6688A">
        <w:rPr>
          <w:rFonts w:asciiTheme="majorHAnsi" w:eastAsia="Calibri" w:hAnsiTheme="majorHAnsi" w:cstheme="majorHAnsi"/>
        </w:rPr>
        <w:t xml:space="preserve"> </w:t>
      </w:r>
      <w:r w:rsidR="005D2A1C">
        <w:rPr>
          <w:rFonts w:asciiTheme="majorHAnsi" w:eastAsia="Calibri" w:hAnsiTheme="majorHAnsi" w:cstheme="majorHAnsi"/>
        </w:rPr>
        <w:t xml:space="preserve">the </w:t>
      </w:r>
      <w:r w:rsidR="005D2A1C" w:rsidRPr="005D2A1C">
        <w:rPr>
          <w:rFonts w:asciiTheme="majorHAnsi" w:eastAsia="Calibri" w:hAnsiTheme="majorHAnsi" w:cstheme="majorHAnsi"/>
        </w:rPr>
        <w:t>Inclusive and Innovative Insurance Pilot Projects</w:t>
      </w:r>
      <w:r w:rsidR="005D2A1C">
        <w:rPr>
          <w:rFonts w:asciiTheme="majorHAnsi" w:eastAsia="Calibri" w:hAnsiTheme="majorHAnsi" w:cstheme="majorHAnsi"/>
        </w:rPr>
        <w:t xml:space="preserve"> section on page 94 </w:t>
      </w:r>
      <w:r w:rsidRPr="00B6688A">
        <w:rPr>
          <w:rFonts w:asciiTheme="majorHAnsi" w:eastAsia="Calibri" w:hAnsiTheme="majorHAnsi" w:cstheme="majorHAnsi"/>
        </w:rPr>
        <w:t>below</w:t>
      </w:r>
      <w:r w:rsidR="005D2A1C">
        <w:rPr>
          <w:rFonts w:asciiTheme="majorHAnsi" w:eastAsia="Calibri" w:hAnsiTheme="majorHAnsi" w:cstheme="majorHAnsi"/>
        </w:rPr>
        <w:t>.</w:t>
      </w:r>
      <w:r w:rsidRPr="00B6688A">
        <w:rPr>
          <w:rFonts w:asciiTheme="majorHAnsi" w:eastAsia="Calibri" w:hAnsiTheme="majorHAnsi" w:cstheme="majorHAnsi"/>
        </w:rPr>
        <w:t>)</w:t>
      </w:r>
    </w:p>
    <w:bookmarkStart w:id="200" w:name="_tzv5zwrom2sv" w:colFirst="0" w:colLast="0"/>
    <w:bookmarkEnd w:id="200"/>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19BEE767"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on page 94 </w:t>
      </w:r>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201" w:name="_mn0vnj3ien5i" w:colFirst="0" w:colLast="0"/>
      <w:bookmarkEnd w:id="201"/>
      <w:r w:rsidRPr="00B6688A">
        <w:rPr>
          <w:rFonts w:asciiTheme="majorHAnsi" w:hAnsiTheme="majorHAnsi" w:cstheme="majorHAnsi"/>
        </w:rPr>
        <w:t>Regulations</w:t>
      </w:r>
    </w:p>
    <w:bookmarkStart w:id="202" w:name="_b83ev1bioje7" w:colFirst="0" w:colLast="0"/>
    <w:bookmarkEnd w:id="202"/>
    <w:p w14:paraId="47ED4D77" w14:textId="4BBB31CD"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Catastrophe Modeling and Rate Making Regulations</w:t>
      </w:r>
      <w:r w:rsidRPr="00B6688A">
        <w:rPr>
          <w:rFonts w:asciiTheme="majorHAnsi" w:hAnsiTheme="majorHAnsi" w:cstheme="majorHAnsi"/>
        </w:rPr>
        <w:fldChar w:fldCharType="end"/>
      </w:r>
      <w:r w:rsidRPr="00B6688A">
        <w:rPr>
          <w:rFonts w:asciiTheme="majorHAnsi" w:eastAsia="Calibri" w:hAnsiTheme="majorHAnsi" w:cstheme="majorHAnsi"/>
        </w:rPr>
        <w:t xml:space="preserve">: In December 2024, </w:t>
      </w:r>
      <w:r w:rsidR="00BD3A03">
        <w:rPr>
          <w:rFonts w:asciiTheme="majorHAnsi" w:eastAsia="Calibri" w:hAnsiTheme="majorHAnsi" w:cstheme="majorHAnsi"/>
        </w:rPr>
        <w:t>the California Department of Insurance (</w:t>
      </w:r>
      <w:r w:rsidRPr="00B6688A">
        <w:rPr>
          <w:rFonts w:asciiTheme="majorHAnsi" w:eastAsia="Calibri" w:hAnsiTheme="majorHAnsi" w:cstheme="majorHAnsi"/>
        </w:rPr>
        <w:t>CDI</w:t>
      </w:r>
      <w:r w:rsidR="00BD3A03">
        <w:rPr>
          <w:rFonts w:asciiTheme="majorHAnsi" w:eastAsia="Calibri" w:hAnsiTheme="majorHAnsi" w:cstheme="majorHAnsi"/>
        </w:rPr>
        <w:t>)</w:t>
      </w:r>
      <w:r w:rsidRPr="00B6688A">
        <w:rPr>
          <w:rFonts w:asciiTheme="majorHAnsi" w:eastAsia="Calibri" w:hAnsiTheme="majorHAnsi" w:cstheme="majorHAnsi"/>
        </w:rPr>
        <w:t xml:space="preserve"> amended or adopted Sections </w:t>
      </w:r>
      <w:hyperlink r:id="rId234">
        <w:r w:rsidR="00FB1243" w:rsidRPr="00B6688A">
          <w:rPr>
            <w:rFonts w:asciiTheme="majorHAnsi" w:eastAsia="Calibri" w:hAnsiTheme="majorHAnsi" w:cstheme="majorHAnsi"/>
            <w:color w:val="467886"/>
            <w:u w:val="single"/>
          </w:rPr>
          <w:t>2644.4</w:t>
        </w:r>
      </w:hyperlink>
      <w:r w:rsidRPr="00B6688A">
        <w:rPr>
          <w:rFonts w:asciiTheme="majorHAnsi" w:eastAsia="Calibri" w:hAnsiTheme="majorHAnsi" w:cstheme="majorHAnsi"/>
        </w:rPr>
        <w:t xml:space="preserve">, </w:t>
      </w:r>
      <w:hyperlink r:id="rId235">
        <w:r w:rsidR="00FB1243" w:rsidRPr="00B6688A">
          <w:rPr>
            <w:rFonts w:asciiTheme="majorHAnsi" w:eastAsia="Calibri" w:hAnsiTheme="majorHAnsi" w:cstheme="majorHAnsi"/>
            <w:color w:val="467886"/>
            <w:u w:val="single"/>
          </w:rPr>
          <w:t>2644.4.5</w:t>
        </w:r>
      </w:hyperlink>
      <w:r w:rsidRPr="00B6688A">
        <w:rPr>
          <w:rFonts w:asciiTheme="majorHAnsi" w:eastAsia="Calibri" w:hAnsiTheme="majorHAnsi" w:cstheme="majorHAnsi"/>
        </w:rPr>
        <w:t xml:space="preserve">, </w:t>
      </w:r>
      <w:hyperlink r:id="rId236">
        <w:r w:rsidR="00FB1243" w:rsidRPr="00B6688A">
          <w:rPr>
            <w:rFonts w:asciiTheme="majorHAnsi" w:eastAsia="Calibri" w:hAnsiTheme="majorHAnsi" w:cstheme="majorHAnsi"/>
            <w:color w:val="467886"/>
            <w:u w:val="single"/>
          </w:rPr>
          <w:t>2644.4.8</w:t>
        </w:r>
      </w:hyperlink>
      <w:r w:rsidRPr="00B6688A">
        <w:rPr>
          <w:rFonts w:asciiTheme="majorHAnsi" w:eastAsia="Calibri" w:hAnsiTheme="majorHAnsi" w:cstheme="majorHAnsi"/>
        </w:rPr>
        <w:t xml:space="preserve">, </w:t>
      </w:r>
      <w:hyperlink r:id="rId237">
        <w:r w:rsidR="00FB1243" w:rsidRPr="00B6688A">
          <w:rPr>
            <w:rFonts w:asciiTheme="majorHAnsi" w:eastAsia="Calibri" w:hAnsiTheme="majorHAnsi" w:cstheme="majorHAnsi"/>
            <w:color w:val="467886"/>
            <w:u w:val="single"/>
          </w:rPr>
          <w:t>2644.5</w:t>
        </w:r>
      </w:hyperlink>
      <w:r w:rsidRPr="00B6688A">
        <w:rPr>
          <w:rFonts w:asciiTheme="majorHAnsi" w:eastAsia="Calibri" w:hAnsiTheme="majorHAnsi" w:cstheme="majorHAnsi"/>
        </w:rPr>
        <w:t xml:space="preserve">, </w:t>
      </w:r>
      <w:hyperlink r:id="rId238">
        <w:r w:rsidR="00FB1243" w:rsidRPr="00B6688A">
          <w:rPr>
            <w:rFonts w:asciiTheme="majorHAnsi" w:eastAsia="Calibri" w:hAnsiTheme="majorHAnsi" w:cstheme="majorHAnsi"/>
            <w:color w:val="467886"/>
            <w:u w:val="single"/>
          </w:rPr>
          <w:t>2644.8</w:t>
        </w:r>
      </w:hyperlink>
      <w:r w:rsidRPr="00B6688A">
        <w:rPr>
          <w:rFonts w:asciiTheme="majorHAnsi" w:eastAsia="Calibri" w:hAnsiTheme="majorHAnsi" w:cstheme="majorHAnsi"/>
        </w:rPr>
        <w:t xml:space="preserve">, and </w:t>
      </w:r>
      <w:hyperlink r:id="rId239">
        <w:r w:rsidR="00FB1243" w:rsidRPr="00B6688A">
          <w:rPr>
            <w:rFonts w:asciiTheme="majorHAnsi" w:eastAsia="Calibri" w:hAnsiTheme="majorHAnsi" w:cstheme="majorHAnsi"/>
            <w:color w:val="467886"/>
            <w:u w:val="single"/>
          </w:rPr>
          <w:t>2644.27</w:t>
        </w:r>
      </w:hyperlink>
      <w:r w:rsidRPr="00B6688A">
        <w:rPr>
          <w:rFonts w:asciiTheme="majorHAnsi" w:eastAsia="Calibri" w:hAnsiTheme="majorHAnsi" w:cstheme="majorHAnsi"/>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determine their catastrophe </w:t>
      </w:r>
      <w:r w:rsidR="003E501D" w:rsidRPr="00B6688A">
        <w:rPr>
          <w:rFonts w:asciiTheme="majorHAnsi" w:eastAsia="Calibri" w:hAnsiTheme="majorHAnsi" w:cstheme="majorHAnsi"/>
        </w:rPr>
        <w:t xml:space="preserve">loss adjustment in the ratemaking formula, provided they have demonstrated a need </w:t>
      </w:r>
      <w:r w:rsidR="003E501D" w:rsidRPr="00B6688A">
        <w:rPr>
          <w:rFonts w:asciiTheme="majorHAnsi" w:eastAsia="Calibri" w:hAnsiTheme="majorHAnsi" w:cstheme="majorHAnsi"/>
        </w:rPr>
        <w:lastRenderedPageBreak/>
        <w:t xml:space="preserve">to do so by committing to </w:t>
      </w:r>
      <w:r w:rsidR="00506274" w:rsidRPr="00B6688A">
        <w:rPr>
          <w:rFonts w:asciiTheme="majorHAnsi" w:eastAsia="Calibri" w:hAnsiTheme="majorHAnsi" w:cstheme="majorHAnsi"/>
        </w:rPr>
        <w:t>taking</w:t>
      </w:r>
      <w:r w:rsidRPr="00B6688A">
        <w:rPr>
          <w:rFonts w:asciiTheme="majorHAnsi" w:eastAsia="Calibri" w:hAnsiTheme="majorHAnsi" w:cstheme="majorHAnsi"/>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at the property, community, and landscape scales, including but not limited to forest management, prescribed fire, </w:t>
      </w:r>
      <w:r w:rsidRPr="008C05F8">
        <w:rPr>
          <w:rFonts w:asciiTheme="majorHAnsi" w:eastAsia="Calibri" w:hAnsiTheme="majorHAnsi" w:cstheme="majorHAnsi"/>
        </w:rPr>
        <w:t>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008C05F8">
        <w:rPr>
          <w:rFonts w:asciiTheme="majorHAnsi" w:eastAsia="Calibri" w:hAnsiTheme="majorHAnsi" w:cstheme="majorHAnsi"/>
        </w:rPr>
        <w:t xml:space="preserve"> risk reduction</w:t>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pPr>
        <w:jc w:val="both"/>
        <w:rPr>
          <w:rFonts w:asciiTheme="majorHAnsi" w:eastAsia="Calibri" w:hAnsiTheme="majorHAnsi" w:cstheme="majorHAnsi"/>
        </w:rPr>
      </w:pPr>
      <w:hyperlink r:id="rId240">
        <w:r w:rsidRPr="00B6688A">
          <w:rPr>
            <w:rFonts w:asciiTheme="majorHAnsi" w:eastAsia="Calibri" w:hAnsiTheme="majorHAnsi" w:cstheme="majorHAnsi"/>
            <w:color w:val="467886"/>
            <w:u w:val="single"/>
          </w:rPr>
          <w:t>Climate Resilience Districts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"Climate Resilience Districts"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In 2022,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w:t>
      </w:r>
      <w:hyperlink r:id="rId241">
        <w:r w:rsidRPr="00B6688A">
          <w:rPr>
            <w:rFonts w:asciiTheme="majorHAnsi" w:eastAsia="Calibri" w:hAnsiTheme="majorHAnsi" w:cstheme="majorHAnsi"/>
            <w:color w:val="467886"/>
            <w:u w:val="single"/>
          </w:rPr>
          <w:t>SB-852</w:t>
        </w:r>
      </w:hyperlink>
      <w:r w:rsidRPr="00B6688A">
        <w:rPr>
          <w:rFonts w:asciiTheme="majorHAnsi" w:eastAsia="Calibri" w:hAnsiTheme="majorHAnsi" w:cstheme="majorHAnsi"/>
        </w:rPr>
        <w:t xml:space="preserve"> (Government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2">
        <w:r w:rsidRPr="00B6688A">
          <w:rPr>
            <w:rFonts w:asciiTheme="majorHAnsi" w:eastAsia="Calibri" w:hAnsiTheme="majorHAnsi" w:cstheme="majorHAnsi"/>
            <w:color w:val="467886"/>
            <w:u w:val="single"/>
          </w:rPr>
          <w:t>62300</w:t>
        </w:r>
      </w:hyperlink>
      <w:r w:rsidRPr="00B6688A">
        <w:rPr>
          <w:rFonts w:asciiTheme="majorHAnsi" w:eastAsia="Calibri" w:hAnsiTheme="majorHAnsi" w:cstheme="majorHAnsi"/>
        </w:rPr>
        <w:t xml:space="preserve">), co-sponsored by Insurance Commissioner Ricardo Lara. This law authorizes local cities and governments to establish Climate Resilience Districts. These districts are empowered to finance and implement projects to mitigate </w:t>
      </w:r>
      <w:r w:rsidR="00506274" w:rsidRPr="00B6688A">
        <w:rPr>
          <w:rFonts w:asciiTheme="majorHAnsi" w:eastAsia="Calibri" w:hAnsiTheme="majorHAnsi" w:cstheme="majorHAnsi"/>
        </w:rPr>
        <w:t>the impacts of climate change</w:t>
      </w:r>
      <w:r w:rsidRPr="00B6688A">
        <w:rPr>
          <w:rFonts w:asciiTheme="majorHAnsi" w:eastAsia="Calibri" w:hAnsiTheme="majorHAnsi" w:cstheme="majorHAnsi"/>
        </w:rPr>
        <w:t>,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7A" w14:textId="50FBB18D" w:rsidR="00FB1243" w:rsidRPr="00B6688A" w:rsidRDefault="007413BF">
      <w:pPr>
        <w:jc w:val="both"/>
        <w:rPr>
          <w:rFonts w:asciiTheme="majorHAnsi" w:eastAsia="Calibri" w:hAnsiTheme="majorHAnsi" w:cstheme="majorHAnsi"/>
        </w:rPr>
      </w:pPr>
      <w:r w:rsidRPr="008C05F8">
        <w:rPr>
          <w:rFonts w:asciiTheme="majorHAnsi" w:eastAsia="Calibri" w:hAnsiTheme="majorHAnsi" w:cstheme="majorHAnsi"/>
        </w:rPr>
        <w:t>Adapting to Sea Level Rise</w:t>
      </w:r>
      <w:r w:rsidRPr="00B6688A">
        <w:rPr>
          <w:rFonts w:asciiTheme="majorHAnsi" w:eastAsia="Calibri" w:hAnsiTheme="majorHAnsi" w:cstheme="majorHAnsi"/>
        </w:rPr>
        <w:t>: In 2023,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SB-272 (Public Resources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3">
        <w:r w:rsidR="00FB1243" w:rsidRPr="00B6688A">
          <w:rPr>
            <w:rFonts w:asciiTheme="majorHAnsi" w:eastAsia="Calibri" w:hAnsiTheme="majorHAnsi" w:cstheme="majorHAnsi"/>
            <w:color w:val="467886"/>
            <w:u w:val="single"/>
          </w:rPr>
          <w:t>30985</w:t>
        </w:r>
      </w:hyperlink>
      <w:r w:rsidRPr="00B6688A">
        <w:rPr>
          <w:rFonts w:asciiTheme="majorHAnsi" w:eastAsia="Calibri" w:hAnsiTheme="majorHAnsi" w:cstheme="majorHAnsi"/>
        </w:rPr>
        <w:t xml:space="preserve">). This law requires a local government within the coastal zone to implement sea-level rise planning and adaptation. It also prioritizes these local governments for </w:t>
      </w:r>
      <w:r w:rsidR="00506274" w:rsidRPr="00B6688A">
        <w:rPr>
          <w:rFonts w:asciiTheme="majorHAnsi" w:eastAsia="Calibri" w:hAnsiTheme="majorHAnsi" w:cstheme="majorHAnsi"/>
        </w:rPr>
        <w:t>sea-level-rise funding to implement projects in their approved sea-level-rise</w:t>
      </w:r>
      <w:r w:rsidRPr="00B6688A">
        <w:rPr>
          <w:rFonts w:asciiTheme="majorHAnsi" w:eastAsia="Calibri" w:hAnsiTheme="majorHAnsi" w:cstheme="majorHAnsi"/>
        </w:rPr>
        <w:t xml:space="preserve"> adaptation plans. It also requires the California Coastal Commission, in close coordination with the</w:t>
      </w:r>
      <w:r w:rsidR="00A621EE">
        <w:rPr>
          <w:rFonts w:asciiTheme="majorHAnsi" w:eastAsia="Calibri" w:hAnsiTheme="majorHAnsi" w:cstheme="majorHAnsi"/>
        </w:rPr>
        <w:t xml:space="preserve"> California</w:t>
      </w:r>
      <w:r w:rsidRPr="00B6688A">
        <w:rPr>
          <w:rFonts w:asciiTheme="majorHAnsi" w:eastAsia="Calibri" w:hAnsiTheme="majorHAnsi" w:cstheme="majorHAnsi"/>
        </w:rPr>
        <w:t xml:space="preserve"> Ocean Protection Council and the California Sea Level Rise State and Regional Support Collaborative, to establish guidelines for </w:t>
      </w:r>
      <w:r w:rsidR="00506274" w:rsidRPr="00B6688A">
        <w:rPr>
          <w:rFonts w:asciiTheme="majorHAnsi" w:eastAsia="Calibri" w:hAnsiTheme="majorHAnsi" w:cstheme="majorHAnsi"/>
        </w:rPr>
        <w:t>preparing</w:t>
      </w:r>
      <w:r w:rsidRPr="00B6688A">
        <w:rPr>
          <w:rFonts w:asciiTheme="majorHAnsi" w:eastAsia="Calibri" w:hAnsiTheme="majorHAnsi" w:cstheme="majorHAnsi"/>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203" w:name="_33lwx6sylu56" w:colFirst="0" w:colLast="0"/>
      <w:bookmarkEnd w:id="203"/>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4">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5">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pPr>
        <w:jc w:val="both"/>
        <w:rPr>
          <w:rFonts w:asciiTheme="majorHAnsi" w:eastAsia="Calibri" w:hAnsiTheme="majorHAnsi" w:cstheme="majorHAnsi"/>
        </w:rPr>
      </w:pPr>
      <w:hyperlink r:id="rId246">
        <w:r w:rsidRPr="00B6688A">
          <w:rPr>
            <w:rFonts w:asciiTheme="majorHAnsi" w:eastAsia="Calibri" w:hAnsiTheme="majorHAnsi" w:cstheme="majorHAnsi"/>
            <w:color w:val="467886"/>
            <w:u w:val="single"/>
          </w:rPr>
          <w:t>Innovative Insurance Strategies in Imperial Beach</w:t>
        </w:r>
      </w:hyperlink>
      <w:r w:rsidRPr="00B6688A">
        <w:rPr>
          <w:rFonts w:asciiTheme="majorHAnsi" w:eastAsia="Calibri" w:hAnsiTheme="majorHAnsi" w:cstheme="majorHAnsi"/>
        </w:rPr>
        <w:t xml:space="preserve">: With support from </w:t>
      </w:r>
      <w:r w:rsidR="00BD3A03">
        <w:rPr>
          <w:rFonts w:asciiTheme="majorHAnsi" w:eastAsia="Calibri" w:hAnsiTheme="majorHAnsi" w:cstheme="majorHAnsi"/>
        </w:rPr>
        <w:t xml:space="preserve">the </w:t>
      </w:r>
      <w:r w:rsidRPr="00B6688A">
        <w:rPr>
          <w:rFonts w:asciiTheme="majorHAnsi" w:eastAsia="Calibri" w:hAnsiTheme="majorHAnsi" w:cstheme="majorHAnsi"/>
        </w:rPr>
        <w:t>CDI, Imperial Beach has been awarded an $848,000 grant by the California Ocean Protection Council to develop strategies to address coastal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The city will evaluate these risks, explore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solutions, and establish a climate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financing district to fund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thereby enhancing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204" w:name="_7zpj7elcrl9d" w:colFirst="0" w:colLast="0"/>
      <w:bookmarkEnd w:id="204"/>
      <w:r w:rsidRPr="00B6688A">
        <w:rPr>
          <w:rFonts w:asciiTheme="majorHAnsi" w:hAnsiTheme="majorHAnsi" w:cstheme="majorHAnsi"/>
        </w:rPr>
        <w:t>Consumer Outreach and Engagement</w:t>
      </w:r>
    </w:p>
    <w:bookmarkStart w:id="205" w:name="_ev5gt4ivede9" w:colFirst="0" w:colLast="0"/>
    <w:bookmarkEnd w:id="205"/>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The social and economic value of equipping Californians with this critical insurance education is both significant and far-reaching.</w:t>
      </w:r>
      <w:bookmarkStart w:id="206" w:name="_af51bspuf8g9" w:colFirst="0" w:colLast="0"/>
      <w:bookmarkEnd w:id="206"/>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47">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5CA757F0" w:rsidR="00FB1243" w:rsidRPr="00702B45" w:rsidRDefault="008F29B0" w:rsidP="008F29B0">
      <w:pPr>
        <w:pStyle w:val="Heading2"/>
        <w:rPr>
          <w:rFonts w:asciiTheme="majorHAnsi" w:hAnsiTheme="majorHAnsi" w:cstheme="majorHAnsi"/>
        </w:rPr>
      </w:pPr>
      <w:bookmarkStart w:id="207" w:name="_hin5hcuw2xfp" w:colFirst="0" w:colLast="0"/>
      <w:bookmarkStart w:id="208" w:name="_2smpb76m3ws9" w:colFirst="0" w:colLast="0"/>
      <w:bookmarkStart w:id="209" w:name="_Toc236057903"/>
      <w:bookmarkEnd w:id="207"/>
      <w:bookmarkEnd w:id="208"/>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Heat—California</w:t>
      </w:r>
      <w:bookmarkEnd w:id="209"/>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r w:rsidRPr="00702B45">
        <w:rPr>
          <w:rFonts w:asciiTheme="majorHAnsi" w:hAnsiTheme="majorHAnsi" w:cstheme="majorHAnsi"/>
        </w:rPr>
        <w:t xml:space="preserve"> </w:t>
      </w:r>
    </w:p>
    <w:p w14:paraId="47ED4D89" w14:textId="0BFF5FB0" w:rsidR="00FB1243" w:rsidRPr="00702B45" w:rsidRDefault="007413BF">
      <w:pPr>
        <w:pStyle w:val="Heading3"/>
        <w:rPr>
          <w:rFonts w:asciiTheme="majorHAnsi" w:hAnsiTheme="majorHAnsi" w:cstheme="majorHAnsi"/>
        </w:rPr>
      </w:pPr>
      <w:bookmarkStart w:id="210" w:name="_elnrgbde6nq4" w:colFirst="0" w:colLast="0"/>
      <w:bookmarkStart w:id="211" w:name="_Toc236057904"/>
      <w:bookmarkEnd w:id="210"/>
      <w:r w:rsidRPr="00702B45">
        <w:rPr>
          <w:rFonts w:asciiTheme="majorHAnsi" w:hAnsiTheme="majorHAnsi" w:cstheme="majorHAnsi"/>
        </w:rPr>
        <w:t>California</w:t>
      </w:r>
      <w:bookmarkEnd w:id="211"/>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212" w:name="_ruhb89ier6h" w:colFirst="0" w:colLast="0"/>
      <w:bookmarkEnd w:id="212"/>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29090D9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Extreme heat is expected to increase in frequency, duration, and intensity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1"/>
      </w:r>
      <w:r w:rsidRPr="00B6688A">
        <w:rPr>
          <w:rFonts w:asciiTheme="majorHAnsi" w:eastAsia="Calibri" w:hAnsiTheme="majorHAnsi" w:cstheme="majorHAnsi"/>
        </w:rPr>
        <w:t xml:space="preserve"> Studies show that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w:t>
      </w:r>
      <w:r w:rsidR="00277F7C" w:rsidRPr="00B6688A">
        <w:rPr>
          <w:rFonts w:asciiTheme="majorHAnsi" w:eastAsia="Calibri" w:hAnsiTheme="majorHAnsi" w:cstheme="majorHAnsi"/>
        </w:rPr>
        <w:t>extreme-heat response highlight the need for stronger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77F7C" w:rsidRPr="00B6688A">
        <w:rPr>
          <w:rFonts w:asciiTheme="majorHAnsi" w:eastAsia="Calibri" w:hAnsiTheme="majorHAnsi" w:cstheme="majorHAnsi"/>
        </w:rPr>
        <w:t xml:space="preserve"> and insurance solutions to prevent</w:t>
      </w:r>
      <w:r w:rsidRPr="00B6688A">
        <w:rPr>
          <w:rFonts w:asciiTheme="majorHAnsi" w:eastAsia="Calibri" w:hAnsiTheme="majorHAnsi" w:cstheme="majorHAnsi"/>
        </w:rPr>
        <w:t xml:space="preserve"> overwhelmed hospitals, business disruptions, and increased costs for local governments.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213" w:name="_4mmiabg4gcj2" w:colFirst="0" w:colLast="0"/>
      <w:bookmarkEnd w:id="213"/>
      <w:r w:rsidRPr="00B6688A">
        <w:rPr>
          <w:rFonts w:asciiTheme="majorHAnsi" w:hAnsiTheme="majorHAnsi" w:cstheme="majorHAnsi"/>
        </w:rPr>
        <w:t xml:space="preserve">Reports </w:t>
      </w:r>
    </w:p>
    <w:bookmarkStart w:id="214" w:name="_c1046l6x1bjm" w:colFirst="0" w:colLast="0"/>
    <w:bookmarkEnd w:id="214"/>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r w:rsidRPr="00E81F06">
        <w:rPr>
          <w:rFonts w:asciiTheme="majorHAnsi" w:eastAsia="Calibri" w:hAnsiTheme="majorHAnsi" w:cstheme="majorHAnsi"/>
          <w:i/>
          <w:iCs/>
          <w:color w:val="467886"/>
          <w:u w:val="single"/>
        </w:rPr>
        <w:t>Insuring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r w:rsidR="00B54F30">
        <w:rPr>
          <w:rFonts w:asciiTheme="majorHAnsi" w:eastAsia="Calibri" w:hAnsiTheme="majorHAnsi" w:cstheme="majorHAnsi"/>
        </w:rPr>
        <w:t xml:space="preserve">the </w:t>
      </w:r>
      <w:r w:rsidRPr="00B6688A">
        <w:rPr>
          <w:rFonts w:asciiTheme="majorHAnsi" w:eastAsia="Calibri" w:hAnsiTheme="majorHAnsi" w:cstheme="majorHAnsi"/>
        </w:rPr>
        <w:t>CDI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the legal and policy issues and opportunities for insurance to reduce the impacts of extreme heat events. </w:t>
      </w:r>
    </w:p>
    <w:p w14:paraId="47ED4D8E" w14:textId="14FBDBFD" w:rsidR="00FB1243" w:rsidRPr="00B6688A" w:rsidRDefault="00FB1243">
      <w:pPr>
        <w:jc w:val="both"/>
        <w:rPr>
          <w:rFonts w:asciiTheme="majorHAnsi" w:eastAsia="Calibri" w:hAnsiTheme="majorHAnsi" w:cstheme="majorHAnsi"/>
          <w:u w:val="single"/>
        </w:rPr>
      </w:pPr>
      <w:hyperlink r:id="rId248">
        <w:r w:rsidRPr="00B6688A">
          <w:rPr>
            <w:rFonts w:asciiTheme="majorHAnsi" w:eastAsia="Calibri" w:hAnsiTheme="majorHAnsi" w:cstheme="majorHAnsi"/>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that made </w:t>
      </w:r>
      <w:r w:rsidR="00340D36" w:rsidRPr="00B6688A">
        <w:rPr>
          <w:rFonts w:asciiTheme="majorHAnsi" w:eastAsia="Calibri" w:hAnsiTheme="majorHAnsi" w:cstheme="majorHAnsi"/>
        </w:rPr>
        <w:t>policy recommendations</w:t>
      </w:r>
      <w:r w:rsidRPr="00B6688A">
        <w:rPr>
          <w:rFonts w:asciiTheme="majorHAnsi" w:eastAsia="Calibri" w:hAnsiTheme="majorHAnsi" w:cstheme="majorHAnsi"/>
        </w:rPr>
        <w:t xml:space="preserve">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E81F06">
        <w:rPr>
          <w:rFonts w:asciiTheme="majorHAnsi" w:eastAsia="Calibri" w:hAnsiTheme="majorHAnsi" w:cstheme="majorHAnsi"/>
          <w:i/>
          <w:iCs/>
        </w:rPr>
        <w:t xml:space="preserve">Protecting Communities, Preserving Nature, and Building </w:t>
      </w:r>
      <w:r w:rsidRPr="00E81F06">
        <w:rPr>
          <w:rFonts w:asciiTheme="majorHAnsi" w:eastAsia="Calibri" w:hAnsiTheme="majorHAnsi" w:cstheme="majorHAnsi"/>
          <w:i/>
          <w:iCs/>
        </w:rPr>
        <w:lastRenderedPageBreak/>
        <w:t>Resiliency; How First-of-Its-Kind Climate Insurance Will Help Combat the Costs of Wildfires, Extreme Heat, and Floods</w:t>
      </w:r>
      <w:r w:rsidRPr="00B6688A">
        <w:rPr>
          <w:rFonts w:asciiTheme="majorHAnsi" w:eastAsia="Calibri" w:hAnsiTheme="majorHAnsi" w:cstheme="majorHAnsi"/>
        </w:rPr>
        <w:t>.</w:t>
      </w:r>
    </w:p>
    <w:p w14:paraId="47ED4D8F" w14:textId="62A3D72A"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r w:rsidR="006A5612">
        <w:rPr>
          <w:rFonts w:asciiTheme="majorHAnsi" w:eastAsia="Calibri" w:hAnsiTheme="majorHAnsi" w:cstheme="majorHAnsi"/>
        </w:rPr>
        <w:t xml:space="preserve">on page 97 </w:t>
      </w:r>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on page 98 </w:t>
      </w:r>
      <w:r w:rsidR="007413BF" w:rsidRPr="00B6688A">
        <w:rPr>
          <w:rFonts w:asciiTheme="majorHAnsi" w:eastAsia="Calibri" w:hAnsiTheme="majorHAnsi" w:cstheme="majorHAnsi"/>
        </w:rPr>
        <w:t xml:space="preserve">below). </w:t>
      </w:r>
    </w:p>
    <w:bookmarkStart w:id="215" w:name="_gdsvkxoamxz5" w:colFirst="0" w:colLast="0"/>
    <w:bookmarkEnd w:id="215"/>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49">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report creates a framework to measure the true costs of seven significant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Key findings of the report include:</w:t>
      </w:r>
    </w:p>
    <w:p w14:paraId="47ED4D92" w14:textId="508A060E"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The preliminary estimates on the cumulative cost of the seven studied heat events amounted to $7.7 billion, affecting nearly the entire population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93"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Infrastructure costs due to heat-related damage repair and delays ranged from $3.8 million to $35 million per event, predominantly affecting roads and rails.</w:t>
      </w:r>
    </w:p>
    <w:p w14:paraId="47ED4D97" w14:textId="5A7235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Pursuant to Public Resources Code 71410 (f), this report was also used as one part of the information considered for the creation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extreme</w:t>
      </w:r>
      <w:r w:rsidR="00713EF0">
        <w:rPr>
          <w:rFonts w:asciiTheme="majorHAnsi" w:eastAsia="Calibri" w:hAnsiTheme="majorHAnsi" w:cstheme="majorHAnsi"/>
        </w:rPr>
        <w:t>-</w:t>
      </w:r>
      <w:r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tool, </w:t>
      </w:r>
      <w:hyperlink r:id="rId250" w:history="1">
        <w:r w:rsidRPr="00014810">
          <w:rPr>
            <w:rStyle w:val="Hyperlink"/>
            <w:rFonts w:asciiTheme="majorHAnsi" w:eastAsia="Calibri" w:hAnsiTheme="majorHAnsi" w:cstheme="majorHAnsi"/>
          </w:rPr>
          <w:t>CalHeat</w:t>
        </w:r>
        <w:r w:rsidR="004736E5" w:rsidRPr="00014810">
          <w:rPr>
            <w:rStyle w:val="Hyperlink"/>
            <w:rFonts w:asciiTheme="majorHAnsi" w:eastAsia="Calibri" w:hAnsiTheme="majorHAnsi" w:cstheme="majorHAnsi"/>
          </w:rPr>
          <w:t>S</w:t>
        </w:r>
        <w:r w:rsidRPr="00014810">
          <w:rPr>
            <w:rStyle w:val="Hyperlink"/>
            <w:rFonts w:asciiTheme="majorHAnsi" w:eastAsia="Calibri" w:hAnsiTheme="majorHAnsi" w:cstheme="majorHAnsi"/>
          </w:rPr>
          <w:t>core</w:t>
        </w:r>
      </w:hyperlink>
      <w:r w:rsidRPr="00B6688A">
        <w:rPr>
          <w:rFonts w:asciiTheme="majorHAnsi" w:eastAsia="Calibri" w:hAnsiTheme="majorHAnsi" w:cstheme="majorHAnsi"/>
        </w:rPr>
        <w:t>, by the California Environmental Protection Agency</w:t>
      </w:r>
      <w:r w:rsidR="00005DEE">
        <w:rPr>
          <w:rFonts w:asciiTheme="majorHAnsi" w:eastAsia="Calibri" w:hAnsiTheme="majorHAnsi" w:cstheme="majorHAnsi"/>
        </w:rPr>
        <w:t xml:space="preserve"> </w:t>
      </w:r>
      <w:r w:rsidR="00005DEE" w:rsidRPr="00B6688A">
        <w:rPr>
          <w:rFonts w:asciiTheme="majorHAnsi" w:eastAsia="Calibri" w:hAnsiTheme="majorHAnsi" w:cstheme="majorHAnsi"/>
        </w:rPr>
        <w:t xml:space="preserve">(CalEPA) </w:t>
      </w:r>
      <w:r w:rsidRPr="00B6688A">
        <w:rPr>
          <w:rFonts w:asciiTheme="majorHAnsi" w:eastAsia="Calibri" w:hAnsiTheme="majorHAnsi" w:cstheme="majorHAnsi"/>
        </w:rPr>
        <w:t>in early 2025.</w:t>
      </w:r>
    </w:p>
    <w:p w14:paraId="47ED4D9B" w14:textId="1CFAF39E" w:rsidR="00FB1243" w:rsidRPr="00B6688A" w:rsidRDefault="007413BF">
      <w:pPr>
        <w:pStyle w:val="Heading4"/>
        <w:rPr>
          <w:rFonts w:asciiTheme="majorHAnsi" w:hAnsiTheme="majorHAnsi" w:cstheme="majorHAnsi"/>
        </w:rPr>
      </w:pPr>
      <w:bookmarkStart w:id="216" w:name="_iovhoyix1xs0" w:colFirst="0" w:colLast="0"/>
      <w:bookmarkEnd w:id="216"/>
      <w:r w:rsidRPr="00B6688A">
        <w:rPr>
          <w:rFonts w:asciiTheme="majorHAnsi" w:hAnsiTheme="majorHAnsi" w:cstheme="majorHAnsi"/>
        </w:rPr>
        <w:t>Adopted Legislation Highlights</w:t>
      </w:r>
    </w:p>
    <w:p w14:paraId="47ED4D9D" w14:textId="4DCADFF4" w:rsidR="00FB1243" w:rsidRPr="00B6688A" w:rsidRDefault="007413BF" w:rsidP="00E81F06">
      <w:pPr>
        <w:jc w:val="both"/>
        <w:rPr>
          <w:rFonts w:asciiTheme="majorHAnsi" w:eastAsia="Calibri" w:hAnsiTheme="majorHAnsi" w:cstheme="majorHAnsi"/>
        </w:rPr>
      </w:pPr>
      <w:hyperlink r:id="rId251" w:history="1">
        <w:r w:rsidRPr="00014810">
          <w:rPr>
            <w:rStyle w:val="Hyperlink"/>
            <w:rFonts w:asciiTheme="majorHAnsi" w:eastAsia="Calibri" w:hAnsiTheme="majorHAnsi" w:cstheme="majorHAnsi"/>
            <w:b/>
            <w:bCs/>
          </w:rPr>
          <w:t>Assessing Extreme Heat Impacts</w:t>
        </w:r>
      </w:hyperlink>
      <w:r w:rsidR="00014810">
        <w:rPr>
          <w:rFonts w:asciiTheme="majorHAnsi" w:eastAsia="Calibri" w:hAnsiTheme="majorHAnsi" w:cstheme="majorHAnsi"/>
        </w:rPr>
        <w:t xml:space="preserve">: </w:t>
      </w:r>
      <w:r w:rsidRPr="00B6688A">
        <w:rPr>
          <w:rFonts w:asciiTheme="majorHAnsi" w:eastAsia="Calibri" w:hAnsiTheme="majorHAnsi" w:cstheme="majorHAnsi"/>
        </w:rPr>
        <w:t>In 2021, the CDI’s </w:t>
      </w:r>
      <w:hyperlink r:id="rId252">
        <w:r w:rsidR="00FB1243" w:rsidRPr="00B6688A">
          <w:rPr>
            <w:rFonts w:asciiTheme="majorHAnsi" w:eastAsia="Calibri" w:hAnsiTheme="majorHAnsi" w:cstheme="majorHAnsi"/>
            <w:color w:val="467886"/>
            <w:u w:val="single"/>
          </w:rPr>
          <w:t>Climate Insurance Workgroup recommended</w:t>
        </w:r>
      </w:hyperlink>
      <w:r w:rsidRPr="00B6688A">
        <w:rPr>
          <w:rFonts w:asciiTheme="majorHAnsi" w:eastAsia="Calibri" w:hAnsiTheme="majorHAnsi" w:cstheme="majorHAnsi"/>
        </w:rPr>
        <w:t> that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 a system to rank heat waves to better communicate the deadly risks to Californians and help communities prepare, similar to how tropical storms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described by category level. </w:t>
      </w:r>
    </w:p>
    <w:p w14:paraId="47ED4D9F" w14:textId="135BF0B8" w:rsidR="00FB1243" w:rsidRPr="00B6688A" w:rsidRDefault="007413BF" w:rsidP="00E81F06">
      <w:pPr>
        <w:spacing w:after="0"/>
        <w:jc w:val="both"/>
        <w:rPr>
          <w:rFonts w:asciiTheme="majorHAnsi" w:eastAsia="Calibri" w:hAnsiTheme="majorHAnsi" w:cstheme="majorHAnsi"/>
        </w:rPr>
      </w:pPr>
      <w:r w:rsidRPr="00B6688A">
        <w:rPr>
          <w:rFonts w:asciiTheme="majorHAnsi" w:eastAsia="Calibri" w:hAnsiTheme="majorHAnsi" w:cstheme="majorHAnsi"/>
        </w:rPr>
        <w:t>AB</w:t>
      </w:r>
      <w:r w:rsidR="00005DEE">
        <w:rPr>
          <w:rFonts w:asciiTheme="majorHAnsi" w:eastAsia="Calibri" w:hAnsiTheme="majorHAnsi" w:cstheme="majorHAnsi"/>
        </w:rPr>
        <w:t xml:space="preserve"> </w:t>
      </w:r>
      <w:r w:rsidRPr="00B6688A">
        <w:rPr>
          <w:rFonts w:asciiTheme="majorHAnsi" w:eastAsia="Calibri" w:hAnsiTheme="majorHAnsi" w:cstheme="majorHAnsi"/>
        </w:rPr>
        <w:t>2238 codified</w:t>
      </w:r>
      <w:r w:rsidR="004736E5">
        <w:rPr>
          <w:rFonts w:asciiTheme="majorHAnsi" w:eastAsia="Calibri" w:hAnsiTheme="majorHAnsi" w:cstheme="majorHAnsi"/>
        </w:rPr>
        <w:t xml:space="preserve"> the</w:t>
      </w:r>
      <w:r w:rsidRPr="00B6688A">
        <w:rPr>
          <w:rFonts w:asciiTheme="majorHAnsi" w:eastAsia="Calibri" w:hAnsiTheme="majorHAnsi" w:cstheme="majorHAnsi"/>
        </w:rPr>
        <w:t xml:space="preserve"> CDI’s recommendation by requiring CalEPA to develop a statewide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system. AB 2238 requires the Integrated Climate Adaptation and Resiliency Program (ICARP) to disseminate the system’s information to communities and local leaders, and the </w:t>
      </w:r>
      <w:r w:rsidR="00CF5B7E">
        <w:rPr>
          <w:rFonts w:asciiTheme="majorHAnsi" w:eastAsia="Calibri" w:hAnsiTheme="majorHAnsi" w:cstheme="majorHAnsi"/>
        </w:rPr>
        <w:t>g</w:t>
      </w:r>
      <w:r w:rsidRPr="00B6688A">
        <w:rPr>
          <w:rFonts w:asciiTheme="majorHAnsi" w:eastAsia="Calibri" w:hAnsiTheme="majorHAnsi" w:cstheme="majorHAnsi"/>
        </w:rPr>
        <w:t>overnor's Office of Emergency Services (Cal OES) to support ICARP’s dissemination and communications campaign.</w:t>
      </w:r>
      <w:r w:rsidR="00F20372">
        <w:rPr>
          <w:rFonts w:asciiTheme="majorHAnsi" w:eastAsia="Calibri" w:hAnsiTheme="majorHAnsi" w:cstheme="majorHAnsi"/>
        </w:rPr>
        <w:t xml:space="preserve"> </w:t>
      </w:r>
      <w:r w:rsidRPr="00B6688A">
        <w:rPr>
          <w:rFonts w:asciiTheme="majorHAnsi" w:eastAsia="Calibri" w:hAnsiTheme="majorHAnsi" w:cstheme="majorHAnsi"/>
        </w:rPr>
        <w:t>The</w:t>
      </w:r>
      <w:r w:rsidR="00CF5B7E">
        <w:rPr>
          <w:rFonts w:asciiTheme="majorHAnsi" w:eastAsia="Calibri" w:hAnsiTheme="majorHAnsi" w:cstheme="majorHAnsi"/>
        </w:rPr>
        <w:t xml:space="preserve"> California</w:t>
      </w:r>
      <w:r w:rsidRPr="00B6688A">
        <w:rPr>
          <w:rFonts w:asciiTheme="majorHAnsi" w:eastAsia="Calibri" w:hAnsiTheme="majorHAnsi" w:cstheme="majorHAnsi"/>
        </w:rPr>
        <w:t xml:space="preserve"> Department of Public Health (CDPH) provides consultation on the system and will support the Office of Environmental Health Hazard Assessment (OEHHA)</w:t>
      </w:r>
      <w:r w:rsidR="00161A5D" w:rsidRPr="00B6688A">
        <w:rPr>
          <w:rFonts w:asciiTheme="majorHAnsi" w:eastAsia="Calibri" w:hAnsiTheme="majorHAnsi" w:cstheme="majorHAnsi"/>
        </w:rPr>
        <w:t xml:space="preserve"> under CalEPA in adapting</w:t>
      </w:r>
      <w:r w:rsidRPr="00B6688A">
        <w:rPr>
          <w:rFonts w:asciiTheme="majorHAnsi" w:eastAsia="Calibri" w:hAnsiTheme="majorHAnsi" w:cstheme="majorHAnsi"/>
        </w:rPr>
        <w:t xml:space="preserve"> the system for use at locally relevant scales. AB 2238 also required </w:t>
      </w:r>
      <w:r w:rsidR="00CF5B7E">
        <w:rPr>
          <w:rFonts w:asciiTheme="majorHAnsi" w:eastAsia="Calibri" w:hAnsiTheme="majorHAnsi" w:cstheme="majorHAnsi"/>
        </w:rPr>
        <w:t xml:space="preserve">the </w:t>
      </w:r>
      <w:r w:rsidRPr="00B6688A">
        <w:rPr>
          <w:rFonts w:asciiTheme="majorHAnsi" w:eastAsia="Calibri" w:hAnsiTheme="majorHAnsi" w:cstheme="majorHAnsi"/>
        </w:rPr>
        <w:t xml:space="preserve">CDI to release a </w:t>
      </w:r>
      <w:hyperlink r:id="rId253">
        <w:r w:rsidR="00FB1243" w:rsidRPr="00B6688A">
          <w:rPr>
            <w:rFonts w:asciiTheme="majorHAnsi" w:eastAsia="Calibri" w:hAnsiTheme="majorHAnsi" w:cstheme="majorHAnsi"/>
            <w:color w:val="467886"/>
            <w:u w:val="single"/>
          </w:rPr>
          <w:t>report</w:t>
        </w:r>
      </w:hyperlink>
      <w:r w:rsidRPr="00B6688A">
        <w:rPr>
          <w:rFonts w:asciiTheme="majorHAnsi" w:eastAsia="Calibri" w:hAnsiTheme="majorHAnsi" w:cstheme="majorHAnsi"/>
        </w:rPr>
        <w:t xml:space="preserve"> on the insurance-related costs of extreme heat, described above.</w:t>
      </w:r>
      <w:r w:rsidR="00005DEE">
        <w:t xml:space="preserve"> </w:t>
      </w:r>
      <w:hyperlink r:id="rId254">
        <w:r w:rsidR="00FB1243" w:rsidRPr="00B6688A">
          <w:rPr>
            <w:rFonts w:asciiTheme="majorHAnsi" w:eastAsia="Calibri" w:hAnsiTheme="majorHAnsi" w:cstheme="majorHAnsi"/>
            <w:color w:val="467886"/>
            <w:u w:val="single"/>
          </w:rPr>
          <w:t>In May 2025</w:t>
        </w:r>
      </w:hyperlink>
      <w:r w:rsidR="00FB1243" w:rsidRPr="00B6688A">
        <w:rPr>
          <w:rFonts w:asciiTheme="majorHAnsi" w:eastAsia="Calibri" w:hAnsiTheme="majorHAnsi" w:cstheme="majorHAnsi"/>
        </w:rPr>
        <w:t xml:space="preserve">, </w:t>
      </w:r>
      <w:r w:rsidR="00CF5B7E">
        <w:rPr>
          <w:rFonts w:asciiTheme="majorHAnsi" w:eastAsia="Calibri" w:hAnsiTheme="majorHAnsi" w:cstheme="majorHAnsi"/>
        </w:rPr>
        <w:t xml:space="preserve">the </w:t>
      </w:r>
      <w:r w:rsidR="00FB1243" w:rsidRPr="00B6688A">
        <w:rPr>
          <w:rFonts w:asciiTheme="majorHAnsi" w:eastAsia="Calibri" w:hAnsiTheme="majorHAnsi" w:cstheme="majorHAnsi"/>
        </w:rPr>
        <w:t>OEHHA released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’s extreme</w:t>
      </w:r>
      <w:r w:rsidR="00713EF0">
        <w:rPr>
          <w:rFonts w:asciiTheme="majorHAnsi" w:eastAsia="Calibri" w:hAnsiTheme="majorHAnsi" w:cstheme="majorHAnsi"/>
        </w:rPr>
        <w:t>-</w:t>
      </w:r>
      <w:r w:rsidR="00FB1243"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ranking tool, CalHeat</w:t>
      </w:r>
      <w:r w:rsidR="00CF5B7E">
        <w:rPr>
          <w:rFonts w:asciiTheme="majorHAnsi" w:eastAsia="Calibri" w:hAnsiTheme="majorHAnsi" w:cstheme="majorHAnsi"/>
        </w:rPr>
        <w:t>S</w:t>
      </w:r>
      <w:r w:rsidR="00FB1243" w:rsidRPr="00B6688A">
        <w:rPr>
          <w:rFonts w:asciiTheme="majorHAnsi" w:eastAsia="Calibri" w:hAnsiTheme="majorHAnsi" w:cstheme="majorHAnsi"/>
        </w:rPr>
        <w:t>core</w:t>
      </w:r>
      <w:r w:rsidR="00713EF0">
        <w:rPr>
          <w:rFonts w:asciiTheme="majorHAnsi" w:eastAsia="Calibri" w:hAnsiTheme="majorHAnsi" w:cstheme="majorHAnsi"/>
        </w:rPr>
        <w:t>, also described above</w:t>
      </w:r>
      <w:r w:rsidR="00FB1243"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pPr>
        <w:jc w:val="both"/>
        <w:rPr>
          <w:rFonts w:asciiTheme="majorHAnsi" w:eastAsia="Calibri" w:hAnsiTheme="majorHAnsi" w:cstheme="majorHAnsi"/>
        </w:rPr>
      </w:pPr>
      <w:hyperlink r:id="rId255" w:history="1">
        <w:r w:rsidRPr="00713EF0">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rPr>
        <w:t>: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CF5B7E">
        <w:rPr>
          <w:rFonts w:asciiTheme="majorHAnsi" w:eastAsia="Calibri" w:hAnsiTheme="majorHAnsi" w:cstheme="majorHAnsi"/>
        </w:rPr>
        <w:t>s</w:t>
      </w:r>
      <w:r w:rsidRPr="00B6688A">
        <w:rPr>
          <w:rFonts w:asciiTheme="majorHAnsi" w:eastAsia="Calibri" w:hAnsiTheme="majorHAnsi" w:cstheme="majorHAnsi"/>
        </w:rPr>
        <w:t xml:space="preserve">tate </w:t>
      </w:r>
      <w:r w:rsidR="00CF5B7E">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CF5B7E">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CF5B7E">
        <w:rPr>
          <w:rFonts w:asciiTheme="majorHAnsi" w:eastAsia="Calibri" w:hAnsiTheme="majorHAnsi" w:cstheme="majorHAnsi"/>
        </w:rPr>
        <w:t>i</w:t>
      </w:r>
      <w:r w:rsidRPr="00B6688A">
        <w:rPr>
          <w:rFonts w:asciiTheme="majorHAnsi" w:eastAsia="Calibri" w:hAnsiTheme="majorHAnsi" w:cstheme="majorHAnsi"/>
        </w:rPr>
        <w:t xml:space="preserve">nsurance </w:t>
      </w:r>
      <w:r w:rsidR="00CF5B7E">
        <w:rPr>
          <w:rFonts w:asciiTheme="majorHAnsi" w:eastAsia="Calibri" w:hAnsiTheme="majorHAnsi" w:cstheme="majorHAnsi"/>
        </w:rPr>
        <w:t>c</w:t>
      </w:r>
      <w:r w:rsidRPr="00B6688A">
        <w:rPr>
          <w:rFonts w:asciiTheme="majorHAnsi" w:eastAsia="Calibri" w:hAnsiTheme="majorHAnsi" w:cstheme="majorHAnsi"/>
        </w:rPr>
        <w:t>ommissioner to convene a working group to identify, assess, and recommend risk transfer market mechanisms that, among other things, promote investment in natural infrastructure to reduce the risks of climate change related to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 </w:t>
      </w:r>
    </w:p>
    <w:p w14:paraId="47ED4DA1" w14:textId="169BD78E" w:rsidR="00FB1243" w:rsidRPr="00B6688A" w:rsidRDefault="00FB1243" w:rsidP="00FC6659">
      <w:pPr>
        <w:numPr>
          <w:ilvl w:val="0"/>
          <w:numId w:val="40"/>
        </w:numPr>
        <w:ind w:left="1080"/>
        <w:jc w:val="both"/>
        <w:rPr>
          <w:rFonts w:asciiTheme="majorHAnsi" w:eastAsia="Calibri" w:hAnsiTheme="majorHAnsi" w:cstheme="majorHAnsi"/>
        </w:rPr>
      </w:pPr>
      <w:hyperlink r:id="rId256">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rPr>
        <w:t>: Pursuant to SB-30, Commissioner Lara appointed a working group of environmental advocates, public policy experts, researchers, and insurance experts to make recommendations to reduce the threats posed by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high urban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257">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rPr>
        <w:t xml:space="preserve">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 (</w:t>
      </w:r>
      <w:r w:rsidR="00CF5B7E">
        <w:rPr>
          <w:rFonts w:asciiTheme="majorHAnsi" w:eastAsia="Calibri" w:hAnsiTheme="majorHAnsi" w:cstheme="majorHAnsi"/>
        </w:rPr>
        <w:t>Refer to the</w:t>
      </w:r>
      <w:r w:rsidR="00CF5B7E" w:rsidRPr="00B6688A">
        <w:rPr>
          <w:rFonts w:asciiTheme="majorHAnsi" w:eastAsia="Calibri" w:hAnsiTheme="majorHAnsi" w:cstheme="majorHAnsi"/>
        </w:rPr>
        <w:t xml:space="preserve"> </w:t>
      </w:r>
      <w:r w:rsidRPr="00B6688A">
        <w:rPr>
          <w:rFonts w:asciiTheme="majorHAnsi" w:eastAsia="Calibri" w:hAnsiTheme="majorHAnsi" w:cstheme="majorHAnsi"/>
        </w:rPr>
        <w:t>Reports section</w:t>
      </w:r>
      <w:r w:rsidR="00713EF0">
        <w:rPr>
          <w:rFonts w:asciiTheme="majorHAnsi" w:eastAsia="Calibri" w:hAnsiTheme="majorHAnsi" w:cstheme="majorHAnsi"/>
        </w:rPr>
        <w:t xml:space="preserve"> on page 95 above</w:t>
      </w:r>
      <w:r w:rsidR="00CF5B7E">
        <w:rPr>
          <w:rFonts w:asciiTheme="majorHAnsi" w:eastAsia="Calibri" w:hAnsiTheme="majorHAnsi" w:cstheme="majorHAnsi"/>
        </w:rPr>
        <w:t>.</w:t>
      </w:r>
      <w:r w:rsidRPr="00B6688A">
        <w:rPr>
          <w:rFonts w:asciiTheme="majorHAnsi" w:eastAsia="Calibri" w:hAnsiTheme="majorHAnsi" w:cstheme="majorHAnsi"/>
        </w:rPr>
        <w:t>)</w:t>
      </w:r>
    </w:p>
    <w:p w14:paraId="47ED4DA2" w14:textId="73A9171C" w:rsidR="00FB1243" w:rsidRPr="00B6688A" w:rsidRDefault="007413BF">
      <w:pPr>
        <w:pStyle w:val="Heading4"/>
        <w:rPr>
          <w:rFonts w:asciiTheme="majorHAnsi" w:hAnsiTheme="majorHAnsi" w:cstheme="majorHAnsi"/>
        </w:rPr>
      </w:pPr>
      <w:bookmarkStart w:id="217" w:name="_oj7ozqcoj1xv" w:colFirst="0" w:colLast="0"/>
      <w:bookmarkEnd w:id="217"/>
      <w:r w:rsidRPr="00B6688A">
        <w:rPr>
          <w:rFonts w:asciiTheme="majorHAnsi" w:hAnsiTheme="majorHAnsi" w:cstheme="majorHAnsi"/>
        </w:rPr>
        <w:lastRenderedPageBreak/>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00E81F06">
      <w:pPr>
        <w:pStyle w:val="Heading5"/>
        <w:jc w:val="both"/>
        <w:rPr>
          <w:rFonts w:asciiTheme="majorHAnsi" w:eastAsia="Calibri" w:hAnsiTheme="majorHAnsi" w:cstheme="majorHAnsi"/>
        </w:rPr>
      </w:pPr>
      <w:hyperlink r:id="rId258">
        <w:r w:rsidRPr="00B6688A">
          <w:rPr>
            <w:rFonts w:asciiTheme="majorHAnsi" w:eastAsia="Calibri" w:hAnsiTheme="majorHAnsi" w:cstheme="majorHAnsi"/>
            <w:color w:val="467886"/>
            <w:u w:val="single"/>
          </w:rPr>
          <w:t>Inclusive and Innovative Insurance Pilot Projects</w:t>
        </w:r>
      </w:hyperlink>
      <w:r w:rsidR="00796C73" w:rsidRPr="00E81F06">
        <w:rPr>
          <w:color w:val="auto"/>
        </w:rPr>
        <w:t>:</w:t>
      </w:r>
      <w:r w:rsidR="00796C73" w:rsidRPr="00796C73">
        <w:rPr>
          <w:rFonts w:asciiTheme="majorHAnsi" w:eastAsia="Calibri" w:hAnsiTheme="majorHAnsi" w:cstheme="majorHAnsi"/>
          <w:color w:val="auto"/>
        </w:rPr>
        <w:t xml:space="preserve">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 xml:space="preserve">CDI is supporting local jurisdictions and communities with innovative insurance approaches. In 2021,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CDI hosted a convening to identify specific pilot projects it could support to address the risks of extreme heat</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Extreme heat"</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 xml:space="preserve"> in low-income and disadvantaged or marginalized communities, including cool technologies, urban forests, pre-disaster mitigation</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Mitigation"</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033B03" w:rsidRPr="00796C73">
        <w:rPr>
          <w:rFonts w:asciiTheme="majorHAnsi" w:eastAsia="Calibri" w:hAnsiTheme="majorHAnsi" w:cstheme="majorHAnsi"/>
          <w:color w:val="auto"/>
        </w:rPr>
        <w:t>,</w:t>
      </w:r>
      <w:r w:rsidR="007413BF" w:rsidRPr="00796C73">
        <w:rPr>
          <w:rFonts w:asciiTheme="majorHAnsi" w:eastAsia="Calibri" w:hAnsiTheme="majorHAnsi" w:cstheme="majorHAnsi"/>
          <w:color w:val="auto"/>
        </w:rPr>
        <w:t xml:space="preserve"> and increased community resilience</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Resilience"</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w:t>
      </w:r>
    </w:p>
    <w:p w14:paraId="47ED4DA5" w14:textId="2190CA82" w:rsidR="00FB1243" w:rsidRPr="00B6688A" w:rsidRDefault="00FB1243">
      <w:pPr>
        <w:jc w:val="both"/>
        <w:rPr>
          <w:rFonts w:asciiTheme="majorHAnsi" w:eastAsia="Calibri" w:hAnsiTheme="majorHAnsi" w:cstheme="majorHAnsi"/>
        </w:rPr>
      </w:pPr>
      <w:hyperlink r:id="rId259">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60">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1">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pPr>
        <w:jc w:val="both"/>
        <w:rPr>
          <w:rFonts w:asciiTheme="majorHAnsi" w:eastAsia="Calibri" w:hAnsiTheme="majorHAnsi" w:cstheme="majorHAnsi"/>
        </w:rPr>
      </w:pPr>
      <w:hyperlink r:id="rId262">
        <w:r w:rsidRPr="00B6688A">
          <w:rPr>
            <w:rFonts w:asciiTheme="majorHAnsi" w:eastAsia="Calibri" w:hAnsiTheme="majorHAnsi" w:cstheme="majorHAnsi"/>
            <w:color w:val="1155CC"/>
            <w:u w:val="single"/>
          </w:rPr>
          <w:t>Urban Forest Insurance Concept</w:t>
        </w:r>
      </w:hyperlink>
      <w:r w:rsidRPr="00B6688A">
        <w:rPr>
          <w:rFonts w:asciiTheme="majorHAnsi" w:eastAsia="Calibri" w:hAnsiTheme="majorHAnsi" w:cstheme="majorHAnsi"/>
        </w:rPr>
        <w:t xml:space="preserve">: In 2025, </w:t>
      </w:r>
      <w:r w:rsidR="00672C16">
        <w:rPr>
          <w:rFonts w:asciiTheme="majorHAnsi" w:eastAsia="Calibri" w:hAnsiTheme="majorHAnsi" w:cstheme="majorHAnsi"/>
        </w:rPr>
        <w:t xml:space="preserve">the </w:t>
      </w:r>
      <w:r w:rsidRPr="00B6688A">
        <w:rPr>
          <w:rFonts w:asciiTheme="majorHAnsi" w:eastAsia="Calibri" w:hAnsiTheme="majorHAnsi" w:cstheme="majorHAnsi"/>
        </w:rPr>
        <w:t xml:space="preserve">CDI </w:t>
      </w:r>
      <w:r w:rsidR="00672C16">
        <w:rPr>
          <w:rFonts w:asciiTheme="majorHAnsi" w:eastAsia="Calibri" w:hAnsiTheme="majorHAnsi" w:cstheme="majorHAnsi"/>
        </w:rPr>
        <w:t>convened</w:t>
      </w:r>
      <w:r w:rsidRPr="00B6688A">
        <w:rPr>
          <w:rFonts w:asciiTheme="majorHAnsi" w:eastAsia="Calibri" w:hAnsiTheme="majorHAnsi" w:cstheme="majorHAnsi"/>
        </w:rPr>
        <w:t xml:space="preserve"> to explore insurance solutions for urban forests. Urban forests provide vital benefits like improved air quality, temperature regulation, and recreation, but face growing threats from climate change, including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storms, and droughts. Parametric insurance can offer a solution by providing funds to repair damaged tree canopies or plant new trees when specific triggers, such as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218" w:name="_wb2p4vumy7ev" w:colFirst="0" w:colLast="0"/>
      <w:bookmarkEnd w:id="218"/>
      <w:r w:rsidRPr="00B6688A">
        <w:rPr>
          <w:rFonts w:asciiTheme="majorHAnsi" w:hAnsiTheme="majorHAnsi" w:cstheme="majorHAnsi"/>
        </w:rPr>
        <w:t>Consumer Outreach and Engagement</w:t>
      </w:r>
    </w:p>
    <w:bookmarkStart w:id="219" w:name="_qfr4czi6dyv5" w:colFirst="0" w:colLast="0"/>
    <w:bookmarkEnd w:id="219"/>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220" w:name="_htvoe9jts696" w:colFirst="0" w:colLast="0"/>
      <w:bookmarkEnd w:id="220"/>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221" w:name="_qusgwuoko2er" w:colFirst="0" w:colLast="0"/>
    <w:bookmarkEnd w:id="221"/>
    <w:p w14:paraId="47ED4DAF" w14:textId="0D887051"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9726FC">
        <w:rPr>
          <w:rFonts w:asciiTheme="majorHAnsi" w:hAnsiTheme="majorHAnsi" w:cstheme="majorHAnsi"/>
        </w:rPr>
        <w:pict w14:anchorId="47ED4F79">
          <v:rect id="_x0000_i1032" style="width:0;height:1.5pt" o:hralign="center" o:hrstd="t" o:hr="t" fillcolor="#a0a0a0" stroked="f"/>
        </w:pict>
      </w:r>
    </w:p>
    <w:p w14:paraId="47ED4DB0" w14:textId="7D11621C" w:rsidR="00FB1243" w:rsidRPr="00702B45" w:rsidRDefault="007413BF" w:rsidP="00FC6659">
      <w:pPr>
        <w:pStyle w:val="Heading1"/>
        <w:pageBreakBefore/>
        <w:rPr>
          <w:rFonts w:asciiTheme="majorHAnsi" w:hAnsiTheme="majorHAnsi" w:cstheme="majorHAnsi"/>
        </w:rPr>
      </w:pPr>
      <w:bookmarkStart w:id="222" w:name="_Toc236057905"/>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222"/>
    </w:p>
    <w:p w14:paraId="60916B3F" w14:textId="45878030" w:rsidR="00853C9F" w:rsidRPr="00702B45" w:rsidRDefault="00853C9F" w:rsidP="00853C9F">
      <w:pPr>
        <w:pStyle w:val="Heading2"/>
        <w:rPr>
          <w:rFonts w:asciiTheme="majorHAnsi" w:hAnsiTheme="majorHAnsi" w:cstheme="majorHAnsi"/>
        </w:rPr>
      </w:pPr>
      <w:bookmarkStart w:id="223" w:name="_Toc236057906"/>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223"/>
    </w:p>
    <w:p w14:paraId="47ED4DB2" w14:textId="7A4D9012"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Across states, a set of converging strategies is emerging to improve insurance affordability and</w:t>
      </w:r>
      <w:r w:rsidRPr="00B6688A">
        <w:rPr>
          <w:rFonts w:asciiTheme="majorHAnsi" w:eastAsia="Calibri" w:hAnsiTheme="majorHAnsi" w:cstheme="majorHAnsi"/>
        </w:rPr>
        <w:t xml:space="preserve"> availability, centered on aligning risk reduction, risk assessment, risk communication (including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market expansion and innovation. A primary focus is 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through grant programs, tax incentives, and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tied to verified property and community-level mitigation actions. These efforts are reinforced by legislative and regulatory tools that standardize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require insurers to account for mitigation in pricing, and enable the use of forward-looking tools. States are also advancing data and transparency tools, such as requirements for insurers to disclose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 opportunities, and granular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include reporting on premiums,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Taken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224" w:name="_Toc236057907"/>
      <w:r w:rsidRPr="00702B45">
        <w:rPr>
          <w:rFonts w:asciiTheme="majorHAnsi" w:hAnsiTheme="majorHAnsi" w:cstheme="majorHAnsi"/>
        </w:rPr>
        <w:t>Section B: Supporting Mitigation Incentives</w:t>
      </w:r>
      <w:bookmarkEnd w:id="224"/>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w:t>
      </w:r>
      <w:r w:rsidRPr="00B6688A">
        <w:rPr>
          <w:rFonts w:asciiTheme="majorHAnsi" w:eastAsia="Calibri" w:hAnsiTheme="majorHAnsi" w:cstheme="majorHAnsi"/>
        </w:rPr>
        <w:lastRenderedPageBreak/>
        <w:t>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pPr>
        <w:numPr>
          <w:ilvl w:val="0"/>
          <w:numId w:val="48"/>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Alignment of insurance incentives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standards: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aligned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with other jurisdictional standards at the state and local levels. Recognizing jurisdictional differences, it was important to convene agencies, interview scientists and insurance stakeholders, and reach consensus on </w:t>
      </w:r>
      <w:r w:rsidR="001140CE">
        <w:rPr>
          <w:rFonts w:asciiTheme="majorHAnsi" w:eastAsia="Calibri" w:hAnsiTheme="majorHAnsi" w:cstheme="majorHAnsi"/>
        </w:rPr>
        <w:t>science-based home mitigation measures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also engaged with local governments as important stakeholders for inspection and certification programs and for aligning local mitigation standards. These agreed</w:t>
      </w:r>
      <w:r w:rsidR="001140CE">
        <w:rPr>
          <w:rFonts w:asciiTheme="majorHAnsi" w:eastAsia="Calibri" w:hAnsiTheme="majorHAnsi" w:cstheme="majorHAnsi"/>
        </w:rPr>
        <w:t>-</w:t>
      </w:r>
      <w:r w:rsidRPr="00B6688A">
        <w:rPr>
          <w:rFonts w:asciiTheme="majorHAnsi" w:eastAsia="Calibri" w:hAnsiTheme="majorHAnsi" w:cstheme="majorHAnsi"/>
        </w:rPr>
        <w:t>upon standards were published and implemented into insurance regulations, requiring insurers to reflect mitigation actions in pricing, resulting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regulations (</w:t>
      </w:r>
      <w:r w:rsidR="001140CE">
        <w:rPr>
          <w:rFonts w:asciiTheme="majorHAnsi" w:eastAsia="Calibri" w:hAnsiTheme="majorHAnsi" w:cstheme="majorHAnsi"/>
        </w:rPr>
        <w:t>refer to the</w:t>
      </w:r>
      <w:r w:rsidR="001140C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Flexibility in implementation: </w:t>
      </w:r>
      <w:r w:rsidR="00082CC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retained </w:t>
      </w:r>
      <w:r w:rsidR="00082CC6" w:rsidRPr="00B6688A">
        <w:rPr>
          <w:rFonts w:asciiTheme="majorHAnsi" w:eastAsia="Calibri" w:hAnsiTheme="majorHAnsi" w:cstheme="majorHAnsi"/>
        </w:rPr>
        <w:t>flexibility</w:t>
      </w:r>
      <w:r w:rsidRPr="00B6688A">
        <w:rPr>
          <w:rFonts w:asciiTheme="majorHAnsi" w:eastAsia="Calibri" w:hAnsiTheme="majorHAnsi" w:cstheme="majorHAnsi"/>
        </w:rPr>
        <w:t xml:space="preserve"> in how</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225" w:name="_Toc236057908"/>
      <w:r w:rsidRPr="00702B45">
        <w:rPr>
          <w:rFonts w:asciiTheme="majorHAnsi" w:hAnsiTheme="majorHAnsi" w:cstheme="majorHAnsi"/>
        </w:rPr>
        <w:t>Section C: Regulatory Data and Transparency Tools</w:t>
      </w:r>
      <w:bookmarkEnd w:id="225"/>
    </w:p>
    <w:p w14:paraId="47ED4F3A" w14:textId="13ED13E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HB25-1182 is an example of how to require insurers that use risk models to disclose key model information to the </w:t>
      </w:r>
      <w:r w:rsidR="005304E4" w:rsidRPr="005304E4">
        <w:rPr>
          <w:rFonts w:asciiTheme="majorHAnsi" w:eastAsia="Calibri" w:hAnsiTheme="majorHAnsi" w:cstheme="majorHAnsi"/>
        </w:rPr>
        <w:t>Colorado Division of Insurance</w:t>
      </w:r>
      <w:r w:rsidR="005304E4">
        <w:rPr>
          <w:rFonts w:asciiTheme="majorHAnsi" w:eastAsia="Calibri" w:hAnsiTheme="majorHAnsi" w:cstheme="majorHAnsi"/>
        </w:rPr>
        <w:t xml:space="preserve"> (</w:t>
      </w:r>
      <w:r w:rsidRPr="00B6688A">
        <w:rPr>
          <w:rFonts w:asciiTheme="majorHAnsi" w:eastAsia="Calibri" w:hAnsiTheme="majorHAnsi" w:cstheme="majorHAnsi"/>
        </w:rPr>
        <w:t>DOI</w:t>
      </w:r>
      <w:r w:rsidR="005304E4">
        <w:rPr>
          <w:rFonts w:asciiTheme="majorHAnsi" w:eastAsia="Calibri" w:hAnsiTheme="majorHAnsi" w:cstheme="majorHAnsi"/>
        </w:rPr>
        <w:t>)</w:t>
      </w:r>
      <w:r w:rsidRPr="00B6688A">
        <w:rPr>
          <w:rFonts w:asciiTheme="majorHAnsi" w:eastAsia="Calibri" w:hAnsiTheme="majorHAnsi" w:cstheme="majorHAnsi"/>
        </w:rPr>
        <w:t xml:space="preserv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5304E4">
        <w:rPr>
          <w:rFonts w:asciiTheme="majorHAnsi" w:eastAsia="Calibri" w:hAnsiTheme="majorHAnsi" w:cstheme="majorHAnsi"/>
        </w:rPr>
        <w:t xml:space="preserve"> and to</w:t>
      </w:r>
      <w:r w:rsidRPr="00B6688A">
        <w:rPr>
          <w:rFonts w:asciiTheme="majorHAnsi" w:eastAsia="Calibri" w:hAnsiTheme="majorHAnsi" w:cstheme="majorHAnsi"/>
        </w:rPr>
        <w:t xml:space="preserve"> provide consumers with their property’s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potential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the context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law requires insurers to account for property-specific and community-level mitigation efforts, publish available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provide policyholders with annual written notice of their risk scores and applicable discounts, along with an opportunity to challenge a risk score or the accuracy of information relied upon by the insurer.</w:t>
      </w:r>
      <w:r w:rsidR="00F20372">
        <w:rPr>
          <w:rFonts w:asciiTheme="majorHAnsi" w:eastAsia="Calibri" w:hAnsiTheme="majorHAnsi" w:cstheme="majorHAnsi"/>
        </w:rPr>
        <w:t xml:space="preserve"> </w:t>
      </w:r>
      <w:r w:rsidRPr="00B6688A">
        <w:rPr>
          <w:rFonts w:asciiTheme="majorHAnsi" w:eastAsia="Calibri" w:hAnsiTheme="majorHAnsi" w:cstheme="majorHAnsi"/>
        </w:rPr>
        <w:t>This empowers consumers to make targeted mitigation investments</w:t>
      </w:r>
      <w:r w:rsidR="00CE60E0">
        <w:rPr>
          <w:rFonts w:asciiTheme="majorHAnsi" w:eastAsia="Calibri" w:hAnsiTheme="majorHAnsi" w:cstheme="majorHAnsi"/>
        </w:rPr>
        <w:t xml:space="preserve">, including </w:t>
      </w:r>
      <w:r w:rsidRPr="00B6688A">
        <w:rPr>
          <w:rFonts w:asciiTheme="majorHAnsi" w:eastAsia="Calibri" w:hAnsiTheme="majorHAnsi" w:cstheme="majorHAnsi"/>
        </w:rPr>
        <w:t>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structural hardening, </w:t>
      </w:r>
      <w:r w:rsidR="00CE60E0">
        <w:rPr>
          <w:rFonts w:asciiTheme="majorHAnsi" w:eastAsia="Calibri" w:hAnsiTheme="majorHAnsi" w:cstheme="majorHAnsi"/>
        </w:rPr>
        <w:t xml:space="preserve">and </w:t>
      </w:r>
      <w:r w:rsidRPr="00B6688A">
        <w:rPr>
          <w:rFonts w:asciiTheme="majorHAnsi" w:eastAsia="Calibri" w:hAnsiTheme="majorHAnsi" w:cstheme="majorHAnsi"/>
        </w:rPr>
        <w:t>community designations</w:t>
      </w:r>
      <w:r w:rsidR="00CE60E0">
        <w:rPr>
          <w:rFonts w:asciiTheme="majorHAnsi" w:eastAsia="Calibri" w:hAnsiTheme="majorHAnsi" w:cstheme="majorHAnsi"/>
        </w:rPr>
        <w:t xml:space="preserve">, </w:t>
      </w:r>
      <w:r w:rsidRPr="00B6688A">
        <w:rPr>
          <w:rFonts w:asciiTheme="majorHAnsi" w:eastAsia="Calibri" w:hAnsiTheme="majorHAnsi" w:cstheme="majorHAnsi"/>
        </w:rPr>
        <w:t>with a clear understanding of the impact on their premiums.</w:t>
      </w:r>
    </w:p>
    <w:p w14:paraId="47ED4F3B" w14:textId="474AB4B7"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A standardized rate data template could systematically capture structured insurer-reported data to complement the market data collected through the NAIC H</w:t>
      </w:r>
      <w:r w:rsidR="00CE60E0">
        <w:rPr>
          <w:rFonts w:asciiTheme="majorHAnsi" w:eastAsia="Calibri" w:hAnsiTheme="majorHAnsi" w:cstheme="majorHAnsi"/>
        </w:rPr>
        <w:t xml:space="preserve">omeowners </w:t>
      </w:r>
      <w:r w:rsidRPr="00B6688A">
        <w:rPr>
          <w:rFonts w:asciiTheme="majorHAnsi" w:eastAsia="Calibri" w:hAnsiTheme="majorHAnsi" w:cstheme="majorHAnsi"/>
        </w:rPr>
        <w:t>M</w:t>
      </w:r>
      <w:r w:rsidR="00CE60E0">
        <w:rPr>
          <w:rFonts w:asciiTheme="majorHAnsi" w:eastAsia="Calibri" w:hAnsiTheme="majorHAnsi" w:cstheme="majorHAnsi"/>
        </w:rPr>
        <w:t xml:space="preserve">arket </w:t>
      </w:r>
      <w:r w:rsidRPr="00B6688A">
        <w:rPr>
          <w:rFonts w:asciiTheme="majorHAnsi" w:eastAsia="Calibri" w:hAnsiTheme="majorHAnsi" w:cstheme="majorHAnsi"/>
        </w:rPr>
        <w:t>D</w:t>
      </w:r>
      <w:r w:rsidR="00CE60E0">
        <w:rPr>
          <w:rFonts w:asciiTheme="majorHAnsi" w:eastAsia="Calibri" w:hAnsiTheme="majorHAnsi" w:cstheme="majorHAnsi"/>
        </w:rPr>
        <w:t xml:space="preserve">ata </w:t>
      </w:r>
      <w:r w:rsidRPr="00B6688A">
        <w:rPr>
          <w:rFonts w:asciiTheme="majorHAnsi" w:eastAsia="Calibri" w:hAnsiTheme="majorHAnsi" w:cstheme="majorHAnsi"/>
        </w:rPr>
        <w:t>C</w:t>
      </w:r>
      <w:r w:rsidR="00CE60E0">
        <w:rPr>
          <w:rFonts w:asciiTheme="majorHAnsi" w:eastAsia="Calibri" w:hAnsiTheme="majorHAnsi" w:cstheme="majorHAnsi"/>
        </w:rPr>
        <w:t>all</w:t>
      </w:r>
      <w:r w:rsidRPr="00B6688A">
        <w:rPr>
          <w:rFonts w:asciiTheme="majorHAnsi" w:eastAsia="Calibri" w:hAnsiTheme="majorHAnsi" w:cstheme="majorHAnsi"/>
        </w:rPr>
        <w:t>. This would give regulators a consistent, comparable view of market conditions, loss trends, and rate justifications</w:t>
      </w:r>
      <w:r w:rsidR="008A0A7B">
        <w:rPr>
          <w:rFonts w:asciiTheme="majorHAnsi" w:eastAsia="Calibri" w:hAnsiTheme="majorHAnsi" w:cstheme="majorHAnsi"/>
        </w:rPr>
        <w:t xml:space="preserve">, </w:t>
      </w:r>
      <w:r w:rsidRPr="00B6688A">
        <w:rPr>
          <w:rFonts w:asciiTheme="majorHAnsi" w:eastAsia="Calibri" w:hAnsiTheme="majorHAnsi" w:cstheme="majorHAnsi"/>
        </w:rPr>
        <w:t>reducing information asymmetry</w:t>
      </w:r>
      <w:r w:rsidR="008A0A7B">
        <w:rPr>
          <w:rFonts w:asciiTheme="majorHAnsi" w:eastAsia="Calibri" w:hAnsiTheme="majorHAnsi" w:cstheme="majorHAnsi"/>
        </w:rPr>
        <w:t xml:space="preserve"> and</w:t>
      </w:r>
      <w:r w:rsidRPr="00B6688A">
        <w:rPr>
          <w:rFonts w:asciiTheme="majorHAnsi" w:eastAsia="Calibri" w:hAnsiTheme="majorHAnsi" w:cstheme="majorHAnsi"/>
        </w:rPr>
        <w:t xml:space="preserve"> enabling more rigorous and systematic actuarial scrutiny, </w:t>
      </w:r>
      <w:r w:rsidR="000725E3">
        <w:rPr>
          <w:rFonts w:asciiTheme="majorHAnsi" w:eastAsia="Calibri" w:hAnsiTheme="majorHAnsi" w:cstheme="majorHAnsi"/>
        </w:rPr>
        <w:t>as well as</w:t>
      </w:r>
      <w:r w:rsidR="000725E3" w:rsidRPr="00B6688A">
        <w:rPr>
          <w:rFonts w:asciiTheme="majorHAnsi" w:eastAsia="Calibri" w:hAnsiTheme="majorHAnsi" w:cstheme="majorHAnsi"/>
        </w:rPr>
        <w:t xml:space="preserve"> </w:t>
      </w:r>
      <w:r w:rsidRPr="00B6688A">
        <w:rPr>
          <w:rFonts w:asciiTheme="majorHAnsi" w:eastAsia="Calibri" w:hAnsiTheme="majorHAnsi" w:cstheme="majorHAnsi"/>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226" w:name="_Toc236057909"/>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226"/>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Stakeholder engagement:</w:t>
      </w:r>
      <w:r w:rsidRPr="00B6688A">
        <w:rPr>
          <w:rFonts w:asciiTheme="majorHAnsi" w:eastAsia="Calibri" w:hAnsiTheme="majorHAnsi" w:cstheme="majorHAnsi"/>
        </w:rPr>
        <w:t xml:space="preserve"> </w:t>
      </w:r>
      <w:r w:rsidR="000956E9">
        <w:rPr>
          <w:rFonts w:asciiTheme="majorHAnsi" w:eastAsia="Calibri" w:hAnsiTheme="majorHAnsi" w:cstheme="majorHAnsi"/>
        </w:rPr>
        <w:t xml:space="preserve">The </w:t>
      </w:r>
      <w:r w:rsidRPr="00B6688A">
        <w:rPr>
          <w:rFonts w:asciiTheme="majorHAnsi" w:eastAsia="Calibri" w:hAnsiTheme="majorHAnsi" w:cstheme="majorHAnsi"/>
        </w:rPr>
        <w:t xml:space="preserve">CDI conducted town halls, convened meetings, and established working groups with different internal and external stakeholders, including consumers, consumer advocacy groups, state and local agencies, and academic and public policy researchers and experts. These engagement frameworks have provided invaluable insights into the market access challenges faced by consumers and shaped regulatory priorities. </w:t>
      </w:r>
    </w:p>
    <w:p w14:paraId="47ED4F43" w14:textId="04A65E5C"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Data collection and analysis: </w:t>
      </w:r>
      <w:r w:rsidR="004F318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has collected and analyzed policy and </w:t>
      </w:r>
      <w:r w:rsidR="004F3186">
        <w:rPr>
          <w:rFonts w:asciiTheme="majorHAnsi" w:eastAsia="Calibri" w:hAnsiTheme="majorHAnsi" w:cstheme="majorHAnsi"/>
        </w:rPr>
        <w:t>ZIP</w:t>
      </w:r>
      <w:r w:rsidR="006A33A5">
        <w:rPr>
          <w:rFonts w:asciiTheme="majorHAnsi" w:eastAsia="Calibri" w:hAnsiTheme="majorHAnsi" w:cstheme="majorHAnsi"/>
        </w:rPr>
        <w:t>-</w:t>
      </w:r>
      <w:r w:rsidRPr="00B6688A">
        <w:rPr>
          <w:rFonts w:asciiTheme="majorHAnsi" w:eastAsia="Calibri" w:hAnsiTheme="majorHAnsi" w:cstheme="majorHAnsi"/>
        </w:rPr>
        <w:t>code</w:t>
      </w:r>
      <w:r w:rsidR="004F3186">
        <w:rPr>
          <w:rFonts w:asciiTheme="majorHAnsi" w:eastAsia="Calibri" w:hAnsiTheme="majorHAnsi" w:cstheme="majorHAnsi"/>
        </w:rPr>
        <w:t>-</w:t>
      </w:r>
      <w:r w:rsidRPr="00B6688A">
        <w:rPr>
          <w:rFonts w:asciiTheme="majorHAnsi" w:eastAsia="Calibri" w:hAnsiTheme="majorHAnsi" w:cstheme="majorHAnsi"/>
        </w:rPr>
        <w:t>level data on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w:t>
      </w:r>
      <w:r w:rsidR="00C82312">
        <w:rPr>
          <w:rFonts w:asciiTheme="majorHAnsi" w:eastAsia="Calibri" w:hAnsiTheme="majorHAnsi" w:cstheme="majorHAnsi"/>
        </w:rPr>
        <w:t>P</w:t>
      </w:r>
      <w:r w:rsidRPr="00B6688A">
        <w:rPr>
          <w:rFonts w:asciiTheme="majorHAnsi" w:eastAsia="Calibri" w:hAnsiTheme="majorHAnsi" w:cstheme="majorHAnsi"/>
        </w:rPr>
        <w:t>lan policies in the residential market</w:t>
      </w:r>
      <w:r w:rsidR="004F3186">
        <w:rPr>
          <w:rFonts w:asciiTheme="majorHAnsi" w:eastAsia="Calibri" w:hAnsiTheme="majorHAnsi" w:cstheme="majorHAnsi"/>
        </w:rPr>
        <w:t>,</w:t>
      </w:r>
      <w:r w:rsidRPr="00B6688A">
        <w:rPr>
          <w:rFonts w:asciiTheme="majorHAnsi" w:eastAsia="Calibri" w:hAnsiTheme="majorHAnsi" w:cstheme="majorHAnsi"/>
        </w:rPr>
        <w:t xml:space="preserve"> as well as on </w:t>
      </w:r>
      <w:r w:rsidR="004F3186" w:rsidRPr="00B6688A">
        <w:rPr>
          <w:rFonts w:asciiTheme="majorHAnsi" w:eastAsia="Calibri" w:hAnsiTheme="majorHAnsi" w:cstheme="majorHAnsi"/>
        </w:rPr>
        <w:t>wildfire</w:t>
      </w:r>
      <w:r w:rsidR="004F3186" w:rsidRPr="00B6688A">
        <w:rPr>
          <w:rFonts w:asciiTheme="majorHAnsi" w:eastAsia="Calibri" w:hAnsiTheme="majorHAnsi" w:cstheme="majorHAnsi"/>
        </w:rPr>
        <w:fldChar w:fldCharType="begin"/>
      </w:r>
      <w:r w:rsidR="004F3186" w:rsidRPr="00B6688A">
        <w:rPr>
          <w:rFonts w:asciiTheme="majorHAnsi" w:eastAsia="Calibri" w:hAnsiTheme="majorHAnsi" w:cstheme="majorHAnsi"/>
        </w:rPr>
        <w:instrText xml:space="preserve"> XE "</w:instrText>
      </w:r>
      <w:r w:rsidR="004F3186" w:rsidRPr="00B6688A">
        <w:rPr>
          <w:rFonts w:asciiTheme="majorHAnsi" w:hAnsiTheme="majorHAnsi" w:cstheme="majorHAnsi"/>
        </w:rPr>
        <w:instrText>Wildfire"</w:instrText>
      </w:r>
      <w:r w:rsidR="004F3186" w:rsidRPr="00B6688A">
        <w:rPr>
          <w:rFonts w:asciiTheme="majorHAnsi" w:eastAsia="Calibri" w:hAnsiTheme="majorHAnsi" w:cstheme="majorHAnsi"/>
        </w:rPr>
        <w:instrText xml:space="preserve"> </w:instrText>
      </w:r>
      <w:r w:rsidR="004F3186" w:rsidRPr="00B6688A">
        <w:rPr>
          <w:rFonts w:asciiTheme="majorHAnsi" w:eastAsia="Calibri" w:hAnsiTheme="majorHAnsi" w:cstheme="majorHAnsi"/>
        </w:rPr>
        <w:fldChar w:fldCharType="end"/>
      </w:r>
      <w:r w:rsidR="004F3186">
        <w:rPr>
          <w:rFonts w:asciiTheme="majorHAnsi" w:eastAsia="Calibri" w:hAnsiTheme="majorHAnsi" w:cstheme="majorHAnsi"/>
        </w:rPr>
        <w:t>-</w:t>
      </w:r>
      <w:r w:rsidRPr="00B6688A">
        <w:rPr>
          <w:rFonts w:asciiTheme="majorHAnsi" w:eastAsia="Calibri" w:hAnsiTheme="majorHAnsi" w:cstheme="majorHAnsi"/>
        </w:rPr>
        <w:t>specific losses to identify areas with constrained availability and inform targeted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w:t>
      </w:r>
      <w:r w:rsidR="004F3186">
        <w:rPr>
          <w:rFonts w:asciiTheme="majorHAnsi" w:eastAsia="Calibri" w:hAnsiTheme="majorHAnsi" w:cstheme="majorHAnsi"/>
        </w:rPr>
        <w:t xml:space="preserve">The </w:t>
      </w:r>
      <w:r w:rsidRPr="00B6688A">
        <w:rPr>
          <w:rFonts w:asciiTheme="majorHAnsi" w:eastAsia="Calibri" w:hAnsiTheme="majorHAnsi" w:cstheme="majorHAnsi"/>
        </w:rPr>
        <w:t xml:space="preserve">CDI has also expanded </w:t>
      </w:r>
      <w:r w:rsidR="00D14C91">
        <w:rPr>
          <w:rFonts w:asciiTheme="majorHAnsi" w:eastAsia="Calibri" w:hAnsiTheme="majorHAnsi" w:cstheme="majorHAnsi"/>
        </w:rPr>
        <w:t>its data collection efforts to include reinsurance information (refer to the</w:t>
      </w:r>
      <w:r w:rsidR="004F3186" w:rsidRPr="00B6688A">
        <w:rPr>
          <w:rFonts w:asciiTheme="majorHAnsi" w:eastAsia="Calibri" w:hAnsiTheme="majorHAnsi" w:cstheme="majorHAnsi"/>
        </w:rPr>
        <w:t xml:space="preserve"> </w:t>
      </w:r>
      <w:r w:rsidR="00D14C91">
        <w:rPr>
          <w:rFonts w:asciiTheme="majorHAnsi" w:eastAsia="Calibri" w:hAnsiTheme="majorHAnsi" w:cstheme="majorHAnsi"/>
        </w:rPr>
        <w:t>A</w:t>
      </w:r>
      <w:r w:rsidRPr="00B6688A">
        <w:rPr>
          <w:rFonts w:asciiTheme="majorHAnsi" w:eastAsia="Calibri" w:hAnsiTheme="majorHAnsi" w:cstheme="majorHAnsi"/>
        </w:rPr>
        <w:t xml:space="preserve">dopted </w:t>
      </w:r>
      <w:r w:rsidR="00D14C91">
        <w:rPr>
          <w:rFonts w:asciiTheme="majorHAnsi" w:eastAsia="Calibri" w:hAnsiTheme="majorHAnsi" w:cstheme="majorHAnsi"/>
        </w:rPr>
        <w:t>L</w:t>
      </w:r>
      <w:r w:rsidRPr="00B6688A">
        <w:rPr>
          <w:rFonts w:asciiTheme="majorHAnsi" w:eastAsia="Calibri" w:hAnsiTheme="majorHAnsi" w:cstheme="majorHAnsi"/>
        </w:rPr>
        <w:t>egislation</w:t>
      </w:r>
      <w:r w:rsidR="00D14C91">
        <w:rPr>
          <w:rFonts w:asciiTheme="majorHAnsi" w:eastAsia="Calibri" w:hAnsiTheme="majorHAnsi" w:cstheme="majorHAnsi"/>
        </w:rPr>
        <w:t xml:space="preserve"> Highlights </w:t>
      </w:r>
      <w:r w:rsidR="00F12301">
        <w:rPr>
          <w:rFonts w:asciiTheme="majorHAnsi" w:eastAsia="Calibri" w:hAnsiTheme="majorHAnsi" w:cstheme="majorHAnsi"/>
        </w:rPr>
        <w:t>section on page 72</w:t>
      </w:r>
      <w:r w:rsidRPr="00B6688A">
        <w:rPr>
          <w:rFonts w:asciiTheme="majorHAnsi" w:eastAsia="Calibri" w:hAnsiTheme="majorHAnsi" w:cstheme="majorHAnsi"/>
        </w:rPr>
        <w:t xml:space="preserve">). </w:t>
      </w:r>
    </w:p>
    <w:p w14:paraId="47ED4F44" w14:textId="7D7EA22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Regulatory </w:t>
      </w:r>
      <w:r w:rsidR="00F12301">
        <w:rPr>
          <w:rFonts w:asciiTheme="majorHAnsi" w:eastAsia="Calibri" w:hAnsiTheme="majorHAnsi" w:cstheme="majorHAnsi"/>
          <w:b/>
          <w:bCs/>
        </w:rPr>
        <w:t>m</w:t>
      </w:r>
      <w:r w:rsidRPr="00B6688A">
        <w:rPr>
          <w:rFonts w:asciiTheme="majorHAnsi" w:eastAsia="Calibri" w:hAnsiTheme="majorHAnsi" w:cstheme="majorHAnsi"/>
          <w:b/>
          <w:bCs/>
        </w:rPr>
        <w:t>odernization:</w:t>
      </w:r>
      <w:r w:rsidRPr="00B6688A">
        <w:rPr>
          <w:rFonts w:asciiTheme="majorHAnsi" w:eastAsia="Calibri" w:hAnsiTheme="majorHAnsi" w:cstheme="majorHAnsi"/>
        </w:rPr>
        <w:t xml:space="preserve"> Following the engagement and data analysis efforts, </w:t>
      </w:r>
      <w:r w:rsidR="00F12301">
        <w:rPr>
          <w:rFonts w:asciiTheme="majorHAnsi" w:eastAsia="Calibri" w:hAnsiTheme="majorHAnsi" w:cstheme="majorHAnsi"/>
        </w:rPr>
        <w:t>t</w:t>
      </w:r>
      <w:r w:rsidR="004F3186">
        <w:rPr>
          <w:rFonts w:asciiTheme="majorHAnsi" w:eastAsia="Calibri" w:hAnsiTheme="majorHAnsi" w:cstheme="majorHAnsi"/>
        </w:rPr>
        <w:t xml:space="preserve">he </w:t>
      </w:r>
      <w:r w:rsidRPr="00B6688A">
        <w:rPr>
          <w:rFonts w:asciiTheme="majorHAnsi" w:eastAsia="Calibri" w:hAnsiTheme="majorHAnsi" w:cstheme="majorHAnsi"/>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pPr>
        <w:numPr>
          <w:ilvl w:val="0"/>
          <w:numId w:val="53"/>
        </w:numPr>
        <w:spacing w:after="0" w:line="276" w:lineRule="auto"/>
        <w:jc w:val="both"/>
        <w:rPr>
          <w:rFonts w:asciiTheme="majorHAnsi" w:eastAsia="Calibri" w:hAnsiTheme="majorHAnsi" w:cstheme="majorHAnsi"/>
        </w:rPr>
      </w:pPr>
      <w:hyperlink r:id="rId263">
        <w:r w:rsidRPr="00B6688A">
          <w:rPr>
            <w:rFonts w:asciiTheme="majorHAnsi" w:eastAsia="Calibri" w:hAnsiTheme="majorHAnsi" w:cstheme="majorHAnsi"/>
            <w:color w:val="0000FF"/>
            <w:u w:val="single"/>
          </w:rPr>
          <w:t>Intervenor transparency reforms</w:t>
        </w:r>
      </w:hyperlink>
      <w:r w:rsidRPr="00B6688A">
        <w:rPr>
          <w:rFonts w:asciiTheme="majorHAnsi" w:eastAsia="Calibri" w:hAnsiTheme="majorHAnsi" w:cstheme="majorHAnsi"/>
        </w:rPr>
        <w:t xml:space="preserve"> to increase accountability in the rate-making process. </w:t>
      </w:r>
    </w:p>
    <w:p w14:paraId="47ED4F46" w14:textId="12F00E1C" w:rsidR="00FB1243" w:rsidRPr="00B6688A" w:rsidRDefault="00FB1243">
      <w:pPr>
        <w:numPr>
          <w:ilvl w:val="0"/>
          <w:numId w:val="53"/>
        </w:numPr>
        <w:spacing w:after="0" w:line="276" w:lineRule="auto"/>
        <w:jc w:val="both"/>
        <w:rPr>
          <w:rFonts w:asciiTheme="majorHAnsi" w:eastAsia="Calibri" w:hAnsiTheme="majorHAnsi" w:cstheme="majorHAnsi"/>
        </w:rPr>
      </w:pPr>
      <w:hyperlink r:id="rId264">
        <w:r w:rsidRPr="00B6688A">
          <w:rPr>
            <w:rFonts w:asciiTheme="majorHAnsi" w:eastAsia="Calibri" w:hAnsiTheme="majorHAnsi" w:cstheme="majorHAnsi"/>
            <w:color w:val="0000FF"/>
            <w:u w:val="single"/>
          </w:rPr>
          <w:t>Modernization of the FAIR Plan</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5">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Introduction of </w:t>
      </w:r>
      <w:hyperlink r:id="rId266">
        <w:r w:rsidR="00FB1243" w:rsidRPr="00B6688A">
          <w:rPr>
            <w:rFonts w:asciiTheme="majorHAnsi" w:eastAsia="Calibri" w:hAnsiTheme="majorHAnsi" w:cstheme="majorHAnsi"/>
            <w:color w:val="0000FF"/>
            <w:u w:val="single"/>
          </w:rPr>
          <w:t>catastrophe modeling</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and </w:t>
      </w:r>
      <w:hyperlink r:id="rId267">
        <w:r w:rsidR="00FB1243" w:rsidRPr="00B6688A">
          <w:rPr>
            <w:rFonts w:asciiTheme="majorHAnsi" w:eastAsia="Calibri" w:hAnsiTheme="majorHAnsi" w:cstheme="majorHAnsi"/>
            <w:color w:val="0000FF"/>
            <w:u w:val="single"/>
          </w:rPr>
          <w:t>net cost of reinsurance</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in rate-making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68">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Track impact of reforms on insurance availability:</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is monitoring market insurance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to track insurer participation, geographic availability, and affordability trends.</w:t>
      </w:r>
    </w:p>
    <w:p w14:paraId="47ED4F4D" w14:textId="2380F824"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Incorporation of compl</w:t>
      </w:r>
      <w:r w:rsidR="008B0313">
        <w:rPr>
          <w:rFonts w:asciiTheme="majorHAnsi" w:eastAsia="Calibri" w:hAnsiTheme="majorHAnsi" w:cstheme="majorHAnsi"/>
          <w:b/>
          <w:bCs/>
        </w:rPr>
        <w:t>e</w:t>
      </w:r>
      <w:r w:rsidRPr="00B6688A">
        <w:rPr>
          <w:rFonts w:asciiTheme="majorHAnsi" w:eastAsia="Calibri" w:hAnsiTheme="majorHAnsi" w:cstheme="majorHAnsi"/>
          <w:b/>
          <w:bCs/>
        </w:rPr>
        <w:t>mentary efforts: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building on other departmental and </w:t>
      </w:r>
      <w:hyperlink r:id="rId269">
        <w:r w:rsidR="00FB1243" w:rsidRPr="00B6688A">
          <w:rPr>
            <w:rFonts w:asciiTheme="majorHAnsi" w:eastAsia="Calibri" w:hAnsiTheme="majorHAnsi" w:cstheme="majorHAnsi"/>
            <w:color w:val="0000FF"/>
            <w:u w:val="single"/>
          </w:rPr>
          <w:t>state</w:t>
        </w:r>
        <w:r w:rsidR="008B0313">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level initiatives</w:t>
        </w:r>
      </w:hyperlink>
      <w:r w:rsidRPr="00B6688A">
        <w:rPr>
          <w:rFonts w:asciiTheme="majorHAnsi" w:eastAsia="Calibri" w:hAnsiTheme="majorHAnsi" w:cstheme="majorHAnsi"/>
        </w:rPr>
        <w:t xml:space="preserve"> and regulations that compl</w:t>
      </w:r>
      <w:r w:rsidR="008B0313">
        <w:rPr>
          <w:rFonts w:asciiTheme="majorHAnsi" w:eastAsia="Calibri" w:hAnsiTheme="majorHAnsi" w:cstheme="majorHAnsi"/>
        </w:rPr>
        <w:t>e</w:t>
      </w:r>
      <w:r w:rsidRPr="00B6688A">
        <w:rPr>
          <w:rFonts w:asciiTheme="majorHAnsi" w:eastAsia="Calibri" w:hAnsiTheme="majorHAnsi" w:cstheme="majorHAnsi"/>
        </w:rPr>
        <w:t>ment these market access reforms, such as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mitigation grant programs, and </w:t>
      </w:r>
      <w:hyperlink r:id="rId270">
        <w:r w:rsidR="00FB1243" w:rsidRPr="00B6688A">
          <w:rPr>
            <w:rFonts w:asciiTheme="majorHAnsi" w:eastAsia="Calibri" w:hAnsiTheme="majorHAnsi" w:cstheme="majorHAnsi"/>
            <w:color w:val="0000FF"/>
            <w:u w:val="single"/>
          </w:rPr>
          <w:t>open data commons</w:t>
        </w:r>
      </w:hyperlink>
      <w:r w:rsidRPr="00B6688A">
        <w:rPr>
          <w:rFonts w:asciiTheme="majorHAnsi" w:eastAsia="Calibri" w:hAnsiTheme="majorHAnsi" w:cstheme="majorHAnsi"/>
        </w:rPr>
        <w:t xml:space="preserve">. </w:t>
      </w:r>
    </w:p>
    <w:p w14:paraId="47ED4F4E" w14:textId="04DC9014" w:rsidR="00FB1243" w:rsidRPr="00B6688A" w:rsidRDefault="007413BF">
      <w:pPr>
        <w:numPr>
          <w:ilvl w:val="1"/>
          <w:numId w:val="55"/>
        </w:numPr>
        <w:spacing w:after="0" w:line="276" w:lineRule="auto"/>
        <w:ind w:left="1440"/>
        <w:jc w:val="both"/>
        <w:rPr>
          <w:rFonts w:asciiTheme="majorHAnsi" w:eastAsia="Calibri" w:hAnsiTheme="majorHAnsi" w:cstheme="majorHAnsi"/>
          <w:b/>
          <w:bCs/>
        </w:rPr>
      </w:pPr>
      <w:r w:rsidRPr="00B6688A">
        <w:rPr>
          <w:rFonts w:asciiTheme="majorHAnsi" w:eastAsia="Calibri" w:hAnsiTheme="majorHAnsi" w:cstheme="majorHAnsi"/>
          <w:b/>
          <w:bCs/>
        </w:rPr>
        <w:t>Capacity 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actively building and sustaining internal expertise by investing in staffing, training, and analytical tools. This includes using NAIC-led workshops and other resources to enhance internal capabilities and technical knowledge </w:t>
      </w:r>
      <w:r w:rsidR="005E5660">
        <w:rPr>
          <w:rFonts w:asciiTheme="majorHAnsi" w:eastAsia="Calibri" w:hAnsiTheme="majorHAnsi" w:cstheme="majorHAnsi"/>
        </w:rPr>
        <w:t>for reviewing models, analyzing market data, and overseeing</w:t>
      </w:r>
      <w:r w:rsidRPr="00B6688A">
        <w:rPr>
          <w:rFonts w:asciiTheme="majorHAnsi" w:eastAsia="Calibri" w:hAnsiTheme="majorHAnsi" w:cstheme="majorHAnsi"/>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Catalyzing nature-based, parametric, and microinsurance solutions for local governments and nonprofit organizations to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provide innovative mechanisms to access coverage.</w:t>
      </w:r>
    </w:p>
    <w:p w14:paraId="47ED4F51" w14:textId="5E1909EC"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Establishment of working groups and recommendations: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established the </w:t>
      </w:r>
      <w:hyperlink r:id="rId271">
        <w:r w:rsidR="00FB1243" w:rsidRPr="00B6688A">
          <w:rPr>
            <w:rFonts w:asciiTheme="majorHAnsi" w:eastAsia="Calibri" w:hAnsiTheme="majorHAnsi" w:cstheme="majorHAnsi"/>
            <w:color w:val="0000FF"/>
            <w:u w:val="single"/>
          </w:rPr>
          <w:t>climate insurance</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working group</w:t>
        </w:r>
      </w:hyperlink>
      <w:r w:rsidRPr="00B6688A">
        <w:rPr>
          <w:rFonts w:asciiTheme="majorHAnsi" w:eastAsia="Calibri" w:hAnsiTheme="majorHAnsi" w:cstheme="majorHAnsi"/>
        </w:rPr>
        <w:t xml:space="preserve"> to bring together cross-sector expertise and </w:t>
      </w:r>
      <w:r w:rsidRPr="00B6688A">
        <w:rPr>
          <w:rFonts w:asciiTheme="majorHAnsi" w:eastAsia="Calibri" w:hAnsiTheme="majorHAnsi" w:cstheme="majorHAnsi"/>
        </w:rPr>
        <w:lastRenderedPageBreak/>
        <w:t xml:space="preserve">produce </w:t>
      </w:r>
      <w:hyperlink r:id="rId272">
        <w:r w:rsidR="00FB1243" w:rsidRPr="00B6688A">
          <w:rPr>
            <w:rFonts w:asciiTheme="majorHAnsi" w:eastAsia="Calibri" w:hAnsiTheme="majorHAnsi" w:cstheme="majorHAnsi"/>
            <w:color w:val="0000FF"/>
            <w:u w:val="single"/>
          </w:rPr>
          <w:t xml:space="preserve">reports </w:t>
        </w:r>
        <w:r w:rsidR="00BC53B2">
          <w:rPr>
            <w:rFonts w:asciiTheme="majorHAnsi" w:eastAsia="Calibri" w:hAnsiTheme="majorHAnsi" w:cstheme="majorHAnsi"/>
            <w:color w:val="0000FF"/>
            <w:u w:val="single"/>
          </w:rPr>
          <w:t>and</w:t>
        </w:r>
        <w:r w:rsidR="00FB1243" w:rsidRPr="00B6688A">
          <w:rPr>
            <w:rFonts w:asciiTheme="majorHAnsi" w:eastAsia="Calibri" w:hAnsiTheme="majorHAnsi" w:cstheme="majorHAnsi"/>
            <w:color w:val="0000FF"/>
            <w:u w:val="single"/>
          </w:rPr>
          <w:t xml:space="preserve"> recommendations</w:t>
        </w:r>
      </w:hyperlink>
      <w:r w:rsidRPr="00B6688A">
        <w:rPr>
          <w:rFonts w:asciiTheme="majorHAnsi" w:eastAsia="Calibri" w:hAnsiTheme="majorHAnsi" w:cstheme="majorHAnsi"/>
        </w:rPr>
        <w:t xml:space="preserve"> that inform innovative insurance mechanisms and research questions.</w:t>
      </w:r>
    </w:p>
    <w:p w14:paraId="47ED4F52" w14:textId="3C709349"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Research to identify protection gaps</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developed and leveraged research reports (e.g., </w:t>
      </w:r>
      <w:hyperlink r:id="rId273">
        <w:r w:rsidR="00FB1243" w:rsidRPr="00B6688A">
          <w:rPr>
            <w:rFonts w:asciiTheme="majorHAnsi" w:eastAsia="Calibri" w:hAnsiTheme="majorHAnsi" w:cstheme="majorHAnsi"/>
            <w:color w:val="0000FF"/>
            <w:u w:val="single"/>
          </w:rPr>
          <w:t xml:space="preserve">protection gap study for </w:t>
        </w:r>
        <w:r w:rsidR="008B0313">
          <w:rPr>
            <w:rFonts w:asciiTheme="majorHAnsi" w:eastAsia="Calibri" w:hAnsiTheme="majorHAnsi" w:cstheme="majorHAnsi"/>
            <w:color w:val="0000FF"/>
            <w:u w:val="single"/>
          </w:rPr>
          <w:t>e</w:t>
        </w:r>
        <w:r w:rsidR="00FB1243" w:rsidRPr="00B6688A">
          <w:rPr>
            <w:rFonts w:asciiTheme="majorHAnsi" w:eastAsia="Calibri" w:hAnsiTheme="majorHAnsi" w:cstheme="majorHAnsi"/>
            <w:color w:val="0000FF"/>
            <w:u w:val="single"/>
          </w:rPr>
          <w:t xml:space="preserve">xtreme </w:t>
        </w:r>
        <w:r w:rsidR="008B0313">
          <w:rPr>
            <w:rFonts w:asciiTheme="majorHAnsi" w:eastAsia="Calibri" w:hAnsiTheme="majorHAnsi" w:cstheme="majorHAnsi"/>
            <w:color w:val="0000FF"/>
            <w:u w:val="single"/>
          </w:rPr>
          <w:t>h</w:t>
        </w:r>
        <w:r w:rsidR="00FB1243" w:rsidRPr="00B6688A">
          <w:rPr>
            <w:rFonts w:asciiTheme="majorHAnsi" w:eastAsia="Calibri" w:hAnsiTheme="majorHAnsi" w:cstheme="majorHAnsi"/>
            <w:color w:val="0000FF"/>
            <w:u w:val="single"/>
          </w:rPr>
          <w:t>eat</w:t>
        </w:r>
      </w:hyperlink>
      <w:r w:rsidRPr="00B6688A">
        <w:rPr>
          <w:rFonts w:asciiTheme="majorHAnsi" w:eastAsia="Calibri" w:hAnsiTheme="majorHAnsi" w:cstheme="majorHAnsi"/>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227" w:name="_Toc236057910"/>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227"/>
      <w:r w:rsidRPr="00B6688A">
        <w:rPr>
          <w:rFonts w:asciiTheme="majorHAnsi" w:hAnsiTheme="majorHAnsi" w:cstheme="majorHAnsi"/>
        </w:rPr>
        <w:t xml:space="preserve"> </w:t>
      </w:r>
    </w:p>
    <w:p w14:paraId="47ED4F5B" w14:textId="3A2B139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Insurance</w:t>
      </w:r>
      <w:r w:rsidR="00FB31CC">
        <w:rPr>
          <w:rFonts w:asciiTheme="majorHAnsi" w:eastAsia="Calibri" w:hAnsiTheme="majorHAnsi" w:cstheme="majorHAnsi"/>
        </w:rPr>
        <w:t xml:space="preserve"> (DOI)</w:t>
      </w:r>
      <w:r w:rsidRPr="00B6688A">
        <w:rPr>
          <w:rFonts w:asciiTheme="majorHAnsi" w:eastAsia="Calibri" w:hAnsiTheme="majorHAnsi" w:cstheme="majorHAnsi"/>
        </w:rPr>
        <w:t xml:space="preserve"> is engaged in several cross-agency partnerships to address the state's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challenges through coordinated, integrated action. The DOI participates in the Colorado Fire Commission Insurance Subcommittee, which </w:t>
      </w:r>
      <w:r w:rsidR="008F7BAE" w:rsidRPr="00B6688A">
        <w:rPr>
          <w:rFonts w:asciiTheme="majorHAnsi" w:eastAsia="Calibri" w:hAnsiTheme="majorHAnsi" w:cstheme="majorHAnsi"/>
        </w:rPr>
        <w:t>establishes a formal mechanism to integrate insurance market expertise and regulatory perspectives into the state's broader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7BAE" w:rsidRPr="00B6688A">
        <w:rPr>
          <w:rFonts w:asciiTheme="majorHAnsi" w:eastAsia="Calibri" w:hAnsiTheme="majorHAnsi" w:cstheme="majorHAnsi"/>
        </w:rPr>
        <w:t xml:space="preserve"> policy framework, ensuring that coverage availability and affordability considerations inform</w:t>
      </w:r>
      <w:r w:rsidRPr="00B6688A">
        <w:rPr>
          <w:rFonts w:asciiTheme="majorHAnsi" w:eastAsia="Calibri" w:hAnsiTheme="majorHAnsi" w:cstheme="majorHAnsi"/>
        </w:rPr>
        <w:t xml:space="preserve"> wildfire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prioritization and investment decisions.</w:t>
      </w:r>
      <w:r w:rsidR="008F7BA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w:t>
      </w:r>
      <w:r w:rsidRPr="00B6688A">
        <w:rPr>
          <w:rFonts w:asciiTheme="majorHAnsi" w:eastAsia="Calibri" w:hAnsiTheme="majorHAnsi" w:cstheme="majorHAnsi"/>
        </w:rPr>
        <w:lastRenderedPageBreak/>
        <w:t>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These partnerships are also translating cross-sector knowledge into concrete policy and market solutions that no single agency could achieve on its own. The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Commons Pilot project (now named </w:t>
      </w:r>
      <w:r w:rsidR="002C5897">
        <w:rPr>
          <w:rFonts w:asciiTheme="majorHAnsi" w:eastAsia="Calibri" w:hAnsiTheme="majorHAnsi" w:cstheme="majorHAnsi"/>
        </w:rPr>
        <w:t xml:space="preserve">the </w:t>
      </w:r>
      <w:r w:rsidRPr="00B6688A">
        <w:rPr>
          <w:rFonts w:asciiTheme="majorHAnsi" w:eastAsia="Calibri" w:hAnsiTheme="majorHAnsi" w:cstheme="majorHAnsi"/>
        </w:rPr>
        <w:t>Urban Wildfire Data Exchange) is a public-private initiative that systematically collects and stores previously inaccessible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suppression data</w:t>
      </w:r>
      <w:r w:rsidR="001B29A0" w:rsidRPr="00B6688A">
        <w:rPr>
          <w:rFonts w:asciiTheme="majorHAnsi" w:eastAsia="Calibri" w:hAnsiTheme="majorHAnsi" w:cstheme="majorHAnsi"/>
        </w:rPr>
        <w:t>.</w:t>
      </w:r>
      <w:r w:rsidRPr="00B6688A">
        <w:rPr>
          <w:rFonts w:asciiTheme="majorHAnsi" w:eastAsia="Calibri" w:hAnsiTheme="majorHAnsi" w:cstheme="majorHAnsi"/>
        </w:rPr>
        <w:t xml:space="preserv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one of seven states participating in the pilot, which is designed to address a core market challenge: insurers lack the data </w:t>
      </w:r>
      <w:r w:rsidR="001B29A0" w:rsidRPr="00B6688A">
        <w:rPr>
          <w:rFonts w:asciiTheme="majorHAnsi" w:eastAsia="Calibri" w:hAnsiTheme="majorHAnsi" w:cstheme="majorHAnsi"/>
        </w:rPr>
        <w:t>needed to quantify the benefits</w:t>
      </w:r>
      <w:r w:rsidRPr="00B6688A">
        <w:rPr>
          <w:rFonts w:asciiTheme="majorHAnsi" w:eastAsia="Calibri" w:hAnsiTheme="majorHAnsi" w:cstheme="majorHAnsi"/>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pPr>
        <w:spacing w:after="240"/>
        <w:jc w:val="both"/>
        <w:rPr>
          <w:rFonts w:asciiTheme="majorHAnsi" w:eastAsia="Calibri" w:hAnsiTheme="majorHAnsi" w:cstheme="majorHAnsi"/>
        </w:rPr>
      </w:pPr>
      <w:r w:rsidRPr="00B6688A">
        <w:rPr>
          <w:rFonts w:asciiTheme="majorHAnsi" w:eastAsia="Calibri" w:hAnsiTheme="majorHAnsi" w:cstheme="majorHAnsi"/>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228" w:name="_Toc236057911"/>
      <w:r w:rsidRPr="00702B45">
        <w:rPr>
          <w:rFonts w:asciiTheme="majorHAnsi" w:hAnsiTheme="majorHAnsi" w:cstheme="majorHAnsi"/>
        </w:rPr>
        <w:lastRenderedPageBreak/>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228"/>
    </w:p>
    <w:p w14:paraId="47ED4F65" w14:textId="612CC26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Although there is no consensus on the definition of insurance literacy or how to measure it, most would agree that consumers know less than they should to effectively function in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Recent research</w:t>
      </w:r>
      <w:r w:rsidRPr="00B6688A">
        <w:rPr>
          <w:rFonts w:asciiTheme="majorHAnsi" w:eastAsia="Calibri" w:hAnsiTheme="majorHAnsi" w:cstheme="majorHAnsi"/>
          <w:vertAlign w:val="superscript"/>
        </w:rPr>
        <w:footnoteReference w:id="152"/>
      </w:r>
      <w:r w:rsidRPr="00B6688A">
        <w:rPr>
          <w:rFonts w:asciiTheme="majorHAnsi" w:eastAsia="Calibri" w:hAnsiTheme="majorHAnsi" w:cstheme="majorHAnsi"/>
        </w:rPr>
        <w:t xml:space="preserve"> indicates that consumers are unlikely to </w:t>
      </w:r>
      <w:r w:rsidR="008A79B3" w:rsidRPr="00B6688A">
        <w:rPr>
          <w:rFonts w:asciiTheme="majorHAnsi" w:eastAsia="Calibri" w:hAnsiTheme="majorHAnsi" w:cstheme="majorHAnsi"/>
        </w:rPr>
        <w:t>read policy language and understand its</w:t>
      </w:r>
      <w:r w:rsidRPr="00B6688A">
        <w:rPr>
          <w:rFonts w:asciiTheme="majorHAnsi" w:eastAsia="Calibri" w:hAnsiTheme="majorHAnsi" w:cstheme="majorHAnsi"/>
        </w:rPr>
        <w:t xml:space="preserve"> implications for their coverage.</w:t>
      </w:r>
    </w:p>
    <w:p w14:paraId="47ED4F66" w14:textId="6FDF9D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than one-half of states</w:t>
      </w:r>
      <w:r w:rsidRPr="00B6688A">
        <w:rPr>
          <w:rFonts w:asciiTheme="majorHAnsi" w:eastAsia="Calibri" w:hAnsiTheme="majorHAnsi" w:cstheme="majorHAnsi"/>
          <w:vertAlign w:val="superscript"/>
        </w:rPr>
        <w:footnoteReference w:id="153"/>
      </w:r>
      <w:r w:rsidRPr="00B6688A">
        <w:rPr>
          <w:rFonts w:asciiTheme="majorHAnsi" w:eastAsia="Calibri" w:hAnsiTheme="majorHAnsi" w:cstheme="majorHAnsi"/>
        </w:rPr>
        <w:t xml:space="preserve"> require that financial education be taught in public schools, and insurance content is often a component of financial education. In 2024, the NAIC endorsed a mandatory financial education course as a prerequisite to high school graduation, asserting, in part, that “</w:t>
      </w:r>
      <w:r w:rsidR="008A70B4">
        <w:rPr>
          <w:rFonts w:asciiTheme="majorHAnsi" w:eastAsia="Calibri" w:hAnsiTheme="majorHAnsi" w:cstheme="majorHAnsi"/>
        </w:rPr>
        <w:t>s</w:t>
      </w:r>
      <w:r w:rsidRPr="00B6688A">
        <w:rPr>
          <w:rFonts w:asciiTheme="majorHAnsi" w:eastAsia="Calibri" w:hAnsiTheme="majorHAnsi" w:cstheme="majorHAnsi"/>
        </w:rPr>
        <w:t>tate insurance regulators are uniquely positioned to offer expertise in identifying key insurance concepts and skills to be included in the curriculum of a mandated (high school) course.”</w:t>
      </w:r>
      <w:r w:rsidR="00186A41" w:rsidRPr="00B6688A">
        <w:rPr>
          <w:rStyle w:val="FootnoteReference"/>
          <w:rFonts w:asciiTheme="majorHAnsi" w:eastAsia="Calibri" w:hAnsiTheme="majorHAnsi" w:cstheme="majorHAnsi"/>
        </w:rPr>
        <w:footnoteReference w:id="154"/>
      </w:r>
      <w:r w:rsidRPr="00B6688A">
        <w:rPr>
          <w:rFonts w:asciiTheme="majorHAnsi" w:eastAsia="Calibri" w:hAnsiTheme="majorHAnsi" w:cstheme="majorHAnsi"/>
        </w:rPr>
        <w:t xml:space="preserve"> </w:t>
      </w:r>
    </w:p>
    <w:p w14:paraId="47ED4F67" w14:textId="26B80AF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However, as stated earlier,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focused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is likely to target primarily adults. Researchers have identified several key principles in adult consumer education.</w:t>
      </w:r>
      <w:r w:rsidRPr="00B6688A">
        <w:rPr>
          <w:rFonts w:asciiTheme="majorHAnsi" w:eastAsia="Calibri" w:hAnsiTheme="majorHAnsi" w:cstheme="majorHAnsi"/>
          <w:vertAlign w:val="superscript"/>
        </w:rPr>
        <w:footnoteReference w:id="155"/>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70A71EF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Know the individuals and families who are the target audience.</w:t>
      </w:r>
      <w:r w:rsidR="008A79B3" w:rsidRPr="00B6688A">
        <w:rPr>
          <w:rFonts w:asciiTheme="majorHAnsi" w:eastAsia="Calibri" w:hAnsiTheme="majorHAnsi" w:cstheme="majorHAnsi"/>
          <w:b/>
          <w:bCs/>
        </w:rPr>
        <w:t xml:space="preserve"> </w:t>
      </w:r>
      <w:r w:rsidRPr="00B6688A">
        <w:rPr>
          <w:rFonts w:asciiTheme="majorHAnsi" w:eastAsia="Calibri" w:hAnsiTheme="majorHAnsi" w:cstheme="majorHAnsi"/>
        </w:rPr>
        <w:t>Reaching the variety of consumers who live in every state requires developing multilingual, plain-language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Accessible channels</w:t>
      </w:r>
      <w:r w:rsidR="00BC31C6">
        <w:rPr>
          <w:rFonts w:asciiTheme="majorHAnsi" w:eastAsia="Calibri" w:hAnsiTheme="majorHAnsi" w:cstheme="majorHAnsi"/>
        </w:rPr>
        <w:t>,</w:t>
      </w:r>
      <w:r w:rsidRPr="00B6688A">
        <w:rPr>
          <w:rFonts w:asciiTheme="majorHAnsi" w:eastAsia="Calibri" w:hAnsiTheme="majorHAnsi" w:cstheme="majorHAnsi"/>
        </w:rPr>
        <w:t xml:space="preserve"> such as town halls, community events, websites, social media, and neighborhood gatherings</w:t>
      </w:r>
      <w:r w:rsidR="00BC31C6">
        <w:rPr>
          <w:rFonts w:asciiTheme="majorHAnsi" w:eastAsia="Calibri" w:hAnsiTheme="majorHAnsi" w:cstheme="majorHAnsi"/>
        </w:rPr>
        <w:t>,</w:t>
      </w:r>
      <w:r w:rsidRPr="00B6688A">
        <w:rPr>
          <w:rFonts w:asciiTheme="majorHAnsi" w:eastAsia="Calibri" w:hAnsiTheme="majorHAnsi" w:cstheme="majorHAnsi"/>
        </w:rPr>
        <w:t xml:space="preserve"> will enable a department to reach a broader audience. Messages tailored to the unique needs and concerns of diverse consumer groups ensure that everyone receives clear, relevant information. NAIC prepared a </w:t>
      </w:r>
      <w:hyperlink r:id="rId274">
        <w:r w:rsidR="00FB1243" w:rsidRPr="00B6688A">
          <w:rPr>
            <w:rFonts w:asciiTheme="majorHAnsi" w:eastAsia="Calibri" w:hAnsiTheme="majorHAnsi" w:cstheme="majorHAnsi"/>
          </w:rPr>
          <w:t>Financial Wellness Resource Guide</w:t>
        </w:r>
      </w:hyperlink>
      <w:r w:rsidRPr="00B6688A">
        <w:rPr>
          <w:rFonts w:asciiTheme="majorHAnsi" w:eastAsia="Calibri" w:hAnsiTheme="majorHAnsi" w:cstheme="majorHAnsi"/>
        </w:rPr>
        <w:t xml:space="preserve"> to </w:t>
      </w:r>
      <w:r w:rsidRPr="00B6688A">
        <w:rPr>
          <w:rFonts w:asciiTheme="majorHAnsi" w:eastAsia="Calibri" w:hAnsiTheme="majorHAnsi" w:cstheme="majorHAnsi"/>
        </w:rPr>
        <w:lastRenderedPageBreak/>
        <w:t>highlight states’ financial literacy programs. The focus was on initiatives for underserved populations.</w:t>
      </w:r>
    </w:p>
    <w:p w14:paraId="47ED4F6A" w14:textId="7EC79A9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Plain language in consumer communications does not mean “dumbing down” the message. Instead, it increases the likelihood that the audience will see the information as readable and understand what is being communicated. </w:t>
      </w:r>
      <w:r w:rsidR="00F949BC">
        <w:rPr>
          <w:rFonts w:asciiTheme="majorHAnsi" w:eastAsia="Calibri" w:hAnsiTheme="majorHAnsi" w:cstheme="majorHAnsi"/>
        </w:rPr>
        <w:t>P</w:t>
      </w:r>
      <w:r w:rsidRPr="00B6688A">
        <w:rPr>
          <w:rFonts w:asciiTheme="majorHAnsi" w:eastAsia="Calibri" w:hAnsiTheme="majorHAnsi" w:cstheme="majorHAnsi"/>
        </w:rPr>
        <w:t xml:space="preserve">lain language </w:t>
      </w:r>
      <w:r w:rsidR="00F949BC">
        <w:rPr>
          <w:rFonts w:asciiTheme="majorHAnsi" w:eastAsia="Calibri" w:hAnsiTheme="majorHAnsi" w:cstheme="majorHAnsi"/>
        </w:rPr>
        <w:t xml:space="preserve">is not </w:t>
      </w:r>
      <w:r w:rsidRPr="00B6688A">
        <w:rPr>
          <w:rFonts w:asciiTheme="majorHAnsi" w:eastAsia="Calibri" w:hAnsiTheme="majorHAnsi" w:cstheme="majorHAnsi"/>
        </w:rPr>
        <w:t>achieved solely based on the words used. Delivering information in chunks</w:t>
      </w:r>
      <w:r w:rsidR="00666D6C">
        <w:rPr>
          <w:rFonts w:asciiTheme="majorHAnsi" w:eastAsia="Calibri" w:hAnsiTheme="majorHAnsi" w:cstheme="majorHAnsi"/>
        </w:rPr>
        <w:t xml:space="preserve">, with descriptive headings written in question format, enables adults to skim for answers </w:t>
      </w:r>
      <w:r w:rsidRPr="00B6688A">
        <w:rPr>
          <w:rFonts w:asciiTheme="majorHAnsi" w:eastAsia="Calibri" w:hAnsiTheme="majorHAnsi" w:cstheme="majorHAnsi"/>
        </w:rPr>
        <w:t>to find the information they need.</w:t>
      </w:r>
    </w:p>
    <w:p w14:paraId="47ED4F6B" w14:textId="743C1BA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Provide actionable, relevant, and timely information.</w:t>
      </w:r>
      <w:r w:rsidRPr="00B6688A">
        <w:rPr>
          <w:rFonts w:asciiTheme="majorHAnsi" w:eastAsia="Calibri" w:hAnsiTheme="majorHAnsi" w:cstheme="majorHAnsi"/>
        </w:rPr>
        <w:t xml:space="preserve"> Actionable, relevant information helps learners translate intentions into actions. Decision times </w:t>
      </w:r>
      <w:r w:rsidR="00666D6C">
        <w:rPr>
          <w:rFonts w:asciiTheme="majorHAnsi" w:eastAsia="Calibri" w:hAnsiTheme="majorHAnsi" w:cstheme="majorHAnsi"/>
        </w:rPr>
        <w:t>on</w:t>
      </w:r>
      <w:r w:rsidRPr="00B6688A">
        <w:rPr>
          <w:rFonts w:asciiTheme="majorHAnsi" w:eastAsia="Calibri" w:hAnsiTheme="majorHAnsi" w:cstheme="majorHAnsi"/>
        </w:rPr>
        <w:t xml:space="preserv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likely upon purchase or refinancing a home, at renewal (or nonrenewal or cancellation), and when navigating the claims process, including deciding whether to file a claim. Educators often refer to “just-in-time” education as the time when motivation to learn information is greatest. This suggests that making resources available in a timely fashion is important. Examples of methods for delivering just-in-time education include interactive shopping tools for high-risk homeowners, </w:t>
      </w:r>
      <w:r w:rsidR="00F949BC">
        <w:rPr>
          <w:rFonts w:asciiTheme="majorHAnsi" w:eastAsia="Calibri" w:hAnsiTheme="majorHAnsi" w:cstheme="majorHAnsi"/>
        </w:rPr>
        <w:t>disaster-recovery and insurance-claim</w:t>
      </w:r>
      <w:r w:rsidRPr="00B6688A">
        <w:rPr>
          <w:rFonts w:asciiTheme="majorHAnsi" w:eastAsia="Calibri" w:hAnsiTheme="majorHAnsi" w:cstheme="majorHAnsi"/>
        </w:rPr>
        <w:t xml:space="preserve"> guides, and social marketing themes timed to coincide with peak consumer interest. Topics important to understanding affordability and availability in homeowners insurance include resources that explain underwriting processes,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impact of credit history and prior claims on availability and affordability, appeals procedures,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Teach skills to use information.</w:t>
      </w:r>
      <w:r w:rsidRPr="00B6688A">
        <w:rPr>
          <w:rFonts w:asciiTheme="majorHAnsi" w:eastAsia="Calibri" w:hAnsiTheme="majorHAnsi" w:cstheme="majorHAnsi"/>
        </w:rPr>
        <w:t xml:space="preserve"> It is important not only to have information but also to know how to apply that information to move forward. Examples include opportunities to estimate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worksheets to compare policy coverage and costs. Other examples include step-by-step guides to applying for insurance, appealing cancellations, accessing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understanding consumer rights. </w:t>
      </w:r>
    </w:p>
    <w:p w14:paraId="47ED4F6D" w14:textId="22A991B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Build on motivation.</w:t>
      </w:r>
      <w:r w:rsidRPr="00B6688A">
        <w:rPr>
          <w:rFonts w:asciiTheme="majorHAnsi" w:eastAsia="Calibri" w:hAnsiTheme="majorHAnsi" w:cstheme="majorHAnsi"/>
        </w:rPr>
        <w:t xml:space="preserve"> Understanding learners’ goals and their motivation for accessing education is important. How can you help them achieve their goals? In the context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being realistic about their options and understanding their frustrations can be helpful in designing a realistic path forward.</w:t>
      </w:r>
    </w:p>
    <w:p w14:paraId="1EFB8FEF" w14:textId="77777777" w:rsidR="001932B2" w:rsidRPr="00B6688A" w:rsidRDefault="009726FC" w:rsidP="001932B2">
      <w:pPr>
        <w:jc w:val="both"/>
        <w:rPr>
          <w:rFonts w:asciiTheme="majorHAnsi" w:eastAsia="Calibri" w:hAnsiTheme="majorHAnsi" w:cstheme="majorHAnsi"/>
        </w:rPr>
      </w:pPr>
      <w:r>
        <w:rPr>
          <w:rFonts w:asciiTheme="majorHAnsi" w:hAnsiTheme="majorHAnsi" w:cstheme="majorHAnsi"/>
        </w:rPr>
        <w:pict w14:anchorId="2D011E7E">
          <v:rect id="_x0000_i1033" style="width:0;height:1.5pt" o:hralign="center" o:hrstd="t" o:hr="t" fillcolor="#a0a0a0" stroked="f"/>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229" w:name="_Toc236057912"/>
      <w:r w:rsidRPr="00B6688A">
        <w:rPr>
          <w:rFonts w:asciiTheme="majorHAnsi" w:hAnsiTheme="majorHAnsi" w:cstheme="majorHAnsi"/>
        </w:rPr>
        <w:lastRenderedPageBreak/>
        <w:t>Appendix</w:t>
      </w:r>
      <w:bookmarkEnd w:id="229"/>
    </w:p>
    <w:p w14:paraId="4F7171BE" w14:textId="41025787" w:rsidR="00430564" w:rsidRPr="00B6688A" w:rsidRDefault="00430564" w:rsidP="00316031">
      <w:pPr>
        <w:pStyle w:val="Heading2"/>
        <w:rPr>
          <w:rFonts w:asciiTheme="majorHAnsi" w:hAnsiTheme="majorHAnsi" w:cstheme="majorHAnsi"/>
        </w:rPr>
      </w:pPr>
      <w:bookmarkStart w:id="230" w:name="_Toc236057913"/>
      <w:r w:rsidRPr="00B6688A">
        <w:rPr>
          <w:rFonts w:asciiTheme="majorHAnsi" w:hAnsiTheme="majorHAnsi" w:cstheme="majorHAnsi"/>
        </w:rPr>
        <w:t>Appendix A: Summary of State Legislation, Regulations, and Codes</w:t>
      </w:r>
      <w:bookmarkEnd w:id="230"/>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a"/>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3D7B0FE0" w14:textId="0BB326DE"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351CDE9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002C2BA1">
        <w:tc>
          <w:tcPr>
            <w:tcW w:w="2335" w:type="dxa"/>
            <w:shd w:val="clear" w:color="auto" w:fill="F2F2F2" w:themeFill="background1" w:themeFillShade="F2"/>
          </w:tcPr>
          <w:p w14:paraId="5EF6B28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002C2BA1">
        <w:tc>
          <w:tcPr>
            <w:tcW w:w="2335" w:type="dxa"/>
            <w:shd w:val="clear" w:color="auto" w:fill="F2F2F2" w:themeFill="background1" w:themeFillShade="F2"/>
          </w:tcPr>
          <w:p w14:paraId="14A06A1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an endorsement for coastal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Mandates insurance companies must offer a </w:t>
            </w:r>
            <w:r w:rsidR="0034794C" w:rsidRPr="00B6688A">
              <w:rPr>
                <w:rFonts w:asciiTheme="majorHAnsi" w:eastAsia="Calibri" w:hAnsiTheme="majorHAnsi" w:cstheme="majorHAnsi"/>
                <w:sz w:val="22"/>
                <w:szCs w:val="22"/>
              </w:rPr>
              <w:t>FORTIFIED</w:t>
            </w:r>
            <w:r w:rsidRPr="00B6688A">
              <w:rPr>
                <w:rFonts w:asciiTheme="majorHAnsi" w:eastAsia="Calibri" w:hAnsiTheme="majorHAnsi" w:cstheme="majorHAnsi"/>
                <w:sz w:val="22"/>
                <w:szCs w:val="22"/>
              </w:rPr>
              <w:t xml:space="preserve"> bronze roof endorsement covering additional costs for 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when full roof replacement is covered.</w:t>
            </w:r>
          </w:p>
        </w:tc>
      </w:tr>
      <w:tr w:rsidR="00430564" w:rsidRPr="00B6688A" w14:paraId="6AE7E3C8" w14:textId="77777777" w:rsidTr="002C2BA1">
        <w:tc>
          <w:tcPr>
            <w:tcW w:w="2335" w:type="dxa"/>
            <w:shd w:val="clear" w:color="auto" w:fill="F2F2F2" w:themeFill="background1" w:themeFillShade="F2"/>
          </w:tcPr>
          <w:p w14:paraId="3BC2A5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new and renewal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include </w:t>
            </w:r>
            <w:r w:rsidR="0034794C">
              <w:rPr>
                <w:rFonts w:asciiTheme="majorHAnsi" w:eastAsia="Calibri" w:hAnsiTheme="majorHAnsi" w:cstheme="majorHAnsi"/>
                <w:sz w:val="22"/>
                <w:szCs w:val="22"/>
              </w:rPr>
              <w:t xml:space="preserve">an </w:t>
            </w:r>
            <w:r w:rsidR="0034794C" w:rsidRPr="00B6688A">
              <w:rPr>
                <w:rFonts w:asciiTheme="majorHAnsi" w:eastAsia="Calibri" w:hAnsiTheme="majorHAnsi" w:cstheme="majorHAnsi"/>
                <w:sz w:val="22"/>
                <w:szCs w:val="22"/>
              </w:rPr>
              <w:t xml:space="preserve">outline of coverage and </w:t>
            </w:r>
            <w:r w:rsidR="0034794C">
              <w:rPr>
                <w:rFonts w:asciiTheme="majorHAnsi" w:eastAsia="Calibri" w:hAnsiTheme="majorHAnsi" w:cstheme="majorHAnsi"/>
                <w:sz w:val="22"/>
                <w:szCs w:val="22"/>
              </w:rPr>
              <w:t xml:space="preserve">a </w:t>
            </w:r>
            <w:r w:rsidR="0034794C" w:rsidRPr="00B6688A">
              <w:rPr>
                <w:rFonts w:asciiTheme="majorHAnsi" w:eastAsia="Calibri" w:hAnsiTheme="majorHAnsi" w:cstheme="majorHAnsi"/>
                <w:sz w:val="22"/>
                <w:szCs w:val="22"/>
              </w:rPr>
              <w:t>comprehensive policy checklist</w:t>
            </w:r>
            <w:r w:rsidRPr="00B6688A">
              <w:rPr>
                <w:rFonts w:asciiTheme="majorHAnsi" w:eastAsia="Calibri" w:hAnsiTheme="majorHAnsi" w:cstheme="majorHAnsi"/>
                <w:sz w:val="22"/>
                <w:szCs w:val="22"/>
              </w:rPr>
              <w:t>; insurers must post 12 “minimum standards” on websites.</w:t>
            </w:r>
          </w:p>
        </w:tc>
      </w:tr>
      <w:tr w:rsidR="00430564" w:rsidRPr="00B6688A" w14:paraId="7A80FD4C" w14:textId="77777777" w:rsidTr="002C2BA1">
        <w:tc>
          <w:tcPr>
            <w:tcW w:w="2335" w:type="dxa"/>
            <w:shd w:val="clear" w:color="auto" w:fill="F2F2F2" w:themeFill="background1" w:themeFillShade="F2"/>
          </w:tcPr>
          <w:p w14:paraId="5BA917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Standards </w:t>
            </w:r>
            <w:r w:rsidR="0034794C" w:rsidRPr="00B6688A">
              <w:rPr>
                <w:rFonts w:asciiTheme="majorHAnsi" w:eastAsia="Calibri" w:hAnsiTheme="majorHAnsi" w:cstheme="majorHAnsi"/>
                <w:sz w:val="22"/>
                <w:szCs w:val="22"/>
              </w:rPr>
              <w:t>for prompt, fair</w:t>
            </w:r>
            <w:r w:rsidR="0034794C">
              <w:rPr>
                <w:rFonts w:asciiTheme="majorHAnsi" w:eastAsia="Calibri" w:hAnsiTheme="majorHAnsi" w:cstheme="majorHAnsi"/>
                <w:sz w:val="22"/>
                <w:szCs w:val="22"/>
              </w:rPr>
              <w:t>,</w:t>
            </w:r>
            <w:r w:rsidR="0034794C" w:rsidRPr="00B6688A">
              <w:rPr>
                <w:rFonts w:asciiTheme="majorHAnsi" w:eastAsia="Calibri" w:hAnsiTheme="majorHAnsi" w:cstheme="majorHAnsi"/>
                <w:sz w:val="22"/>
                <w:szCs w:val="22"/>
              </w:rPr>
              <w:t xml:space="preserve"> and equitable settlements applicable to all insurers</w:t>
            </w:r>
            <w:r w:rsidRPr="00B6688A">
              <w:rPr>
                <w:rFonts w:asciiTheme="majorHAnsi" w:eastAsia="Calibri" w:hAnsiTheme="majorHAnsi" w:cstheme="majorHAnsi"/>
                <w:sz w:val="22"/>
                <w:szCs w:val="22"/>
              </w:rPr>
              <w:t>.</w:t>
            </w:r>
          </w:p>
        </w:tc>
      </w:tr>
      <w:tr w:rsidR="00430564" w:rsidRPr="00B6688A" w14:paraId="49280C2A" w14:textId="77777777" w:rsidTr="002C2BA1">
        <w:tc>
          <w:tcPr>
            <w:tcW w:w="2335" w:type="dxa"/>
            <w:shd w:val="clear" w:color="auto" w:fill="F2F2F2" w:themeFill="background1" w:themeFillShade="F2"/>
          </w:tcPr>
          <w:p w14:paraId="2752F47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002C2BA1">
        <w:tc>
          <w:tcPr>
            <w:tcW w:w="2335" w:type="dxa"/>
            <w:shd w:val="clear" w:color="auto" w:fill="F2F2F2" w:themeFill="background1" w:themeFillShade="F2"/>
          </w:tcPr>
          <w:p w14:paraId="4461D6D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E53390" w:rsidRPr="00B6688A">
              <w:rPr>
                <w:rFonts w:asciiTheme="majorHAnsi" w:eastAsia="Calibri" w:hAnsiTheme="majorHAnsi" w:cstheme="majorHAnsi"/>
                <w:sz w:val="22"/>
                <w:szCs w:val="22"/>
              </w:rPr>
              <w:t xml:space="preserve">insurance department </w:t>
            </w:r>
            <w:r w:rsidRPr="00B6688A">
              <w:rPr>
                <w:rFonts w:asciiTheme="majorHAnsi" w:eastAsia="Calibri" w:hAnsiTheme="majorHAnsi" w:cstheme="majorHAnsi"/>
                <w:sz w:val="22"/>
                <w:szCs w:val="22"/>
              </w:rPr>
              <w:t>to gather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 and premium data from insurers by county and </w:t>
            </w:r>
            <w:r w:rsidR="00E53390">
              <w:rPr>
                <w:rFonts w:asciiTheme="majorHAnsi" w:eastAsia="Calibri" w:hAnsiTheme="majorHAnsi" w:cstheme="majorHAnsi"/>
                <w:sz w:val="22"/>
                <w:szCs w:val="22"/>
              </w:rPr>
              <w:t>ZIP</w:t>
            </w:r>
            <w:r w:rsidR="00E53390"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code, then publish the aggregated results online.</w:t>
            </w:r>
          </w:p>
        </w:tc>
      </w:tr>
      <w:tr w:rsidR="00430564" w:rsidRPr="00B6688A" w14:paraId="6F09974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Catastrophe Savings Accounts Law (2012)</w:t>
            </w:r>
          </w:p>
        </w:tc>
        <w:tc>
          <w:tcPr>
            <w:tcW w:w="7200" w:type="dxa"/>
            <w:shd w:val="clear" w:color="auto" w:fill="D9D9D9" w:themeFill="background1" w:themeFillShade="D9"/>
          </w:tcPr>
          <w:p w14:paraId="471AED2C" w14:textId="4FD602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cPr>
          <w:p w14:paraId="76253136"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cPr>
          <w:p w14:paraId="0BDDD0D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efforts across jurisdictions.</w:t>
            </w:r>
          </w:p>
        </w:tc>
      </w:tr>
      <w:tr w:rsidR="00430564" w:rsidRPr="00B6688A" w14:paraId="61421038"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Requires insurers above a premium threshold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data collection requirements</w:t>
            </w:r>
            <w:r w:rsidRPr="00B6688A">
              <w:rPr>
                <w:rFonts w:asciiTheme="majorHAnsi" w:eastAsia="Calibri" w:hAnsiTheme="majorHAnsi" w:cstheme="majorHAnsi"/>
                <w:sz w:val="22"/>
                <w:szCs w:val="22"/>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exposure and residential property insurance data.</w:t>
            </w:r>
          </w:p>
        </w:tc>
      </w:tr>
      <w:tr w:rsidR="00430564" w:rsidRPr="00B6688A" w14:paraId="64D3342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Defensible </w:t>
            </w:r>
            <w:r w:rsidR="00E53390" w:rsidRPr="00B6688A">
              <w:rPr>
                <w:rFonts w:asciiTheme="majorHAnsi" w:eastAsia="Calibri" w:hAnsiTheme="majorHAnsi" w:cstheme="majorHAnsi"/>
                <w:sz w:val="22"/>
                <w:szCs w:val="22"/>
              </w:rPr>
              <w:t>space guidelines</w:t>
            </w:r>
            <w:r w:rsidRPr="00B6688A">
              <w:rPr>
                <w:rFonts w:asciiTheme="majorHAnsi" w:eastAsia="Calibri" w:hAnsiTheme="majorHAnsi" w:cstheme="majorHAnsi"/>
                <w:sz w:val="22"/>
                <w:szCs w:val="22"/>
              </w:rPr>
              <w:t xml:space="preserve">. Directs the </w:t>
            </w:r>
            <w:r w:rsidR="00E53390" w:rsidRPr="00B6688A">
              <w:rPr>
                <w:rFonts w:asciiTheme="majorHAnsi" w:eastAsia="Calibri" w:hAnsiTheme="majorHAnsi" w:cstheme="majorHAnsi"/>
                <w:sz w:val="22"/>
                <w:szCs w:val="22"/>
              </w:rPr>
              <w:t xml:space="preserve">state fire marshal </w:t>
            </w:r>
            <w:r w:rsidRPr="00B6688A">
              <w:rPr>
                <w:rFonts w:asciiTheme="majorHAnsi" w:eastAsia="Calibri" w:hAnsiTheme="majorHAnsi" w:cstheme="majorHAnsi"/>
                <w:sz w:val="22"/>
                <w:szCs w:val="22"/>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around structures.</w:t>
            </w:r>
          </w:p>
        </w:tc>
      </w:tr>
      <w:tr w:rsidR="00430564" w:rsidRPr="00B6688A" w14:paraId="52179379"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Climate </w:t>
            </w:r>
            <w:r w:rsidR="00E53390" w:rsidRPr="00B6688A">
              <w:rPr>
                <w:rFonts w:asciiTheme="majorHAnsi" w:eastAsia="Calibri" w:hAnsiTheme="majorHAnsi" w:cstheme="majorHAnsi"/>
                <w:sz w:val="22"/>
                <w:szCs w:val="22"/>
              </w:rPr>
              <w:t>resilience districts</w:t>
            </w:r>
            <w:r w:rsidRPr="00B6688A">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Fire </w:t>
            </w:r>
            <w:r w:rsidR="00E53390" w:rsidRPr="00B6688A">
              <w:rPr>
                <w:rFonts w:asciiTheme="majorHAnsi" w:eastAsia="Calibri" w:hAnsiTheme="majorHAnsi" w:cstheme="majorHAnsi"/>
                <w:sz w:val="22"/>
                <w:szCs w:val="22"/>
              </w:rPr>
              <w:t>following earthquake coverage</w:t>
            </w:r>
            <w:r w:rsidRPr="00B6688A">
              <w:rPr>
                <w:rFonts w:asciiTheme="majorHAnsi" w:eastAsia="Calibri" w:hAnsiTheme="majorHAnsi" w:cstheme="majorHAnsi"/>
                <w:sz w:val="22"/>
                <w:szCs w:val="22"/>
              </w:rPr>
              <w:t xml:space="preserve">. Fire following </w:t>
            </w:r>
            <w:r w:rsidR="00E53390">
              <w:rPr>
                <w:rFonts w:asciiTheme="majorHAnsi" w:eastAsia="Calibri" w:hAnsiTheme="majorHAnsi" w:cstheme="majorHAnsi"/>
                <w:sz w:val="22"/>
                <w:szCs w:val="22"/>
              </w:rPr>
              <w:t>an earthquake is covered by the underlying homeowners</w:t>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w:t>
            </w:r>
          </w:p>
        </w:tc>
      </w:tr>
      <w:tr w:rsidR="00430564" w:rsidRPr="00B6688A" w14:paraId="1CEC6F2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Statewide Extreme Heat Ranking System (CalHeatScore).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events to improve risk communication and preparedness; mandates coordination across state agencies for dissemination and local adaptation; requires a report on insurance-related costs of extreme heat; resulted in the release of the CalHeatScore tool in 2025.</w:t>
            </w:r>
          </w:p>
        </w:tc>
      </w:tr>
      <w:tr w:rsidR="00430564" w:rsidRPr="00B6688A" w14:paraId="37AF1EB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models or risk-based rating.</w:t>
            </w:r>
          </w:p>
        </w:tc>
      </w:tr>
      <w:tr w:rsidR="00430564" w:rsidRPr="00B6688A" w14:paraId="2D097220"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Standardizers required rate-filing components to improve transparency, reduce delays, and streamline the rate-review process.</w:t>
            </w:r>
          </w:p>
        </w:tc>
      </w:tr>
      <w:tr w:rsidR="00430564" w:rsidRPr="00B6688A" w14:paraId="4E20696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 ratemaking, tied to commitments to write or maintain coverage in higher-risk areas.</w:t>
            </w:r>
          </w:p>
        </w:tc>
      </w:tr>
      <w:tr w:rsidR="00430564" w:rsidRPr="00B6688A" w14:paraId="76EB76F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costs in rates, linked to commitments to expand or maintain coverage in higher</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risk.</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1"/>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39269EC"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72F63CA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36F18477" w14:textId="77777777" w:rsidTr="002C2BA1">
        <w:tc>
          <w:tcPr>
            <w:tcW w:w="2335" w:type="dxa"/>
            <w:shd w:val="clear" w:color="auto" w:fill="F2F2F2" w:themeFill="background1" w:themeFillShade="F2"/>
          </w:tcPr>
          <w:p w14:paraId="6B1C8DD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color w:val="000000"/>
                <w:sz w:val="22"/>
                <w:szCs w:val="22"/>
              </w:rPr>
              <w:t>insurers to toll certain time limits</w:t>
            </w:r>
            <w:r w:rsidRPr="00B6688A">
              <w:rPr>
                <w:rFonts w:asciiTheme="majorHAnsi" w:eastAsia="Calibri" w:hAnsiTheme="majorHAnsi" w:cstheme="majorHAnsi"/>
                <w:sz w:val="22"/>
                <w:szCs w:val="22"/>
              </w:rPr>
              <w:t xml:space="preserve"> for unreasonable delays,</w:t>
            </w:r>
            <w:r w:rsidRPr="00B6688A">
              <w:rPr>
                <w:rFonts w:asciiTheme="majorHAnsi" w:eastAsia="Calibri" w:hAnsiTheme="majorHAnsi" w:cstheme="majorHAnsi"/>
                <w:color w:val="000000"/>
                <w:sz w:val="22"/>
                <w:szCs w:val="22"/>
              </w:rPr>
              <w:t xml:space="preserve"> safeguarding policyholders recovering from disasters like the Marshall Fire.</w:t>
            </w:r>
          </w:p>
        </w:tc>
      </w:tr>
      <w:tr w:rsidR="00430564" w:rsidRPr="00B6688A" w14:paraId="450E88C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6A7390B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Establishes a Wildfire Resiliency Code Board</w:t>
            </w:r>
            <w:r w:rsidR="000325A6">
              <w:rPr>
                <w:rFonts w:asciiTheme="majorHAnsi" w:eastAsia="Calibri" w:hAnsiTheme="majorHAnsi" w:cstheme="majorHAnsi"/>
                <w:color w:val="000000"/>
                <w:sz w:val="22"/>
                <w:szCs w:val="22"/>
              </w:rPr>
              <w:t xml:space="preserve"> </w:t>
            </w:r>
            <w:r w:rsidR="00E53390">
              <w:rPr>
                <w:rFonts w:asciiTheme="majorHAnsi" w:eastAsia="Calibri" w:hAnsiTheme="majorHAnsi" w:cstheme="majorHAnsi"/>
                <w:color w:val="000000"/>
                <w:sz w:val="22"/>
                <w:szCs w:val="22"/>
              </w:rPr>
              <w:t>(WRC</w:t>
            </w:r>
            <w:r w:rsidR="000325A6">
              <w:rPr>
                <w:rFonts w:asciiTheme="majorHAnsi" w:eastAsia="Calibri" w:hAnsiTheme="majorHAnsi" w:cstheme="majorHAnsi"/>
                <w:color w:val="000000"/>
                <w:sz w:val="22"/>
                <w:szCs w:val="22"/>
              </w:rPr>
              <w:t>B</w:t>
            </w:r>
            <w:r w:rsidR="00E53390">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 to set statewide building codes</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wildfire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resilience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w:t>
            </w:r>
            <w:r w:rsidR="000325A6" w:rsidRPr="000325A6">
              <w:rPr>
                <w:rFonts w:asciiTheme="majorHAnsi" w:eastAsia="Calibri" w:hAnsiTheme="majorHAnsi" w:cstheme="majorHAnsi"/>
                <w:color w:val="000000"/>
                <w:sz w:val="22"/>
                <w:szCs w:val="22"/>
              </w:rPr>
              <w:t>wildland</w:t>
            </w:r>
            <w:r w:rsidR="004332A7">
              <w:rPr>
                <w:rFonts w:asciiTheme="majorHAnsi" w:eastAsia="Calibri" w:hAnsiTheme="majorHAnsi" w:cstheme="majorHAnsi"/>
                <w:color w:val="000000"/>
                <w:sz w:val="22"/>
                <w:szCs w:val="22"/>
              </w:rPr>
              <w:t>-</w:t>
            </w:r>
            <w:r w:rsidR="000325A6" w:rsidRPr="000325A6">
              <w:rPr>
                <w:rFonts w:asciiTheme="majorHAnsi" w:eastAsia="Calibri" w:hAnsiTheme="majorHAnsi" w:cstheme="majorHAnsi"/>
                <w:color w:val="000000"/>
                <w:sz w:val="22"/>
                <w:szCs w:val="22"/>
              </w:rPr>
              <w:t>urban interface</w:t>
            </w:r>
            <w:r w:rsidR="000325A6">
              <w:rPr>
                <w:rFonts w:asciiTheme="majorHAnsi" w:eastAsia="Calibri" w:hAnsiTheme="majorHAnsi" w:cstheme="majorHAnsi"/>
                <w:color w:val="000000"/>
                <w:sz w:val="22"/>
                <w:szCs w:val="22"/>
              </w:rPr>
              <w:t xml:space="preserve"> (</w:t>
            </w:r>
            <w:r w:rsidRPr="00B6688A">
              <w:rPr>
                <w:rFonts w:asciiTheme="majorHAnsi" w:eastAsia="Calibri" w:hAnsiTheme="majorHAnsi" w:cstheme="majorHAnsi"/>
                <w:color w:val="000000"/>
                <w:sz w:val="22"/>
                <w:szCs w:val="22"/>
              </w:rPr>
              <w:t>WUI</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areas, as determined by the WRCB. The codes apply to new construction, additions, alterations, repairs, and defensible space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all WUI risk levels: low, moderate, high, and extreme.</w:t>
            </w:r>
          </w:p>
        </w:tc>
      </w:tr>
      <w:tr w:rsidR="00430564" w:rsidRPr="00B6688A" w14:paraId="74891C96" w14:textId="77777777" w:rsidTr="002C2BA1">
        <w:tc>
          <w:tcPr>
            <w:tcW w:w="2335" w:type="dxa"/>
            <w:shd w:val="clear" w:color="auto" w:fill="F2F2F2" w:themeFill="background1" w:themeFillShade="F2"/>
          </w:tcPr>
          <w:p w14:paraId="59A2B9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SB25-142 (2025)</w:t>
            </w:r>
          </w:p>
        </w:tc>
        <w:tc>
          <w:tcPr>
            <w:tcW w:w="7200" w:type="dxa"/>
            <w:shd w:val="clear" w:color="auto" w:fill="F2F2F2" w:themeFill="background1" w:themeFillShade="F2"/>
          </w:tcPr>
          <w:p w14:paraId="52AA90FD" w14:textId="463F36F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 xml:space="preserve">Defines the </w:t>
            </w:r>
            <w:r w:rsidR="000325A6">
              <w:rPr>
                <w:rFonts w:asciiTheme="majorHAnsi" w:eastAsia="Calibri" w:hAnsiTheme="majorHAnsi" w:cstheme="majorHAnsi"/>
                <w:color w:val="000000"/>
                <w:sz w:val="22"/>
                <w:szCs w:val="22"/>
              </w:rPr>
              <w:t>WUI</w:t>
            </w:r>
            <w:r w:rsidRPr="00B6688A">
              <w:rPr>
                <w:rFonts w:asciiTheme="majorHAnsi" w:eastAsia="Calibri" w:hAnsiTheme="majorHAnsi" w:cstheme="majorHAnsi"/>
                <w:color w:val="000000"/>
                <w:sz w:val="22"/>
                <w:szCs w:val="22"/>
              </w:rPr>
              <w:t xml:space="preserve"> and extends local governments’ deadline to adopt Wildfire Resiliency Code Board codes.</w:t>
            </w:r>
          </w:p>
        </w:tc>
      </w:tr>
      <w:tr w:rsidR="00430564" w:rsidRPr="00B6688A" w14:paraId="00B5964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sidR="000325A6">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430564" w:rsidRPr="00B6688A" w14:paraId="6B9293AF" w14:textId="77777777" w:rsidTr="002C2BA1">
        <w:tc>
          <w:tcPr>
            <w:tcW w:w="2335" w:type="dxa"/>
            <w:shd w:val="clear" w:color="auto" w:fill="F2F2F2" w:themeFill="background1" w:themeFillShade="F2"/>
          </w:tcPr>
          <w:p w14:paraId="5152F3F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0325A6">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sidR="000325A6">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430564" w:rsidRPr="00B6688A" w14:paraId="61F6087E"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0325A6" w:rsidRPr="00B6688A">
              <w:rPr>
                <w:rFonts w:asciiTheme="majorHAnsi" w:eastAsia="Calibri" w:hAnsiTheme="majorHAnsi" w:cstheme="majorHAnsi"/>
                <w:sz w:val="22"/>
                <w:szCs w:val="22"/>
              </w:rPr>
              <w:t xml:space="preserve">insurance commissioner </w:t>
            </w:r>
            <w:r w:rsidRPr="00B6688A">
              <w:rPr>
                <w:rFonts w:asciiTheme="majorHAnsi" w:eastAsia="Calibri" w:hAnsiTheme="majorHAnsi" w:cstheme="majorHAnsi"/>
                <w:sz w:val="22"/>
                <w:szCs w:val="22"/>
              </w:rPr>
              <w:t xml:space="preserve">to study </w:t>
            </w:r>
            <w:r w:rsidR="000325A6">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sidR="000325A6">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430564" w:rsidRPr="00B6688A" w14:paraId="152E2523" w14:textId="77777777" w:rsidTr="002C2BA1">
        <w:tc>
          <w:tcPr>
            <w:tcW w:w="2335" w:type="dxa"/>
          </w:tcPr>
          <w:p w14:paraId="36B0AC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risk assessments and </w:t>
            </w:r>
            <w:r w:rsidR="000325A6">
              <w:rPr>
                <w:rFonts w:asciiTheme="majorHAnsi" w:eastAsia="Calibri" w:hAnsiTheme="majorHAnsi" w:cstheme="majorHAnsi"/>
                <w:sz w:val="22"/>
                <w:szCs w:val="22"/>
              </w:rPr>
              <w:t>rate calculations, publicize discounts, explain risk scores, and provide an appeals</w:t>
            </w:r>
            <w:r w:rsidRPr="00B6688A">
              <w:rPr>
                <w:rFonts w:asciiTheme="majorHAnsi" w:eastAsia="Calibri" w:hAnsiTheme="majorHAnsi" w:cstheme="majorHAnsi"/>
                <w:sz w:val="22"/>
                <w:szCs w:val="22"/>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scores.</w:t>
            </w:r>
          </w:p>
        </w:tc>
      </w:tr>
      <w:tr w:rsidR="00430564" w:rsidRPr="00B6688A" w14:paraId="7049D33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SB26-178 (2026)</w:t>
            </w:r>
          </w:p>
        </w:tc>
        <w:tc>
          <w:tcPr>
            <w:tcW w:w="7200" w:type="dxa"/>
          </w:tcPr>
          <w:p w14:paraId="674229C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2C2BA1">
            <w:pPr>
              <w:jc w:val="center"/>
              <w:rPr>
                <w:rFonts w:asciiTheme="majorHAnsi" w:eastAsia="Calibri" w:hAnsiTheme="majorHAnsi" w:cstheme="majorHAnsi"/>
              </w:rPr>
            </w:pPr>
            <w:bookmarkStart w:id="231" w:name="_b8pvsemf7kmr" w:colFirst="0" w:colLast="0"/>
            <w:bookmarkEnd w:id="231"/>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a3"/>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002C2BA1">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vAlign w:val="center"/>
          </w:tcPr>
          <w:p w14:paraId="212E7C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vAlign w:val="center"/>
          </w:tcPr>
          <w:p w14:paraId="0F7ACCF7"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vAlign w:val="center"/>
          </w:tcPr>
          <w:p w14:paraId="7515DCC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002C2BA1">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002C2BA1">
        <w:tc>
          <w:tcPr>
            <w:tcW w:w="2337" w:type="dxa"/>
            <w:shd w:val="clear" w:color="auto" w:fill="D9D9D9" w:themeFill="background1" w:themeFillShade="D9"/>
          </w:tcPr>
          <w:p w14:paraId="64BA7AE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D9D9D9" w:themeFill="background1" w:themeFillShade="D9"/>
          </w:tcPr>
          <w:p w14:paraId="610AD7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002C2BA1">
        <w:tc>
          <w:tcPr>
            <w:tcW w:w="2337" w:type="dxa"/>
            <w:shd w:val="clear" w:color="auto" w:fill="D9D9D9" w:themeFill="background1" w:themeFillShade="D9"/>
          </w:tcPr>
          <w:p w14:paraId="359F5A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Eliminates automatic attorney fees, most assignments of benefits, reduces claim filing deadlines, </w:t>
            </w:r>
            <w:r w:rsidR="00EA3996">
              <w:rPr>
                <w:rFonts w:asciiTheme="majorHAnsi" w:eastAsia="Calibri" w:hAnsiTheme="majorHAnsi" w:cstheme="majorHAnsi"/>
              </w:rPr>
              <w:t xml:space="preserve">and </w:t>
            </w:r>
            <w:r w:rsidRPr="00B6688A">
              <w:rPr>
                <w:rFonts w:asciiTheme="majorHAnsi" w:eastAsia="Calibri" w:hAnsiTheme="majorHAnsi" w:cstheme="majorHAnsi"/>
              </w:rPr>
              <w:t>addresses bad faith failure to settle actions</w:t>
            </w:r>
            <w:r w:rsidR="00CE008C">
              <w:rPr>
                <w:rFonts w:asciiTheme="majorHAnsi" w:eastAsia="Calibri" w:hAnsiTheme="majorHAnsi" w:cstheme="majorHAnsi"/>
              </w:rPr>
              <w:t>.</w:t>
            </w:r>
          </w:p>
        </w:tc>
      </w:tr>
      <w:tr w:rsidR="00430564" w:rsidRPr="00B6688A" w14:paraId="049B4829"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002C2BA1">
        <w:tc>
          <w:tcPr>
            <w:tcW w:w="2337" w:type="dxa"/>
            <w:shd w:val="clear" w:color="auto" w:fill="D9D9D9" w:themeFill="background1" w:themeFillShade="D9"/>
          </w:tcPr>
          <w:p w14:paraId="542BF56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Implements</w:t>
            </w:r>
            <w:r w:rsidR="00CE008C">
              <w:rPr>
                <w:rFonts w:asciiTheme="majorHAnsi" w:eastAsia="Calibri" w:hAnsiTheme="majorHAnsi" w:cstheme="majorHAnsi"/>
              </w:rPr>
              <w:t xml:space="preserve"> a</w:t>
            </w:r>
            <w:r w:rsidRPr="00B6688A">
              <w:rPr>
                <w:rFonts w:asciiTheme="majorHAnsi" w:eastAsia="Calibri" w:hAnsiTheme="majorHAnsi" w:cstheme="majorHAnsi"/>
              </w:rPr>
              <w:t xml:space="preserve"> priority scale for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start</w:t>
            </w:r>
            <w:r w:rsidR="00CE008C">
              <w:rPr>
                <w:rFonts w:asciiTheme="majorHAnsi" w:eastAsia="Calibri" w:hAnsiTheme="majorHAnsi" w:cstheme="majorHAnsi"/>
              </w:rPr>
              <w:t>ing</w:t>
            </w:r>
            <w:r w:rsidRPr="00B6688A">
              <w:rPr>
                <w:rFonts w:asciiTheme="majorHAnsi" w:eastAsia="Calibri" w:hAnsiTheme="majorHAnsi" w:cstheme="majorHAnsi"/>
              </w:rPr>
              <w:t xml:space="preserve"> with low-income homeowners at least 60 years old, </w:t>
            </w:r>
            <w:r w:rsidR="00CE008C">
              <w:rPr>
                <w:rFonts w:asciiTheme="majorHAnsi" w:eastAsia="Calibri" w:hAnsiTheme="majorHAnsi" w:cstheme="majorHAnsi"/>
              </w:rPr>
              <w:t xml:space="preserve">and </w:t>
            </w:r>
            <w:r w:rsidRPr="00B6688A">
              <w:rPr>
                <w:rFonts w:asciiTheme="majorHAnsi" w:eastAsia="Calibri" w:hAnsiTheme="majorHAnsi" w:cstheme="majorHAnsi"/>
              </w:rPr>
              <w:t>adds funding</w:t>
            </w:r>
            <w:r w:rsidR="00CE008C">
              <w:rPr>
                <w:rFonts w:asciiTheme="majorHAnsi" w:eastAsia="Calibri" w:hAnsiTheme="majorHAnsi" w:cstheme="majorHAnsi"/>
              </w:rPr>
              <w:t>.</w:t>
            </w:r>
          </w:p>
        </w:tc>
      </w:tr>
      <w:tr w:rsidR="00430564" w:rsidRPr="00B6688A" w14:paraId="41CF87A7" w14:textId="77777777" w:rsidTr="002C2BA1">
        <w:tc>
          <w:tcPr>
            <w:tcW w:w="2337" w:type="dxa"/>
            <w:shd w:val="clear" w:color="auto" w:fill="D9D9D9" w:themeFill="background1" w:themeFillShade="D9"/>
          </w:tcPr>
          <w:p w14:paraId="3B1319B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66CD4DB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criteria for exporting insurance to </w:t>
            </w:r>
            <w:r w:rsidR="00CE008C">
              <w:rPr>
                <w:rFonts w:asciiTheme="majorHAnsi" w:eastAsia="Calibri" w:hAnsiTheme="majorHAnsi" w:cstheme="majorHAnsi"/>
              </w:rPr>
              <w:t xml:space="preserve">the </w:t>
            </w:r>
            <w:r w:rsidRPr="00B6688A">
              <w:rPr>
                <w:rFonts w:asciiTheme="majorHAnsi" w:eastAsia="Calibri" w:hAnsiTheme="majorHAnsi" w:cstheme="majorHAnsi"/>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w:t>
            </w:r>
            <w:r w:rsidR="00CE008C">
              <w:rPr>
                <w:rFonts w:asciiTheme="majorHAnsi" w:eastAsia="Calibri" w:hAnsiTheme="majorHAnsi" w:cstheme="majorHAnsi"/>
              </w:rPr>
              <w:t xml:space="preserve">; removes the diligent effort requirement; disclosure only is </w:t>
            </w:r>
            <w:r w:rsidRPr="00B6688A">
              <w:rPr>
                <w:rFonts w:asciiTheme="majorHAnsi" w:eastAsia="Calibri" w:hAnsiTheme="majorHAnsi" w:cstheme="majorHAnsi"/>
              </w:rPr>
              <w:t>required</w:t>
            </w:r>
            <w:r w:rsidR="00CE008C">
              <w:rPr>
                <w:rFonts w:asciiTheme="majorHAnsi" w:eastAsia="Calibri" w:hAnsiTheme="majorHAnsi" w:cstheme="majorHAnsi"/>
              </w:rPr>
              <w:t>.</w:t>
            </w:r>
          </w:p>
        </w:tc>
      </w:tr>
      <w:tr w:rsidR="00430564" w:rsidRPr="00B6688A" w14:paraId="4F6E37B8"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Resilience,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002C2BA1">
        <w:tc>
          <w:tcPr>
            <w:tcW w:w="2337" w:type="dxa"/>
            <w:shd w:val="clear" w:color="auto" w:fill="D9D9D9" w:themeFill="background1" w:themeFillShade="D9"/>
          </w:tcPr>
          <w:p w14:paraId="525C6F2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the requirement for public entities to conduct a sea level impact projection (SLIP) study before commencing construction of certain state-financed coastal structures to </w:t>
            </w:r>
            <w:r w:rsidRPr="00B6688A">
              <w:rPr>
                <w:rFonts w:asciiTheme="majorHAnsi" w:eastAsia="Calibri" w:hAnsiTheme="majorHAnsi" w:cstheme="majorHAnsi"/>
              </w:rPr>
              <w:lastRenderedPageBreak/>
              <w:t>apply the requirement to certain structures that are within any area that is at risk due to sea level rise</w:t>
            </w:r>
            <w:r w:rsidR="00CE008C">
              <w:rPr>
                <w:rFonts w:asciiTheme="majorHAnsi" w:eastAsia="Calibri" w:hAnsiTheme="majorHAnsi" w:cstheme="majorHAnsi"/>
              </w:rPr>
              <w:t>.</w:t>
            </w:r>
          </w:p>
        </w:tc>
      </w:tr>
      <w:tr w:rsidR="00430564" w:rsidRPr="00B6688A" w14:paraId="50233C12"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lastRenderedPageBreak/>
              <w:t>Adopted Legislation (2021)</w:t>
            </w:r>
          </w:p>
        </w:tc>
        <w:tc>
          <w:tcPr>
            <w:tcW w:w="1528" w:type="dxa"/>
            <w:shd w:val="clear" w:color="auto" w:fill="F2F2F2" w:themeFill="background1" w:themeFillShade="F2"/>
          </w:tcPr>
          <w:p w14:paraId="28F098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002C2BA1">
        <w:tc>
          <w:tcPr>
            <w:tcW w:w="2337" w:type="dxa"/>
            <w:shd w:val="clear" w:color="auto" w:fill="D9D9D9" w:themeFill="background1" w:themeFillShade="D9"/>
          </w:tcPr>
          <w:p w14:paraId="72C465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002C2BA1">
        <w:tc>
          <w:tcPr>
            <w:tcW w:w="2337" w:type="dxa"/>
            <w:shd w:val="clear" w:color="auto" w:fill="D9D9D9" w:themeFill="background1" w:themeFillShade="D9"/>
          </w:tcPr>
          <w:p w14:paraId="4A11C3C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 requires increased surpluses for insurers</w:t>
            </w:r>
            <w:r w:rsidR="00CE008C">
              <w:rPr>
                <w:rFonts w:asciiTheme="majorHAnsi" w:eastAsia="Calibri" w:hAnsiTheme="majorHAnsi" w:cstheme="majorHAnsi"/>
              </w:rPr>
              <w:t>.</w:t>
            </w:r>
          </w:p>
        </w:tc>
      </w:tr>
      <w:tr w:rsidR="00430564" w:rsidRPr="00B6688A" w14:paraId="67AF6650"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Clarifies certain policy provisions</w:t>
            </w:r>
            <w:r w:rsidR="00CE008C">
              <w:rPr>
                <w:rFonts w:asciiTheme="majorHAnsi" w:eastAsia="Calibri" w:hAnsiTheme="majorHAnsi" w:cstheme="majorHAnsi"/>
              </w:rPr>
              <w:t xml:space="preserve"> and</w:t>
            </w:r>
            <w:r w:rsidR="00CE008C"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allows </w:t>
            </w:r>
            <w:r w:rsidR="00CE008C">
              <w:rPr>
                <w:rFonts w:asciiTheme="majorHAnsi" w:eastAsia="Calibri" w:hAnsiTheme="majorHAnsi" w:cstheme="majorHAnsi"/>
              </w:rPr>
              <w:t>reimbursement schedules for roof coverings.</w:t>
            </w:r>
          </w:p>
        </w:tc>
      </w:tr>
      <w:tr w:rsidR="00430564" w:rsidRPr="00B6688A" w14:paraId="28EA736A" w14:textId="77777777" w:rsidTr="002C2BA1">
        <w:tc>
          <w:tcPr>
            <w:tcW w:w="2337" w:type="dxa"/>
            <w:shd w:val="clear" w:color="auto" w:fill="D9D9D9" w:themeFill="background1" w:themeFillShade="D9"/>
          </w:tcPr>
          <w:p w14:paraId="4EF4E79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3890EB7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002C2BA1">
        <w:tc>
          <w:tcPr>
            <w:tcW w:w="2337" w:type="dxa"/>
            <w:shd w:val="clear" w:color="auto" w:fill="D9D9D9" w:themeFill="background1" w:themeFillShade="D9"/>
          </w:tcPr>
          <w:p w14:paraId="3190F26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Prohibits insurers from canceling or </w:t>
            </w:r>
            <w:r w:rsidR="00CE008C">
              <w:rPr>
                <w:rFonts w:asciiTheme="majorHAnsi" w:eastAsia="Calibri" w:hAnsiTheme="majorHAnsi" w:cstheme="majorHAnsi"/>
              </w:rPr>
              <w:t>failing to renew</w:t>
            </w:r>
            <w:r w:rsidRPr="00B6688A">
              <w:rPr>
                <w:rFonts w:asciiTheme="majorHAnsi" w:eastAsia="Calibri" w:hAnsiTheme="majorHAnsi" w:cstheme="majorHAnsi"/>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within specific time</w:t>
            </w:r>
            <w:r w:rsidR="00CE008C">
              <w:rPr>
                <w:rFonts w:asciiTheme="majorHAnsi" w:eastAsia="Calibri" w:hAnsiTheme="majorHAnsi" w:cstheme="majorHAnsi"/>
              </w:rPr>
              <w:t xml:space="preserve"> </w:t>
            </w:r>
            <w:r w:rsidRPr="00B6688A">
              <w:rPr>
                <w:rFonts w:asciiTheme="majorHAnsi" w:eastAsia="Calibri" w:hAnsiTheme="majorHAnsi" w:cstheme="majorHAnsi"/>
              </w:rPr>
              <w:t>frames</w:t>
            </w:r>
            <w:r w:rsidR="00CE008C">
              <w:rPr>
                <w:rFonts w:asciiTheme="majorHAnsi" w:eastAsia="Calibri" w:hAnsiTheme="majorHAnsi" w:cstheme="majorHAnsi"/>
              </w:rPr>
              <w:t>.</w:t>
            </w:r>
          </w:p>
        </w:tc>
      </w:tr>
      <w:tr w:rsidR="00430564" w:rsidRPr="00B6688A" w14:paraId="56BEFEE6" w14:textId="77777777" w:rsidTr="002C2BA1">
        <w:tc>
          <w:tcPr>
            <w:tcW w:w="2337" w:type="dxa"/>
            <w:shd w:val="clear" w:color="auto" w:fill="D9D9D9" w:themeFill="background1" w:themeFillShade="D9"/>
          </w:tcPr>
          <w:p w14:paraId="69A3CE0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002C2BA1">
        <w:tc>
          <w:tcPr>
            <w:tcW w:w="2337" w:type="dxa"/>
            <w:shd w:val="clear" w:color="auto" w:fill="D9D9D9" w:themeFill="background1" w:themeFillShade="D9"/>
          </w:tcPr>
          <w:p w14:paraId="58C1DA3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Urges Congress to create </w:t>
            </w:r>
            <w:r w:rsidR="00CE008C">
              <w:rPr>
                <w:rFonts w:asciiTheme="majorHAnsi" w:eastAsia="Calibri" w:hAnsiTheme="majorHAnsi" w:cstheme="majorHAnsi"/>
              </w:rPr>
              <w:t xml:space="preserve">a </w:t>
            </w:r>
            <w:r w:rsidRPr="00B6688A">
              <w:rPr>
                <w:rFonts w:asciiTheme="majorHAnsi" w:eastAsia="Calibri" w:hAnsiTheme="majorHAnsi" w:cstheme="majorHAnsi"/>
              </w:rPr>
              <w:t>federal catastrophe risk pool and reform homeowners insurance to spread risk and lower costs</w:t>
            </w:r>
            <w:r w:rsidR="00CE008C">
              <w:rPr>
                <w:rFonts w:asciiTheme="majorHAnsi" w:eastAsia="Calibri" w:hAnsiTheme="majorHAnsi" w:cstheme="majorHAnsi"/>
              </w:rPr>
              <w:t>.</w:t>
            </w:r>
          </w:p>
        </w:tc>
      </w:tr>
      <w:tr w:rsidR="00430564" w:rsidRPr="00B6688A" w14:paraId="4069F1BC" w14:textId="77777777" w:rsidTr="002C2BA1">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2C2BA1">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49FED13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4FAD2D4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002C2BA1">
        <w:tc>
          <w:tcPr>
            <w:tcW w:w="2335" w:type="dxa"/>
            <w:shd w:val="clear" w:color="auto" w:fill="F2F2F2" w:themeFill="background1" w:themeFillShade="F2"/>
          </w:tcPr>
          <w:p w14:paraId="722988E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w:t>
            </w:r>
          </w:p>
        </w:tc>
        <w:tc>
          <w:tcPr>
            <w:tcW w:w="7200" w:type="dxa"/>
            <w:shd w:val="clear" w:color="auto" w:fill="F2F2F2" w:themeFill="background1" w:themeFillShade="F2"/>
          </w:tcPr>
          <w:p w14:paraId="3E76DA78" w14:textId="326C112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w:t>
            </w:r>
            <w:r w:rsidRPr="00B6688A">
              <w:rPr>
                <w:rFonts w:asciiTheme="majorHAnsi" w:hAnsiTheme="majorHAnsi" w:cstheme="majorHAnsi"/>
                <w:sz w:val="22"/>
                <w:szCs w:val="22"/>
              </w:rPr>
              <w:lastRenderedPageBreak/>
              <w:t>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002C2BA1">
        <w:tc>
          <w:tcPr>
            <w:tcW w:w="2335" w:type="dxa"/>
            <w:shd w:val="clear" w:color="auto" w:fill="F2F2F2" w:themeFill="background1" w:themeFillShade="F2"/>
          </w:tcPr>
          <w:p w14:paraId="67E4C7CB"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22:1483.2</w:t>
            </w:r>
          </w:p>
        </w:tc>
        <w:tc>
          <w:tcPr>
            <w:tcW w:w="7200" w:type="dxa"/>
            <w:shd w:val="clear" w:color="auto" w:fill="F2F2F2" w:themeFill="background1" w:themeFillShade="F2"/>
          </w:tcPr>
          <w:p w14:paraId="4ED1B3C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002C2BA1">
        <w:tc>
          <w:tcPr>
            <w:tcW w:w="2335" w:type="dxa"/>
            <w:shd w:val="clear" w:color="auto" w:fill="F2F2F2" w:themeFill="background1" w:themeFillShade="F2"/>
          </w:tcPr>
          <w:p w14:paraId="033FCDE7"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47:293(2)(a)(i), (b)</w:t>
            </w:r>
          </w:p>
        </w:tc>
        <w:tc>
          <w:tcPr>
            <w:tcW w:w="7200" w:type="dxa"/>
            <w:shd w:val="clear" w:color="auto" w:fill="F2F2F2" w:themeFill="background1" w:themeFillShade="F2"/>
          </w:tcPr>
          <w:p w14:paraId="41CACF7D" w14:textId="1AA33B3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Directs designated insurance-related regulatory fees and a dedicated portion of insurer premium tax revenues into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Fund to provide ongoing funding for residential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grants.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 grants"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p>
        </w:tc>
      </w:tr>
      <w:tr w:rsidR="00430564" w:rsidRPr="00B6688A" w14:paraId="67E6D7D5" w14:textId="77777777" w:rsidTr="002C2BA1">
        <w:tc>
          <w:tcPr>
            <w:tcW w:w="2335" w:type="dxa"/>
            <w:shd w:val="clear" w:color="auto" w:fill="F2F2F2" w:themeFill="background1" w:themeFillShade="F2"/>
          </w:tcPr>
          <w:p w14:paraId="1812545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cPr>
          <w:p w14:paraId="425A3C1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cPr>
          <w:p w14:paraId="1ABFABD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002C2BA1">
        <w:trPr>
          <w:trHeight w:val="1637"/>
        </w:trPr>
        <w:tc>
          <w:tcPr>
            <w:tcW w:w="2425" w:type="dxa"/>
            <w:shd w:val="clear" w:color="auto" w:fill="F2F2F2" w:themeFill="background1" w:themeFillShade="F2"/>
          </w:tcPr>
          <w:p w14:paraId="4E1858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MN Statutes Chapters 59A - 79A—Insurance Chapter 72A—Insurance Industry Trade Practices Section 72A.201—Regulation Of Claims Practices. MN Stat § 72A.201</w:t>
            </w:r>
          </w:p>
          <w:p w14:paraId="16FDBF61" w14:textId="77777777" w:rsidR="00430564" w:rsidRPr="00B6688A" w:rsidRDefault="00430564" w:rsidP="002C2BA1">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Ensures the prompt, fair, and honest processing of claims and complaints.</w:t>
            </w:r>
          </w:p>
        </w:tc>
      </w:tr>
      <w:tr w:rsidR="00430564" w:rsidRPr="00B6688A" w14:paraId="2FEC2C36"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6D5080A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submit certain homeowners insurance data annually</w:t>
            </w:r>
            <w:r w:rsidR="00675389">
              <w:rPr>
                <w:rFonts w:asciiTheme="majorHAnsi" w:eastAsia="Calibri" w:hAnsiTheme="majorHAnsi" w:cstheme="majorHAnsi"/>
                <w:sz w:val="22"/>
                <w:szCs w:val="22"/>
              </w:rPr>
              <w:t>.</w:t>
            </w:r>
          </w:p>
        </w:tc>
      </w:tr>
      <w:tr w:rsidR="00430564" w:rsidRPr="00B6688A" w14:paraId="3F0E81B3" w14:textId="77777777" w:rsidTr="002C2BA1">
        <w:tc>
          <w:tcPr>
            <w:tcW w:w="2425" w:type="dxa"/>
            <w:shd w:val="clear" w:color="auto" w:fill="F2F2F2" w:themeFill="background1" w:themeFillShade="F2"/>
          </w:tcPr>
          <w:p w14:paraId="1268DD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2C2BA1">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002C2BA1">
        <w:tc>
          <w:tcPr>
            <w:tcW w:w="2425" w:type="dxa"/>
            <w:shd w:val="clear" w:color="auto" w:fill="F2F2F2" w:themeFill="background1" w:themeFillShade="F2"/>
          </w:tcPr>
          <w:p w14:paraId="5BC4A8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65A.01</w:t>
            </w:r>
          </w:p>
        </w:tc>
        <w:tc>
          <w:tcPr>
            <w:tcW w:w="7020" w:type="dxa"/>
            <w:shd w:val="clear" w:color="auto" w:fill="D9D9D9" w:themeFill="background1" w:themeFillShade="D9"/>
          </w:tcPr>
          <w:p w14:paraId="7B6BBB88" w14:textId="15ADEBC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002C2BA1">
        <w:tc>
          <w:tcPr>
            <w:tcW w:w="2425" w:type="dxa"/>
            <w:shd w:val="clear" w:color="auto" w:fill="F2F2F2" w:themeFill="background1" w:themeFillShade="F2"/>
          </w:tcPr>
          <w:p w14:paraId="6029E42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002C2BA1">
        <w:tc>
          <w:tcPr>
            <w:tcW w:w="2425" w:type="dxa"/>
            <w:shd w:val="clear" w:color="auto" w:fill="F2F2F2" w:themeFill="background1" w:themeFillShade="F2"/>
          </w:tcPr>
          <w:p w14:paraId="2118E96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1BBC79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cPr>
          <w:p w14:paraId="2BE3F3F9"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002C2BA1">
        <w:tc>
          <w:tcPr>
            <w:tcW w:w="2335" w:type="dxa"/>
            <w:shd w:val="clear" w:color="auto" w:fill="F2F2F2" w:themeFill="background1" w:themeFillShade="F2"/>
          </w:tcPr>
          <w:p w14:paraId="78566BAA" w14:textId="77777777" w:rsidR="00430564" w:rsidRPr="00B6688A" w:rsidRDefault="00430564" w:rsidP="002C2BA1">
            <w:pPr>
              <w:rPr>
                <w:rFonts w:asciiTheme="majorHAnsi" w:eastAsia="Calibri" w:hAnsiTheme="majorHAnsi" w:cstheme="majorHAnsi"/>
                <w:sz w:val="22"/>
                <w:szCs w:val="22"/>
              </w:rPr>
            </w:pPr>
            <w:hyperlink r:id="rId275">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Building-code update in 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w:t>
            </w:r>
            <w:r w:rsidR="00675389">
              <w:rPr>
                <w:rFonts w:asciiTheme="majorHAnsi" w:eastAsia="Calibri" w:hAnsiTheme="majorHAnsi" w:cstheme="majorHAnsi"/>
                <w:sz w:val="22"/>
                <w:szCs w:val="22"/>
              </w:rPr>
              <w:t>.</w:t>
            </w:r>
          </w:p>
        </w:tc>
      </w:tr>
      <w:tr w:rsidR="00430564" w:rsidRPr="00B6688A" w14:paraId="3A9EF78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2C2BA1">
            <w:pPr>
              <w:rPr>
                <w:rFonts w:asciiTheme="majorHAnsi" w:eastAsia="Calibri" w:hAnsiTheme="majorHAnsi" w:cstheme="majorHAnsi"/>
                <w:sz w:val="22"/>
                <w:szCs w:val="22"/>
              </w:rPr>
            </w:pPr>
            <w:hyperlink r:id="rId276">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Enacts homeowner insurance policyholder protections</w:t>
            </w:r>
            <w:r w:rsidR="00675389">
              <w:rPr>
                <w:rFonts w:asciiTheme="majorHAnsi" w:eastAsia="Calibri" w:hAnsiTheme="majorHAnsi" w:cstheme="majorHAnsi"/>
                <w:sz w:val="22"/>
                <w:szCs w:val="22"/>
              </w:rPr>
              <w:t>.</w:t>
            </w:r>
          </w:p>
        </w:tc>
      </w:tr>
      <w:tr w:rsidR="00430564" w:rsidRPr="00B6688A" w14:paraId="5ECC0947" w14:textId="77777777" w:rsidTr="002C2BA1">
        <w:tc>
          <w:tcPr>
            <w:tcW w:w="2335" w:type="dxa"/>
            <w:shd w:val="clear" w:color="auto" w:fill="F2F2F2" w:themeFill="background1" w:themeFillShade="F2"/>
          </w:tcPr>
          <w:p w14:paraId="7F8A7C7C" w14:textId="77777777" w:rsidR="00430564" w:rsidRPr="00B6688A" w:rsidRDefault="00430564" w:rsidP="002C2BA1">
            <w:pPr>
              <w:rPr>
                <w:rFonts w:asciiTheme="majorHAnsi" w:eastAsia="Calibri" w:hAnsiTheme="majorHAnsi" w:cstheme="majorHAnsi"/>
                <w:sz w:val="22"/>
                <w:szCs w:val="22"/>
              </w:rPr>
            </w:pPr>
            <w:hyperlink r:id="rId277">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2C2BA1">
            <w:pPr>
              <w:rPr>
                <w:rFonts w:asciiTheme="majorHAnsi" w:eastAsia="Calibri" w:hAnsiTheme="majorHAnsi" w:cstheme="majorHAnsi"/>
                <w:sz w:val="22"/>
                <w:szCs w:val="22"/>
              </w:rPr>
            </w:pPr>
          </w:p>
        </w:tc>
      </w:tr>
      <w:tr w:rsidR="00430564" w:rsidRPr="00B6688A" w14:paraId="6E68B0F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2C2BA1">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insurer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002C2BA1">
        <w:tc>
          <w:tcPr>
            <w:tcW w:w="2335" w:type="dxa"/>
            <w:shd w:val="clear" w:color="auto" w:fill="F2F2F2" w:themeFill="background1" w:themeFillShade="F2"/>
          </w:tcPr>
          <w:p w14:paraId="415A43CE" w14:textId="77777777" w:rsidR="00430564" w:rsidRPr="00B6688A" w:rsidRDefault="00430564" w:rsidP="002C2BA1">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2C2BA1">
            <w:pPr>
              <w:rPr>
                <w:rFonts w:asciiTheme="majorHAnsi" w:eastAsia="Calibri" w:hAnsiTheme="majorHAnsi" w:cstheme="majorHAnsi"/>
                <w:sz w:val="22"/>
                <w:szCs w:val="22"/>
              </w:rPr>
            </w:pPr>
            <w:hyperlink r:id="rId280">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002C2BA1">
        <w:tc>
          <w:tcPr>
            <w:tcW w:w="2335" w:type="dxa"/>
            <w:shd w:val="clear" w:color="auto" w:fill="F2F2F2" w:themeFill="background1" w:themeFillShade="F2"/>
          </w:tcPr>
          <w:p w14:paraId="1FC7722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1">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2C2BA1">
            <w:pPr>
              <w:rPr>
                <w:rFonts w:asciiTheme="majorHAnsi" w:eastAsia="Calibri" w:hAnsiTheme="majorHAnsi" w:cstheme="majorHAnsi"/>
                <w:sz w:val="22"/>
                <w:szCs w:val="22"/>
              </w:rPr>
            </w:pPr>
            <w:hyperlink r:id="rId282">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002C2BA1">
        <w:tc>
          <w:tcPr>
            <w:tcW w:w="2335" w:type="dxa"/>
            <w:shd w:val="clear" w:color="auto" w:fill="F2F2F2" w:themeFill="background1" w:themeFillShade="F2"/>
          </w:tcPr>
          <w:p w14:paraId="44B59840" w14:textId="77777777" w:rsidR="00430564" w:rsidRPr="00B6688A" w:rsidRDefault="00430564" w:rsidP="002C2BA1">
            <w:pPr>
              <w:rPr>
                <w:rFonts w:asciiTheme="majorHAnsi" w:eastAsia="Calibri" w:hAnsiTheme="majorHAnsi" w:cstheme="majorHAnsi"/>
                <w:sz w:val="22"/>
                <w:szCs w:val="22"/>
              </w:rPr>
            </w:pPr>
            <w:hyperlink r:id="rId283">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Assignment of Benefits Reform</w:t>
            </w:r>
            <w:r w:rsidR="004A2CB9">
              <w:rPr>
                <w:rFonts w:asciiTheme="majorHAnsi" w:eastAsia="Calibri" w:hAnsiTheme="majorHAnsi" w:cstheme="majorHAnsi"/>
                <w:sz w:val="22"/>
                <w:szCs w:val="22"/>
              </w:rPr>
              <w:t>.</w:t>
            </w:r>
          </w:p>
        </w:tc>
      </w:tr>
      <w:tr w:rsidR="00430564" w:rsidRPr="00B6688A" w14:paraId="70864A3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2C2BA1">
            <w:pPr>
              <w:jc w:val="both"/>
              <w:rPr>
                <w:rFonts w:asciiTheme="majorHAnsi" w:eastAsia="Calibri" w:hAnsiTheme="majorHAnsi" w:cstheme="majorHAnsi"/>
              </w:rPr>
            </w:pPr>
            <w:hyperlink r:id="rId284">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640F3AB6" w:rsidR="00430564" w:rsidRPr="00B6688A" w:rsidRDefault="00FE6F81" w:rsidP="002C2BA1">
            <w:pPr>
              <w:rPr>
                <w:rFonts w:asciiTheme="majorHAnsi" w:eastAsia="Calibri" w:hAnsiTheme="majorHAnsi" w:cstheme="majorHAnsi"/>
                <w:sz w:val="22"/>
                <w:szCs w:val="22"/>
              </w:rPr>
            </w:pPr>
            <w:r w:rsidRPr="00FE6F81">
              <w:rPr>
                <w:rFonts w:asciiTheme="majorHAnsi" w:eastAsia="Calibri" w:hAnsiTheme="majorHAnsi" w:cstheme="majorHAnsi"/>
                <w:sz w:val="22"/>
                <w:szCs w:val="22"/>
              </w:rPr>
              <w:t>SB 2409 A</w:t>
            </w:r>
            <w:r w:rsidR="00371691">
              <w:rPr>
                <w:rFonts w:asciiTheme="majorHAnsi" w:eastAsia="Calibri" w:hAnsiTheme="majorHAnsi" w:cstheme="majorHAnsi"/>
                <w:sz w:val="22"/>
                <w:szCs w:val="22"/>
              </w:rPr>
              <w:t xml:space="preserve">mended Section </w:t>
            </w:r>
            <w:r w:rsidRPr="00FE6F81">
              <w:rPr>
                <w:rFonts w:asciiTheme="majorHAnsi" w:eastAsia="Calibri" w:hAnsiTheme="majorHAnsi" w:cstheme="majorHAnsi"/>
                <w:sz w:val="22"/>
                <w:szCs w:val="22"/>
              </w:rPr>
              <w:t>83-1-191, M</w:t>
            </w:r>
            <w:r w:rsidR="00371691">
              <w:rPr>
                <w:rFonts w:asciiTheme="majorHAnsi" w:eastAsia="Calibri" w:hAnsiTheme="majorHAnsi" w:cstheme="majorHAnsi"/>
                <w:sz w:val="22"/>
                <w:szCs w:val="22"/>
              </w:rPr>
              <w:t xml:space="preserve">ississippi Code of </w:t>
            </w:r>
            <w:r w:rsidRPr="00FE6F81">
              <w:rPr>
                <w:rFonts w:asciiTheme="majorHAnsi" w:eastAsia="Calibri" w:hAnsiTheme="majorHAnsi" w:cstheme="majorHAnsi"/>
                <w:sz w:val="22"/>
                <w:szCs w:val="22"/>
              </w:rPr>
              <w:t xml:space="preserve">1972, </w:t>
            </w:r>
            <w:r w:rsidR="00371691">
              <w:rPr>
                <w:rFonts w:asciiTheme="majorHAnsi" w:eastAsia="Calibri" w:hAnsiTheme="majorHAnsi" w:cstheme="majorHAnsi"/>
                <w:sz w:val="22"/>
                <w:szCs w:val="22"/>
              </w:rPr>
              <w:t xml:space="preserve">to rename the </w:t>
            </w:r>
            <w:r w:rsidRPr="00FE6F81">
              <w:rPr>
                <w:rFonts w:asciiTheme="majorHAnsi" w:eastAsia="Calibri" w:hAnsiTheme="majorHAnsi" w:cstheme="majorHAnsi"/>
                <w:sz w:val="22"/>
                <w:szCs w:val="22"/>
              </w:rPr>
              <w:t>"C</w:t>
            </w:r>
            <w:r w:rsidR="00371691">
              <w:rPr>
                <w:rFonts w:asciiTheme="majorHAnsi" w:eastAsia="Calibri" w:hAnsiTheme="majorHAnsi" w:cstheme="majorHAnsi"/>
                <w:sz w:val="22"/>
                <w:szCs w:val="22"/>
              </w:rPr>
              <w:t>omprehensive Hurricane Damage Mitigation Program” to the “ Strengthen Mississippi Homes Program.”</w:t>
            </w:r>
          </w:p>
        </w:tc>
      </w:tr>
      <w:tr w:rsidR="00430564" w:rsidRPr="00B6688A" w14:paraId="16C17F37" w14:textId="77777777" w:rsidTr="002C2BA1">
        <w:tc>
          <w:tcPr>
            <w:tcW w:w="2335" w:type="dxa"/>
            <w:shd w:val="clear" w:color="auto" w:fill="F2F2F2" w:themeFill="background1" w:themeFillShade="F2"/>
          </w:tcPr>
          <w:p w14:paraId="6AD9E91C" w14:textId="77777777" w:rsidR="00430564" w:rsidRPr="00B6688A" w:rsidRDefault="00430564" w:rsidP="002C2BA1">
            <w:pPr>
              <w:rPr>
                <w:rFonts w:asciiTheme="majorHAnsi" w:eastAsia="Calibri" w:hAnsiTheme="majorHAnsi" w:cstheme="majorHAnsi"/>
                <w:sz w:val="22"/>
                <w:szCs w:val="22"/>
              </w:rPr>
            </w:pPr>
            <w:hyperlink r:id="rId285">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2C2BA1">
            <w:pPr>
              <w:rPr>
                <w:rFonts w:asciiTheme="majorHAnsi" w:eastAsia="Calibri" w:hAnsiTheme="majorHAnsi" w:cstheme="majorHAnsi"/>
                <w:sz w:val="22"/>
                <w:szCs w:val="22"/>
              </w:rPr>
            </w:pPr>
            <w:hyperlink r:id="rId286">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6"/>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2C2BA1">
        <w:tc>
          <w:tcPr>
            <w:tcW w:w="2335" w:type="dxa"/>
            <w:shd w:val="clear" w:color="auto" w:fill="F2F2F2" w:themeFill="background1" w:themeFillShade="F2"/>
          </w:tcPr>
          <w:p w14:paraId="5608CB6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a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D22986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33D227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002C2BA1">
        <w:tc>
          <w:tcPr>
            <w:tcW w:w="2335" w:type="dxa"/>
            <w:shd w:val="clear" w:color="auto" w:fill="F2F2F2" w:themeFill="background1" w:themeFillShade="F2"/>
          </w:tcPr>
          <w:p w14:paraId="29D9840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 6109 (2018)</w:t>
            </w:r>
          </w:p>
        </w:tc>
        <w:tc>
          <w:tcPr>
            <w:tcW w:w="7110" w:type="dxa"/>
            <w:shd w:val="clear" w:color="auto" w:fill="F2F2F2" w:themeFill="background1" w:themeFillShade="F2"/>
          </w:tcPr>
          <w:p w14:paraId="18AA0164" w14:textId="29E6FDAB"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002C2BA1">
        <w:tc>
          <w:tcPr>
            <w:tcW w:w="2335" w:type="dxa"/>
            <w:shd w:val="clear" w:color="auto" w:fill="F2F2F2" w:themeFill="background1" w:themeFillShade="F2"/>
          </w:tcPr>
          <w:p w14:paraId="77AF38A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5D44EBB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Investor-owned utilities must file Wildfire Mitigation Plans; </w:t>
            </w:r>
            <w:r w:rsidR="002448E3">
              <w:rPr>
                <w:rFonts w:asciiTheme="majorHAnsi" w:eastAsia="Calibri" w:hAnsiTheme="majorHAnsi" w:cstheme="majorHAnsi"/>
                <w:sz w:val="22"/>
                <w:szCs w:val="22"/>
              </w:rPr>
              <w:t>the Washington Utilities and Transportation Commission (UTC) has the authority to approve/reject plans based on</w:t>
            </w:r>
            <w:r w:rsidRPr="00B6688A">
              <w:rPr>
                <w:rFonts w:asciiTheme="majorHAnsi" w:eastAsia="Calibri" w:hAnsiTheme="majorHAnsi" w:cstheme="majorHAnsi"/>
                <w:sz w:val="22"/>
                <w:szCs w:val="22"/>
              </w:rPr>
              <w:t xml:space="preserve"> quality, public input, and cost balance.</w:t>
            </w:r>
          </w:p>
        </w:tc>
      </w:tr>
      <w:tr w:rsidR="00430564" w:rsidRPr="00B6688A" w14:paraId="6E9F517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disclose climate risk, increasing transparency on how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is addressed.</w:t>
            </w:r>
          </w:p>
        </w:tc>
      </w:tr>
      <w:tr w:rsidR="00430564" w:rsidRPr="00B6688A" w14:paraId="31E44D1F" w14:textId="77777777" w:rsidTr="002C2BA1">
        <w:tc>
          <w:tcPr>
            <w:tcW w:w="2335" w:type="dxa"/>
            <w:shd w:val="clear" w:color="auto" w:fill="F2F2F2" w:themeFill="background1" w:themeFillShade="F2"/>
          </w:tcPr>
          <w:p w14:paraId="71047A3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002C2BA1">
        <w:tc>
          <w:tcPr>
            <w:tcW w:w="2335" w:type="dxa"/>
            <w:shd w:val="clear" w:color="auto" w:fill="F2F2F2" w:themeFill="background1" w:themeFillShade="F2"/>
          </w:tcPr>
          <w:p w14:paraId="196D32A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8"/>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6D1D7865"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EA0A75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002C2BA1">
        <w:tc>
          <w:tcPr>
            <w:tcW w:w="2335" w:type="dxa"/>
            <w:shd w:val="clear" w:color="auto" w:fill="F2F2F2" w:themeFill="background1" w:themeFillShade="F2"/>
          </w:tcPr>
          <w:p w14:paraId="081925F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labor depreciation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Depreciation"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roofing work; covers claims when roofing materials can't be replaced.</w:t>
            </w:r>
          </w:p>
        </w:tc>
      </w:tr>
      <w:tr w:rsidR="00430564" w:rsidRPr="00B6688A" w14:paraId="057A6093"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9726FC" w:rsidP="00430564">
      <w:pPr>
        <w:spacing w:after="0" w:line="276" w:lineRule="auto"/>
        <w:rPr>
          <w:rFonts w:asciiTheme="majorHAnsi" w:eastAsia="Calibri" w:hAnsiTheme="majorHAnsi" w:cstheme="majorHAnsi"/>
        </w:rPr>
      </w:pPr>
      <w:r>
        <w:rPr>
          <w:rFonts w:asciiTheme="majorHAnsi" w:hAnsiTheme="majorHAnsi" w:cstheme="majorHAnsi"/>
        </w:rPr>
        <w:pict w14:anchorId="4BD542D3">
          <v:rect id="_x0000_i1034" style="width:0;height:1.5pt" o:hralign="center" o:hrstd="t" o:hr="t" fillcolor="#a0a0a0" stroked="f"/>
        </w:pict>
      </w:r>
    </w:p>
    <w:p w14:paraId="365C0A1C" w14:textId="77777777" w:rsidR="00C028D6" w:rsidRPr="00B6688A" w:rsidRDefault="00C028D6">
      <w:pPr>
        <w:jc w:val="both"/>
        <w:rPr>
          <w:rFonts w:asciiTheme="majorHAnsi" w:eastAsia="Calibri" w:hAnsiTheme="majorHAnsi" w:cstheme="majorHAnsi"/>
        </w:rPr>
      </w:pPr>
    </w:p>
    <w:p w14:paraId="6BF0BBF2" w14:textId="77777777" w:rsidR="001932B2" w:rsidRPr="00B6688A" w:rsidRDefault="001932B2">
      <w:pPr>
        <w:jc w:val="both"/>
        <w:rPr>
          <w:rFonts w:asciiTheme="majorHAnsi" w:eastAsia="Calibri" w:hAnsiTheme="majorHAnsi" w:cstheme="majorHAnsi"/>
        </w:rPr>
      </w:pPr>
    </w:p>
    <w:p w14:paraId="47A2DFCA" w14:textId="77777777" w:rsidR="001932B2" w:rsidRPr="00B6688A" w:rsidRDefault="001932B2">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232" w:name="_Toc236057914"/>
      <w:r w:rsidRPr="00B6688A">
        <w:rPr>
          <w:rFonts w:asciiTheme="majorHAnsi" w:hAnsiTheme="majorHAnsi" w:cstheme="majorHAnsi"/>
        </w:rPr>
        <w:lastRenderedPageBreak/>
        <w:t>Key Terms</w:t>
      </w:r>
      <w:bookmarkEnd w:id="232"/>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72"/>
        <w:gridCol w:w="7272"/>
      </w:tblGrid>
      <w:tr w:rsidR="00B8318A" w:rsidRPr="00B6688A" w14:paraId="0DEA1CD1" w14:textId="77777777" w:rsidTr="002C2BA1">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2C2BA1">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reduced for depreciation based on age, wear and tear, or condition.</w:t>
            </w:r>
          </w:p>
        </w:tc>
      </w:tr>
      <w:tr w:rsidR="00B8318A" w:rsidRPr="00B6688A" w14:paraId="723C6F39"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insurance market made up of insurers licensed or authorized by a state to write insurance and subject to that state’s rate, form, solvency, and market conduct requirements.</w:t>
            </w:r>
          </w:p>
        </w:tc>
      </w:tr>
      <w:tr w:rsidR="00B8318A" w:rsidRPr="00B6688A" w14:paraId="447FD9E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savings account authorized by some states that allows consumers to set aside funds for disaster-related expenses, such as insurance deductibles, uninsured losses, or mitigation improvements.</w:t>
            </w:r>
          </w:p>
        </w:tc>
      </w:tr>
      <w:tr w:rsidR="00B8318A" w:rsidRPr="00B6688A" w14:paraId="75256D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policyholder or insured for payment or other benefits under an insurance policy after a loss.</w:t>
            </w:r>
          </w:p>
        </w:tc>
      </w:tr>
      <w:tr w:rsidR="00B8318A" w:rsidRPr="00B6688A" w14:paraId="1799A29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change to an insurance policy that adds, removes, or modifies coverage, terms, conditions, or exclusions.</w:t>
            </w:r>
          </w:p>
        </w:tc>
      </w:tr>
      <w:tr w:rsidR="00B8318A" w:rsidRPr="00B6688A" w14:paraId="1F8DF7C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2058CDD4"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Fair Access to Insurance Requirements </w:t>
            </w:r>
            <w:r w:rsidR="00B56337">
              <w:rPr>
                <w:rFonts w:asciiTheme="majorHAnsi" w:hAnsiTheme="majorHAnsi" w:cstheme="majorHAnsi"/>
              </w:rPr>
              <w:t>(FAIR) plans</w:t>
            </w:r>
            <w:r w:rsidRPr="00B6688A">
              <w:rPr>
                <w:rFonts w:asciiTheme="majorHAnsi" w:hAnsiTheme="majorHAnsi" w:cstheme="majorHAns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to reduce damage from wind, hail, hurricanes, and severe weather. FORTIFIED designations may apply to roofs, homes, commercial buildings, or multifamily structures.</w:t>
            </w:r>
          </w:p>
        </w:tc>
      </w:tr>
      <w:tr w:rsidR="00B8318A" w:rsidRPr="00B6688A" w14:paraId="710C60D0"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Property insurance that generally protects a home and personal property against covered losses and may also include 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Actions taken before a loss to reduce the likelihood or severity of damage. In the homeowners insurance context, mitigation may include roof strengthening, defensible space, elevation, floodproofing, storm shutters, stronger building codes, or community-level risk reduction.</w:t>
            </w:r>
          </w:p>
        </w:tc>
      </w:tr>
      <w:tr w:rsidR="00B8318A" w:rsidRPr="00B6688A" w14:paraId="2B7943C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deductible calculated as a percentage of the insured value or dwelling coverage limit, rather than a fixed dollar amount. These deductibles are often used for hurricane, windstorm, hail, wildfire, or earthquake risks.</w:t>
            </w:r>
          </w:p>
        </w:tc>
      </w:tr>
      <w:tr w:rsidR="00B8318A" w:rsidRPr="00B6688A" w14:paraId="7EE98F5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paid for insurance coverage. Premiums may be paid monthly, annually, or on another schedule, depending on the policy and insurer.</w:t>
            </w:r>
          </w:p>
        </w:tc>
      </w:tr>
      <w:tr w:rsidR="00B8318A" w:rsidRPr="00B6688A" w14:paraId="404D017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difference between total economic losses and the portion of those losses covered by insurance. A protection gap may arise when consumers are uninsured, underinsured, subject to exclusions or sublimits, or unable to afford coverage.</w:t>
            </w:r>
          </w:p>
        </w:tc>
      </w:tr>
      <w:tr w:rsidR="00B8318A" w:rsidRPr="00B6688A" w14:paraId="22D668C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7FC1170F"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mechanism that provides insurance coverage to consumers who cannot obtain coverage in the private admitted market. Residual markets are usually established by state law or regulation and may include FAIR </w:t>
            </w:r>
            <w:r w:rsidR="00A06550">
              <w:rPr>
                <w:rFonts w:asciiTheme="majorHAnsi" w:hAnsiTheme="majorHAnsi" w:cstheme="majorHAnsi"/>
              </w:rPr>
              <w:t>p</w:t>
            </w:r>
            <w:r w:rsidRPr="00B6688A">
              <w:rPr>
                <w:rFonts w:asciiTheme="majorHAnsi" w:hAnsiTheme="majorHAnsi" w:cstheme="majorHAnsi"/>
              </w:rPr>
              <w:t>lans, beach and wind plans, or other insurers of last resort.</w:t>
            </w:r>
          </w:p>
        </w:tc>
      </w:tr>
      <w:tr w:rsidR="00B8318A" w:rsidRPr="00B6688A" w14:paraId="1C9ED2B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Pricing that reflects the expected cost of risk, including expected losses, expenses, reinsurance costs, and other actuarially relevant factors. Risk-based pricing is intended to align premiums with the risk being insured.</w:t>
            </w:r>
          </w:p>
        </w:tc>
      </w:tr>
      <w:tr w:rsidR="00B8318A" w:rsidRPr="00B6688A" w14:paraId="00181CDF"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rating, classification, or numerical indicator used to estimate the relative risk of a property, area, or policyholder. Risk scores may be </w:t>
            </w:r>
            <w:r w:rsidRPr="00B6688A">
              <w:rPr>
                <w:rFonts w:asciiTheme="majorHAnsi" w:hAnsiTheme="majorHAnsi" w:cstheme="majorHAnsi"/>
              </w:rPr>
              <w:lastRenderedPageBreak/>
              <w:t>based on catastrophe models, property characteristics, claims history, location, mitigation features, or other data.</w:t>
            </w:r>
          </w:p>
        </w:tc>
      </w:tr>
      <w:tr w:rsidR="00B8318A" w:rsidRPr="00B6688A" w14:paraId="59BDEEB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lower coverage limit within an insurance policy that applies to a particular type of property, peril, expense, or loss, even when the overall policy limit is higher.</w:t>
            </w:r>
          </w:p>
        </w:tc>
      </w:tr>
      <w:tr w:rsidR="00B8318A" w:rsidRPr="00B6688A" w14:paraId="45DEF272"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written by nonadmitted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situation in which the amount of insurance coverage is not enough to fully repair, replace, or recover from a covered or uncovered loss. Underinsurance may result from insufficient limits, rising rebuilding costs, depreciation, exclusions, sublimits, or other coverage limitations.</w:t>
            </w:r>
          </w:p>
        </w:tc>
      </w:tr>
      <w:tr w:rsidR="00B8318A" w:rsidRPr="00B6688A" w14:paraId="3CC5A0D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Areas where homes, businesses, or other development are located within or near wildland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0DB527B3" w14:textId="77777777" w:rsidR="002A16E0" w:rsidRPr="00B6688A" w:rsidRDefault="002A16E0" w:rsidP="002A16E0">
      <w:pPr>
        <w:rPr>
          <w:rFonts w:asciiTheme="majorHAnsi" w:hAnsiTheme="majorHAnsi" w:cstheme="majorHAnsi"/>
        </w:rPr>
      </w:pPr>
    </w:p>
    <w:p w14:paraId="7309F524" w14:textId="77777777" w:rsidR="002A16E0" w:rsidRPr="00B6688A" w:rsidRDefault="002A16E0" w:rsidP="002A16E0">
      <w:pPr>
        <w:rPr>
          <w:rFonts w:asciiTheme="majorHAnsi" w:hAnsiTheme="majorHAnsi" w:cstheme="majorHAnsi"/>
        </w:rPr>
      </w:pPr>
    </w:p>
    <w:p w14:paraId="2200FAB8" w14:textId="77777777" w:rsidR="002A16E0" w:rsidRPr="00B6688A" w:rsidRDefault="002A16E0" w:rsidP="002A16E0">
      <w:pPr>
        <w:rPr>
          <w:rFonts w:asciiTheme="majorHAnsi" w:hAnsiTheme="majorHAnsi" w:cstheme="majorHAnsi"/>
        </w:rPr>
      </w:pPr>
    </w:p>
    <w:p w14:paraId="653B2A89" w14:textId="77777777" w:rsidR="002A16E0" w:rsidRPr="00B6688A" w:rsidRDefault="002A16E0" w:rsidP="002A16E0">
      <w:pPr>
        <w:rPr>
          <w:rFonts w:asciiTheme="majorHAnsi" w:hAnsiTheme="majorHAnsi" w:cstheme="majorHAnsi"/>
        </w:rPr>
      </w:pPr>
    </w:p>
    <w:p w14:paraId="6D706331" w14:textId="77777777" w:rsidR="002A16E0" w:rsidRPr="00B6688A" w:rsidRDefault="002A16E0" w:rsidP="002A16E0">
      <w:pPr>
        <w:rPr>
          <w:rFonts w:asciiTheme="majorHAnsi" w:hAnsiTheme="majorHAnsi" w:cstheme="majorHAnsi"/>
        </w:rPr>
      </w:pPr>
    </w:p>
    <w:p w14:paraId="35CDB977" w14:textId="77777777" w:rsidR="002A16E0" w:rsidRPr="00B6688A" w:rsidRDefault="002A16E0" w:rsidP="002A16E0">
      <w:pPr>
        <w:rPr>
          <w:rFonts w:asciiTheme="majorHAnsi" w:hAnsiTheme="majorHAnsi" w:cstheme="majorHAnsi"/>
        </w:rPr>
      </w:pPr>
    </w:p>
    <w:p w14:paraId="27B815D4" w14:textId="77777777" w:rsidR="002A16E0" w:rsidRPr="000669B6" w:rsidRDefault="002A16E0" w:rsidP="002A16E0">
      <w:pPr>
        <w:rPr>
          <w:rFonts w:asciiTheme="majorHAnsi" w:hAnsiTheme="majorHAnsi" w:cstheme="majorHAnsi"/>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233" w:name="_Toc236057915"/>
      <w:r w:rsidRPr="00B6688A">
        <w:rPr>
          <w:rFonts w:asciiTheme="majorHAnsi" w:hAnsiTheme="majorHAnsi" w:cstheme="majorHAnsi"/>
        </w:rPr>
        <w:lastRenderedPageBreak/>
        <w:t>Index</w:t>
      </w:r>
      <w:bookmarkEnd w:id="233"/>
    </w:p>
    <w:p w14:paraId="13646EC6" w14:textId="77777777" w:rsidR="001D4C05" w:rsidRPr="00B6688A" w:rsidRDefault="001D4C05">
      <w:pPr>
        <w:jc w:val="both"/>
        <w:rPr>
          <w:rFonts w:asciiTheme="majorHAnsi" w:eastAsia="Calibri" w:hAnsiTheme="majorHAnsi" w:cstheme="majorHAnsi"/>
          <w:noProof/>
        </w:rPr>
        <w:sectPr w:rsidR="001D4C05" w:rsidRPr="00B6688A" w:rsidSect="001D4C05">
          <w:headerReference w:type="even" r:id="rId287"/>
          <w:headerReference w:type="default" r:id="rId288"/>
          <w:footerReference w:type="even" r:id="rId289"/>
          <w:footerReference w:type="default" r:id="rId290"/>
          <w:headerReference w:type="first" r:id="rId291"/>
          <w:footerReference w:type="first" r:id="rId292"/>
          <w:pgSz w:w="12240" w:h="15840"/>
          <w:pgMar w:top="1440" w:right="1440" w:bottom="1440" w:left="1440" w:header="720" w:footer="720" w:gutter="0"/>
          <w:pgNumType w:start="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0EFA64B2" w14:textId="7FBBAE7C" w:rsidR="001D4C05" w:rsidRPr="00B6688A" w:rsidRDefault="001D4C05" w:rsidP="00326DF4">
      <w:pPr>
        <w:pStyle w:val="Index1"/>
        <w:tabs>
          <w:tab w:val="right" w:leader="dot" w:pos="4310"/>
        </w:tabs>
        <w:ind w:left="0" w:firstLine="0"/>
        <w:rPr>
          <w:rFonts w:asciiTheme="majorHAnsi" w:hAnsiTheme="majorHAnsi" w:cstheme="majorHAnsi"/>
          <w:noProof/>
        </w:rPr>
      </w:pPr>
      <w:r w:rsidRPr="00B6688A">
        <w:rPr>
          <w:rFonts w:asciiTheme="majorHAnsi" w:hAnsiTheme="majorHAnsi" w:cstheme="majorHAnsi"/>
          <w:noProof/>
        </w:rPr>
        <w:t>Actual Cash Value (ACV)</w:t>
      </w:r>
      <w:r w:rsidRPr="00B6688A">
        <w:rPr>
          <w:rFonts w:asciiTheme="majorHAnsi" w:hAnsiTheme="majorHAnsi" w:cstheme="majorHAnsi"/>
          <w:noProof/>
        </w:rPr>
        <w:tab/>
        <w:t>25, 26</w:t>
      </w:r>
    </w:p>
    <w:p w14:paraId="36F5AE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Admitted market</w:t>
      </w:r>
      <w:r w:rsidRPr="00B6688A">
        <w:rPr>
          <w:rFonts w:asciiTheme="majorHAnsi" w:hAnsiTheme="majorHAnsi" w:cstheme="majorHAnsi"/>
          <w:noProof/>
        </w:rPr>
        <w:tab/>
        <w:t>18, 27, 65, 66, 95, 106</w:t>
      </w:r>
    </w:p>
    <w:p w14:paraId="0A23C5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Alabama</w:t>
      </w:r>
      <w:r w:rsidRPr="00B6688A">
        <w:rPr>
          <w:rFonts w:asciiTheme="majorHAnsi" w:hAnsiTheme="majorHAnsi" w:cstheme="majorHAnsi"/>
          <w:noProof/>
        </w:rPr>
        <w:tab/>
        <w:t>13, 36, 37, 39, 40, 41, 42, 43, 54, 55, 98, 99</w:t>
      </w:r>
    </w:p>
    <w:p w14:paraId="195210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Assignment of benefits (AOB)</w:t>
      </w:r>
      <w:r w:rsidRPr="00B6688A">
        <w:rPr>
          <w:rFonts w:asciiTheme="majorHAnsi" w:hAnsiTheme="majorHAnsi" w:cstheme="majorHAnsi"/>
          <w:noProof/>
        </w:rPr>
        <w:tab/>
        <w:t>14</w:t>
      </w:r>
    </w:p>
    <w:p w14:paraId="7C3C7F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Atmospheric rivers</w:t>
      </w:r>
      <w:r w:rsidRPr="00B6688A">
        <w:rPr>
          <w:rFonts w:asciiTheme="majorHAnsi" w:hAnsiTheme="majorHAnsi" w:cstheme="majorHAnsi"/>
          <w:noProof/>
        </w:rPr>
        <w:tab/>
        <w:t>88</w:t>
      </w:r>
    </w:p>
    <w:p w14:paraId="3802B73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Billion-dollar disasters</w:t>
      </w:r>
      <w:r w:rsidRPr="00B6688A">
        <w:rPr>
          <w:rFonts w:asciiTheme="majorHAnsi" w:hAnsiTheme="majorHAnsi" w:cstheme="majorHAnsi"/>
          <w:noProof/>
        </w:rPr>
        <w:tab/>
        <w:t>0, 8, 17</w:t>
      </w:r>
    </w:p>
    <w:p w14:paraId="5B3AFF0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Building codes</w:t>
      </w:r>
      <w:r w:rsidRPr="00B6688A">
        <w:rPr>
          <w:rFonts w:asciiTheme="majorHAnsi" w:hAnsiTheme="majorHAnsi" w:cstheme="majorHAnsi"/>
          <w:noProof/>
        </w:rPr>
        <w:tab/>
        <w:t>10, 12, 13, 14, 33, 42, 43, 44, 46, 48, 52, 53, 78, 82, 95, 99, 101, 103, 105</w:t>
      </w:r>
    </w:p>
    <w:p w14:paraId="0157D2F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w:t>
      </w:r>
      <w:r w:rsidRPr="00B6688A">
        <w:rPr>
          <w:rFonts w:asciiTheme="majorHAnsi" w:hAnsiTheme="majorHAnsi" w:cstheme="majorHAnsi"/>
          <w:noProof/>
        </w:rPr>
        <w:tab/>
        <w:t>3, 5, 6, 15, 22, 27, 30, 35, 38, 39, 63, 64, 65, 66, 67, 68, 69, 71, 72, 80, 81, 82, 88, 89, 90, 91, 92, 93, 94, 96, 99, 100, 106</w:t>
      </w:r>
    </w:p>
    <w:p w14:paraId="21462D5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 Earthquake Authority (CEA)</w:t>
      </w:r>
      <w:r w:rsidRPr="00B6688A">
        <w:rPr>
          <w:rFonts w:asciiTheme="majorHAnsi" w:hAnsiTheme="majorHAnsi" w:cstheme="majorHAnsi"/>
          <w:noProof/>
        </w:rPr>
        <w:tab/>
        <w:t>35, 81, 82</w:t>
      </w:r>
    </w:p>
    <w:p w14:paraId="1C4759D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bonds</w:t>
      </w:r>
      <w:r w:rsidRPr="00B6688A">
        <w:rPr>
          <w:rFonts w:asciiTheme="majorHAnsi" w:hAnsiTheme="majorHAnsi" w:cstheme="majorHAnsi"/>
          <w:noProof/>
        </w:rPr>
        <w:tab/>
        <w:t>3</w:t>
      </w:r>
    </w:p>
    <w:p w14:paraId="784EB1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modeling</w:t>
      </w:r>
      <w:r w:rsidRPr="00B6688A">
        <w:rPr>
          <w:rFonts w:asciiTheme="majorHAnsi" w:hAnsiTheme="majorHAnsi" w:cstheme="majorHAnsi"/>
          <w:noProof/>
        </w:rPr>
        <w:tab/>
        <w:t>6, 7, 30, 38, 39, 48, 56, 64, 66, 67, 72, 89, 95, 99, 100, 101, 106, 107</w:t>
      </w:r>
    </w:p>
    <w:p w14:paraId="7E0EF21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Risk Management Center of Excellence (COE)</w:t>
      </w:r>
      <w:r w:rsidRPr="00B6688A">
        <w:rPr>
          <w:rFonts w:asciiTheme="majorHAnsi" w:hAnsiTheme="majorHAnsi" w:cstheme="majorHAnsi"/>
          <w:noProof/>
        </w:rPr>
        <w:tab/>
        <w:t>39, 49, 50, 56</w:t>
      </w:r>
    </w:p>
    <w:p w14:paraId="1E694C6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savings accounts</w:t>
      </w:r>
      <w:r w:rsidRPr="00B6688A">
        <w:rPr>
          <w:rFonts w:asciiTheme="majorHAnsi" w:hAnsiTheme="majorHAnsi" w:cstheme="majorHAnsi"/>
          <w:noProof/>
        </w:rPr>
        <w:tab/>
        <w:t>32, 56</w:t>
      </w:r>
    </w:p>
    <w:p w14:paraId="48A5816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Center for Insurance Policy and Research (CIPR)</w:t>
      </w:r>
      <w:r w:rsidRPr="00B6688A">
        <w:rPr>
          <w:rFonts w:asciiTheme="majorHAnsi" w:hAnsiTheme="majorHAnsi" w:cstheme="majorHAnsi"/>
          <w:noProof/>
        </w:rPr>
        <w:tab/>
        <w:t>19, 21, 32, 33, 36, 39, 56</w:t>
      </w:r>
    </w:p>
    <w:p w14:paraId="1062592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insurance</w:t>
      </w:r>
      <w:r w:rsidRPr="00B6688A">
        <w:rPr>
          <w:rFonts w:asciiTheme="majorHAnsi" w:hAnsiTheme="majorHAnsi" w:cstheme="majorHAnsi"/>
          <w:noProof/>
        </w:rPr>
        <w:tab/>
        <w:t>69, 93, 108</w:t>
      </w:r>
    </w:p>
    <w:p w14:paraId="28024BD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w:t>
      </w:r>
      <w:r w:rsidRPr="00B6688A">
        <w:rPr>
          <w:rFonts w:asciiTheme="majorHAnsi" w:hAnsiTheme="majorHAnsi" w:cstheme="majorHAnsi"/>
          <w:noProof/>
        </w:rPr>
        <w:tab/>
        <w:t>90, 100</w:t>
      </w:r>
    </w:p>
    <w:p w14:paraId="7B242C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 Districts</w:t>
      </w:r>
      <w:r w:rsidRPr="00B6688A">
        <w:rPr>
          <w:rFonts w:asciiTheme="majorHAnsi" w:hAnsiTheme="majorHAnsi" w:cstheme="majorHAnsi"/>
          <w:noProof/>
        </w:rPr>
        <w:tab/>
        <w:t>69, 90, 100</w:t>
      </w:r>
    </w:p>
    <w:p w14:paraId="35CA449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Colorado</w:t>
      </w:r>
      <w:r w:rsidRPr="00B6688A">
        <w:rPr>
          <w:rFonts w:asciiTheme="majorHAnsi" w:hAnsiTheme="majorHAnsi" w:cstheme="majorHAnsi"/>
          <w:noProof/>
        </w:rPr>
        <w:tab/>
        <w:t>8, 10, 28, 34, 63, 64, 73, 74, 75, 76, 101, 105, 109</w:t>
      </w:r>
    </w:p>
    <w:p w14:paraId="2BB5543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flood insurance</w:t>
      </w:r>
      <w:r w:rsidRPr="00B6688A">
        <w:rPr>
          <w:rFonts w:asciiTheme="majorHAnsi" w:hAnsiTheme="majorHAnsi" w:cstheme="majorHAnsi"/>
          <w:noProof/>
        </w:rPr>
        <w:tab/>
        <w:t>90</w:t>
      </w:r>
    </w:p>
    <w:p w14:paraId="666C2D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insurance</w:t>
      </w:r>
      <w:r w:rsidRPr="00B6688A">
        <w:rPr>
          <w:rFonts w:asciiTheme="majorHAnsi" w:hAnsiTheme="majorHAnsi" w:cstheme="majorHAnsi"/>
          <w:noProof/>
        </w:rPr>
        <w:tab/>
        <w:t>30, 70, 95</w:t>
      </w:r>
    </w:p>
    <w:p w14:paraId="5F18777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disclosures</w:t>
      </w:r>
      <w:r w:rsidRPr="00B6688A">
        <w:rPr>
          <w:rFonts w:asciiTheme="majorHAnsi" w:hAnsiTheme="majorHAnsi" w:cstheme="majorHAnsi"/>
          <w:noProof/>
        </w:rPr>
        <w:tab/>
        <w:t>3, 10</w:t>
      </w:r>
    </w:p>
    <w:p w14:paraId="48ABA5CF" w14:textId="5B876CC2"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education</w:t>
      </w:r>
      <w:r w:rsidRPr="00B6688A">
        <w:rPr>
          <w:rFonts w:asciiTheme="majorHAnsi" w:hAnsiTheme="majorHAnsi" w:cstheme="majorHAnsi"/>
          <w:noProof/>
        </w:rPr>
        <w:tab/>
        <w:t>10, 26, 45, 51, 95, 109, 111</w:t>
      </w:r>
    </w:p>
    <w:p w14:paraId="7C04DC0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outreach</w:t>
      </w:r>
      <w:r w:rsidRPr="00B6688A">
        <w:rPr>
          <w:rFonts w:asciiTheme="majorHAnsi" w:hAnsiTheme="majorHAnsi" w:cstheme="majorHAnsi"/>
          <w:noProof/>
        </w:rPr>
        <w:tab/>
        <w:t>61, 64, 71, 90, 94</w:t>
      </w:r>
    </w:p>
    <w:p w14:paraId="6179CC9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Contractor fraud</w:t>
      </w:r>
      <w:r w:rsidRPr="00B6688A">
        <w:rPr>
          <w:rFonts w:asciiTheme="majorHAnsi" w:hAnsiTheme="majorHAnsi" w:cstheme="majorHAnsi"/>
          <w:noProof/>
        </w:rPr>
        <w:tab/>
        <w:t>50</w:t>
      </w:r>
    </w:p>
    <w:p w14:paraId="18AB756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calls</w:t>
      </w:r>
      <w:r w:rsidRPr="00B6688A">
        <w:rPr>
          <w:rFonts w:asciiTheme="majorHAnsi" w:hAnsiTheme="majorHAnsi" w:cstheme="majorHAnsi"/>
          <w:noProof/>
        </w:rPr>
        <w:tab/>
        <w:t>14, 44, 47, 48, 55, 60, 62, 95, 103, 106</w:t>
      </w:r>
    </w:p>
    <w:p w14:paraId="04C2FB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collection</w:t>
      </w:r>
      <w:r w:rsidRPr="00B6688A">
        <w:rPr>
          <w:rFonts w:asciiTheme="majorHAnsi" w:hAnsiTheme="majorHAnsi" w:cstheme="majorHAnsi"/>
          <w:noProof/>
        </w:rPr>
        <w:tab/>
        <w:t>39, 40, 47, 58, 60, 64, 71, 74, 107</w:t>
      </w:r>
    </w:p>
    <w:p w14:paraId="47499BA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Deductibles</w:t>
      </w:r>
      <w:r w:rsidRPr="00B6688A">
        <w:rPr>
          <w:rFonts w:asciiTheme="majorHAnsi" w:hAnsiTheme="majorHAnsi" w:cstheme="majorHAnsi"/>
          <w:noProof/>
        </w:rPr>
        <w:tab/>
        <w:t>0, 5, 19, 20, 21, 22, 23, 26, 30, 32, 50, 78, 105, 111, 112</w:t>
      </w:r>
    </w:p>
    <w:p w14:paraId="6DE657B2"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percentage-based</w:t>
      </w:r>
      <w:r w:rsidRPr="00B6688A">
        <w:rPr>
          <w:rFonts w:asciiTheme="majorHAnsi" w:hAnsiTheme="majorHAnsi" w:cstheme="majorHAnsi"/>
          <w:noProof/>
        </w:rPr>
        <w:tab/>
        <w:t>24, 62</w:t>
      </w:r>
    </w:p>
    <w:p w14:paraId="38BF4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Defensible space</w:t>
      </w:r>
      <w:r w:rsidRPr="00B6688A">
        <w:rPr>
          <w:rFonts w:asciiTheme="majorHAnsi" w:hAnsiTheme="majorHAnsi" w:cstheme="majorHAnsi"/>
          <w:noProof/>
        </w:rPr>
        <w:tab/>
        <w:t>32, 68, 75, 80, 99, 101, 105, 106</w:t>
      </w:r>
    </w:p>
    <w:p w14:paraId="1C20EDD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Depopulation</w:t>
      </w:r>
      <w:r w:rsidRPr="00B6688A">
        <w:rPr>
          <w:rFonts w:asciiTheme="majorHAnsi" w:hAnsiTheme="majorHAnsi" w:cstheme="majorHAnsi"/>
          <w:noProof/>
        </w:rPr>
        <w:tab/>
        <w:t>46, 95, 107</w:t>
      </w:r>
    </w:p>
    <w:p w14:paraId="36500A8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Depreciation</w:t>
      </w:r>
      <w:r w:rsidRPr="00B6688A">
        <w:rPr>
          <w:rFonts w:asciiTheme="majorHAnsi" w:hAnsiTheme="majorHAnsi" w:cstheme="majorHAnsi"/>
          <w:noProof/>
        </w:rPr>
        <w:tab/>
        <w:t>0, 25, 26, 105</w:t>
      </w:r>
    </w:p>
    <w:p w14:paraId="37B1695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recovery</w:t>
      </w:r>
      <w:r w:rsidRPr="00B6688A">
        <w:rPr>
          <w:rFonts w:asciiTheme="majorHAnsi" w:hAnsiTheme="majorHAnsi" w:cstheme="majorHAnsi"/>
          <w:noProof/>
        </w:rPr>
        <w:tab/>
        <w:t>22, 30, 78, 111</w:t>
      </w:r>
    </w:p>
    <w:p w14:paraId="2C23D9B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response</w:t>
      </w:r>
      <w:r w:rsidRPr="00B6688A">
        <w:rPr>
          <w:rFonts w:asciiTheme="majorHAnsi" w:hAnsiTheme="majorHAnsi" w:cstheme="majorHAnsi"/>
          <w:noProof/>
        </w:rPr>
        <w:tab/>
        <w:t>51, 59, 61</w:t>
      </w:r>
    </w:p>
    <w:p w14:paraId="766445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Drone imagery</w:t>
      </w:r>
      <w:r w:rsidRPr="00B6688A">
        <w:rPr>
          <w:rFonts w:asciiTheme="majorHAnsi" w:hAnsiTheme="majorHAnsi" w:cstheme="majorHAnsi"/>
          <w:noProof/>
        </w:rPr>
        <w:tab/>
        <w:t>38</w:t>
      </w:r>
    </w:p>
    <w:p w14:paraId="7FD9A1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w:t>
      </w:r>
      <w:r w:rsidRPr="00B6688A">
        <w:rPr>
          <w:rFonts w:asciiTheme="majorHAnsi" w:hAnsiTheme="majorHAnsi" w:cstheme="majorHAnsi"/>
          <w:noProof/>
        </w:rPr>
        <w:tab/>
        <w:t>30, 35, 80, 81, 82, 100, 105</w:t>
      </w:r>
    </w:p>
    <w:p w14:paraId="5B027C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 insurance</w:t>
      </w:r>
      <w:r w:rsidRPr="00B6688A">
        <w:rPr>
          <w:rFonts w:asciiTheme="majorHAnsi" w:hAnsiTheme="majorHAnsi" w:cstheme="majorHAnsi"/>
          <w:noProof/>
        </w:rPr>
        <w:tab/>
        <w:t>35, 81, 100</w:t>
      </w:r>
    </w:p>
    <w:p w14:paraId="0967873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Emergency management</w:t>
      </w:r>
      <w:r w:rsidRPr="00B6688A">
        <w:rPr>
          <w:rFonts w:asciiTheme="majorHAnsi" w:hAnsiTheme="majorHAnsi" w:cstheme="majorHAnsi"/>
          <w:noProof/>
        </w:rPr>
        <w:tab/>
        <w:t>8, 37, 95</w:t>
      </w:r>
    </w:p>
    <w:p w14:paraId="63BA27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Exclusions</w:t>
      </w:r>
      <w:r w:rsidRPr="00B6688A">
        <w:rPr>
          <w:rFonts w:asciiTheme="majorHAnsi" w:hAnsiTheme="majorHAnsi" w:cstheme="majorHAnsi"/>
          <w:noProof/>
        </w:rPr>
        <w:tab/>
        <w:t>0, 9, 24, 68, 105</w:t>
      </w:r>
    </w:p>
    <w:p w14:paraId="7798F5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Extreme heat</w:t>
      </w:r>
      <w:r w:rsidRPr="00B6688A">
        <w:rPr>
          <w:rFonts w:asciiTheme="majorHAnsi" w:hAnsiTheme="majorHAnsi" w:cstheme="majorHAnsi"/>
          <w:noProof/>
        </w:rPr>
        <w:tab/>
        <w:t>65, 69, 88, 89, 90, 91, 92, 93, 94, 100</w:t>
      </w:r>
    </w:p>
    <w:p w14:paraId="41FEA9E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FAIR Plans</w:t>
      </w:r>
      <w:r w:rsidRPr="00B6688A">
        <w:rPr>
          <w:rFonts w:asciiTheme="majorHAnsi" w:hAnsiTheme="majorHAnsi" w:cstheme="majorHAnsi"/>
          <w:noProof/>
        </w:rPr>
        <w:tab/>
        <w:t>18, 19, 27, 31, 33, 34, 49, 56, 64, 65, 68, 70, 71, 74, 75, 78, 100, 101, 106, 107</w:t>
      </w:r>
    </w:p>
    <w:p w14:paraId="61C9C2A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Federal Emergency Management Agency (FEMA)</w:t>
      </w:r>
      <w:r w:rsidRPr="00B6688A">
        <w:rPr>
          <w:rFonts w:asciiTheme="majorHAnsi" w:hAnsiTheme="majorHAnsi" w:cstheme="majorHAnsi"/>
          <w:noProof/>
        </w:rPr>
        <w:tab/>
        <w:t>7, 8, 13, 39, 40, 51, 52, 53, 55, 58, 59, 81, 84, 87</w:t>
      </w:r>
    </w:p>
    <w:p w14:paraId="143CC36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FEMA data</w:t>
      </w:r>
      <w:r w:rsidRPr="00B6688A">
        <w:rPr>
          <w:rFonts w:asciiTheme="majorHAnsi" w:hAnsiTheme="majorHAnsi" w:cstheme="majorHAnsi"/>
          <w:noProof/>
        </w:rPr>
        <w:tab/>
        <w:t>7, 8</w:t>
      </w:r>
    </w:p>
    <w:p w14:paraId="7A2023B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w:t>
      </w:r>
      <w:r w:rsidRPr="00B6688A">
        <w:rPr>
          <w:rFonts w:asciiTheme="majorHAnsi" w:hAnsiTheme="majorHAnsi" w:cstheme="majorHAnsi"/>
          <w:noProof/>
        </w:rPr>
        <w:tab/>
        <w:t>5, 7, 8, 32, 33, 36, 39, 40, 44, 48, 51, 65, 69, 82, 83, 84, 85, 86, 87, 88, 89, 90, 91, 99, 100, 102, 104, 105, 108</w:t>
      </w:r>
    </w:p>
    <w:p w14:paraId="3E08497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 insurance</w:t>
      </w:r>
      <w:r w:rsidRPr="00B6688A">
        <w:rPr>
          <w:rFonts w:asciiTheme="majorHAnsi" w:hAnsiTheme="majorHAnsi" w:cstheme="majorHAnsi"/>
          <w:noProof/>
        </w:rPr>
        <w:tab/>
        <w:t>7, 83, 84, 85, 86, 89</w:t>
      </w:r>
    </w:p>
    <w:p w14:paraId="5EF7A72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w:t>
      </w:r>
      <w:r w:rsidRPr="00B6688A">
        <w:rPr>
          <w:rFonts w:asciiTheme="majorHAnsi" w:hAnsiTheme="majorHAnsi" w:cstheme="majorHAnsi"/>
          <w:noProof/>
        </w:rPr>
        <w:tab/>
        <w:t>13, 14, 15, 27, 29, 34, 35, 38, 39, 40, 43, 44, 45, 46, 82, 83, 84, 101, 102</w:t>
      </w:r>
    </w:p>
    <w:p w14:paraId="5DD4A19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 Hurricane Catastrophe Fund (FHCF)</w:t>
      </w:r>
      <w:r w:rsidRPr="00B6688A">
        <w:rPr>
          <w:rFonts w:asciiTheme="majorHAnsi" w:hAnsiTheme="majorHAnsi" w:cstheme="majorHAnsi"/>
          <w:noProof/>
        </w:rPr>
        <w:tab/>
        <w:t>34, 35, 43, 44</w:t>
      </w:r>
    </w:p>
    <w:p w14:paraId="4147111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FORTIFIED standards</w:t>
      </w:r>
      <w:r w:rsidRPr="00B6688A">
        <w:rPr>
          <w:rFonts w:asciiTheme="majorHAnsi" w:hAnsiTheme="majorHAnsi" w:cstheme="majorHAnsi"/>
          <w:noProof/>
        </w:rPr>
        <w:tab/>
        <w:t>13, 31, 41, 42, 47, 49, 50, 51, 53, 55, 56, 57, 58, 59, 61, 77, 98, 103, 104</w:t>
      </w:r>
    </w:p>
    <w:p w14:paraId="5E66876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Guaranty funds</w:t>
      </w:r>
      <w:r w:rsidRPr="00B6688A">
        <w:rPr>
          <w:rFonts w:asciiTheme="majorHAnsi" w:hAnsiTheme="majorHAnsi" w:cstheme="majorHAnsi"/>
          <w:noProof/>
        </w:rPr>
        <w:tab/>
        <w:t>28</w:t>
      </w:r>
    </w:p>
    <w:p w14:paraId="1E65462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Hail</w:t>
      </w:r>
      <w:r w:rsidRPr="00B6688A">
        <w:rPr>
          <w:rFonts w:asciiTheme="majorHAnsi" w:hAnsiTheme="majorHAnsi" w:cstheme="majorHAnsi"/>
          <w:noProof/>
        </w:rPr>
        <w:tab/>
        <w:t>13, 16, 31, 36, 41, 52, 54, 55, 56, 60, 61, 62, 101</w:t>
      </w:r>
    </w:p>
    <w:p w14:paraId="2E41D1F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 hardening</w:t>
      </w:r>
      <w:r w:rsidRPr="00B6688A">
        <w:rPr>
          <w:rFonts w:asciiTheme="majorHAnsi" w:hAnsiTheme="majorHAnsi" w:cstheme="majorHAnsi"/>
          <w:noProof/>
        </w:rPr>
        <w:tab/>
        <w:t>70, 98, 99</w:t>
      </w:r>
    </w:p>
    <w:p w14:paraId="2E20AB4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Home inventory</w:t>
      </w:r>
      <w:r w:rsidRPr="00B6688A">
        <w:rPr>
          <w:rFonts w:asciiTheme="majorHAnsi" w:hAnsiTheme="majorHAnsi" w:cstheme="majorHAnsi"/>
          <w:noProof/>
        </w:rPr>
        <w:tab/>
        <w:t>57, 61</w:t>
      </w:r>
    </w:p>
    <w:p w14:paraId="36568A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insurance</w:t>
      </w:r>
      <w:r w:rsidRPr="00B6688A">
        <w:rPr>
          <w:rFonts w:asciiTheme="majorHAnsi" w:hAnsiTheme="majorHAnsi" w:cstheme="majorHAnsi"/>
          <w:noProof/>
        </w:rPr>
        <w:tab/>
        <w:t>0, 1, 2, 3, 4, 6, 8, 9, 10, 11, 14, 20, 21, 22, 23, 27, 29, 40, 41, 43, 55, 57, 62, 73, 74, 76, 79, 81, 83, 98, 99, 100, 109, 110, 111, 112</w:t>
      </w:r>
    </w:p>
    <w:p w14:paraId="31167D3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Market Data Call</w:t>
      </w:r>
      <w:r w:rsidRPr="00B6688A">
        <w:rPr>
          <w:rFonts w:asciiTheme="majorHAnsi" w:hAnsiTheme="majorHAnsi" w:cstheme="majorHAnsi"/>
          <w:noProof/>
        </w:rPr>
        <w:tab/>
        <w:t>47, 50, 52</w:t>
      </w:r>
    </w:p>
    <w:p w14:paraId="46CE4BB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Hurricanes</w:t>
      </w:r>
      <w:r w:rsidRPr="00B6688A">
        <w:rPr>
          <w:rFonts w:asciiTheme="majorHAnsi" w:hAnsiTheme="majorHAnsi" w:cstheme="majorHAnsi"/>
          <w:noProof/>
        </w:rPr>
        <w:tab/>
        <w:t>4, 13, 17, 19, 21, 24, 31, 33, 35, 39, 40, 41, 43, 44, 45, 46, 48, 49, 50, 51, 52, 53, 58, 82, 83, 84, 86, 88, 93, 99, 102, 104</w:t>
      </w:r>
    </w:p>
    <w:p w14:paraId="733AC5A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Institute for Business and Home Safety (IBHS)</w:t>
      </w:r>
      <w:r w:rsidRPr="00B6688A">
        <w:rPr>
          <w:rFonts w:asciiTheme="majorHAnsi" w:hAnsiTheme="majorHAnsi" w:cstheme="majorHAnsi"/>
          <w:noProof/>
        </w:rPr>
        <w:tab/>
        <w:t>13, 31, 32, 33, 36, 42, 44, 49, 50, 52, 53, 55, 56, 59, 61, 78, 98, 103, 104</w:t>
      </w:r>
    </w:p>
    <w:p w14:paraId="30BD774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villages</w:t>
      </w:r>
      <w:r w:rsidRPr="00B6688A">
        <w:rPr>
          <w:rFonts w:asciiTheme="majorHAnsi" w:hAnsiTheme="majorHAnsi" w:cstheme="majorHAnsi"/>
          <w:noProof/>
        </w:rPr>
        <w:tab/>
        <w:t>84</w:t>
      </w:r>
    </w:p>
    <w:p w14:paraId="6F95AFF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Insurance-linked securities</w:t>
      </w:r>
      <w:r w:rsidRPr="00B6688A">
        <w:rPr>
          <w:rFonts w:asciiTheme="majorHAnsi" w:hAnsiTheme="majorHAnsi" w:cstheme="majorHAnsi"/>
          <w:noProof/>
        </w:rPr>
        <w:tab/>
        <w:t>3</w:t>
      </w:r>
    </w:p>
    <w:p w14:paraId="5C8B7F8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 solvency</w:t>
      </w:r>
      <w:r w:rsidRPr="00B6688A">
        <w:rPr>
          <w:rFonts w:asciiTheme="majorHAnsi" w:hAnsiTheme="majorHAnsi" w:cstheme="majorHAnsi"/>
          <w:noProof/>
        </w:rPr>
        <w:tab/>
        <w:t>1, 67</w:t>
      </w:r>
    </w:p>
    <w:p w14:paraId="6EA822E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Insurers of last resort</w:t>
      </w:r>
      <w:r w:rsidRPr="00B6688A">
        <w:rPr>
          <w:rFonts w:asciiTheme="majorHAnsi" w:hAnsiTheme="majorHAnsi" w:cstheme="majorHAnsi"/>
          <w:noProof/>
        </w:rPr>
        <w:tab/>
        <w:t>18, 19, 33, 34, 43, 46, 50, 52, 95, 101</w:t>
      </w:r>
    </w:p>
    <w:p w14:paraId="434FCE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Litigation</w:t>
      </w:r>
      <w:r w:rsidRPr="00B6688A">
        <w:rPr>
          <w:rFonts w:asciiTheme="majorHAnsi" w:hAnsiTheme="majorHAnsi" w:cstheme="majorHAnsi"/>
          <w:noProof/>
        </w:rPr>
        <w:tab/>
        <w:t>10, 14, 29</w:t>
      </w:r>
    </w:p>
    <w:p w14:paraId="67C4761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Louisiana</w:t>
      </w:r>
      <w:r w:rsidRPr="00B6688A">
        <w:rPr>
          <w:rFonts w:asciiTheme="majorHAnsi" w:hAnsiTheme="majorHAnsi" w:cstheme="majorHAnsi"/>
          <w:noProof/>
        </w:rPr>
        <w:tab/>
        <w:t>8, 36, 40, 46, 47, 48, 49, 50, 51, 52, 58, 85, 103</w:t>
      </w:r>
    </w:p>
    <w:p w14:paraId="76F2E9F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capacity</w:t>
      </w:r>
      <w:r w:rsidRPr="00B6688A">
        <w:rPr>
          <w:rFonts w:asciiTheme="majorHAnsi" w:hAnsiTheme="majorHAnsi" w:cstheme="majorHAnsi"/>
          <w:noProof/>
        </w:rPr>
        <w:tab/>
        <w:t>3, 43</w:t>
      </w:r>
    </w:p>
    <w:p w14:paraId="600720A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stability</w:t>
      </w:r>
      <w:r w:rsidRPr="00B6688A">
        <w:rPr>
          <w:rFonts w:asciiTheme="majorHAnsi" w:hAnsiTheme="majorHAnsi" w:cstheme="majorHAnsi"/>
          <w:noProof/>
        </w:rPr>
        <w:tab/>
        <w:t>0, 29, 55, 67</w:t>
      </w:r>
    </w:p>
    <w:p w14:paraId="0C7D1BE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Minnesota</w:t>
      </w:r>
      <w:r w:rsidRPr="00B6688A">
        <w:rPr>
          <w:rFonts w:asciiTheme="majorHAnsi" w:hAnsiTheme="majorHAnsi" w:cstheme="majorHAnsi"/>
          <w:noProof/>
        </w:rPr>
        <w:tab/>
        <w:t>9, 15, 20, 35, 36, 39, 54, 55, 56, 57, 73, 82, 84, 85, 103, 104</w:t>
      </w:r>
    </w:p>
    <w:p w14:paraId="36A48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Mississippi</w:t>
      </w:r>
      <w:r w:rsidRPr="00B6688A">
        <w:rPr>
          <w:rFonts w:asciiTheme="majorHAnsi" w:hAnsiTheme="majorHAnsi" w:cstheme="majorHAnsi"/>
          <w:noProof/>
        </w:rPr>
        <w:tab/>
        <w:t>40, 51, 52, 53, 54, 55, 57, 58, 59, 82, 85, 86, 87, 104</w:t>
      </w:r>
    </w:p>
    <w:p w14:paraId="5FE94E2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w:t>
      </w:r>
      <w:r w:rsidRPr="00B6688A">
        <w:rPr>
          <w:rFonts w:asciiTheme="majorHAnsi" w:hAnsiTheme="majorHAnsi" w:cstheme="majorHAnsi"/>
          <w:noProof/>
        </w:rPr>
        <w:tab/>
        <w:t>3, 6, 8, 30, 31, 32, 33, 34, 35, 36, 37, 39, 40, 41, 42, 43, 44, 45, 47, 49, 50, 51, 52, 54, 57, 59, 60, 61, 64, 65, 66, 69, 72, 73, 74, 75, 76, 77, 79, 80, 82, 84, 85, 87, 89, 90, 93, 94, 95, 96, 98, 99, 100, 101, 102, 103, 104, 105, 106, 108, 109, 111, 112</w:t>
      </w:r>
    </w:p>
    <w:p w14:paraId="146912A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discounts</w:t>
      </w:r>
      <w:r w:rsidRPr="00B6688A">
        <w:rPr>
          <w:rFonts w:asciiTheme="majorHAnsi" w:hAnsiTheme="majorHAnsi" w:cstheme="majorHAnsi"/>
          <w:noProof/>
        </w:rPr>
        <w:tab/>
        <w:t>32, 42, 52, 72, 102, 106, 112</w:t>
      </w:r>
    </w:p>
    <w:p w14:paraId="1DFE5A2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grants</w:t>
      </w:r>
      <w:r w:rsidRPr="00B6688A">
        <w:rPr>
          <w:rFonts w:asciiTheme="majorHAnsi" w:hAnsiTheme="majorHAnsi" w:cstheme="majorHAnsi"/>
          <w:noProof/>
        </w:rPr>
        <w:tab/>
        <w:t>41, 64, 82, 87, 103</w:t>
      </w:r>
    </w:p>
    <w:p w14:paraId="41D4715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Model transparency</w:t>
      </w:r>
      <w:r w:rsidRPr="00B6688A">
        <w:rPr>
          <w:rFonts w:asciiTheme="majorHAnsi" w:hAnsiTheme="majorHAnsi" w:cstheme="majorHAnsi"/>
          <w:noProof/>
        </w:rPr>
        <w:tab/>
        <w:t>6, 101</w:t>
      </w:r>
    </w:p>
    <w:p w14:paraId="0E0BF54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Multi-Agency Resource Centers (MARCs)</w:t>
      </w:r>
      <w:r w:rsidRPr="00B6688A">
        <w:rPr>
          <w:rFonts w:asciiTheme="majorHAnsi" w:hAnsiTheme="majorHAnsi" w:cstheme="majorHAnsi"/>
          <w:noProof/>
        </w:rPr>
        <w:tab/>
        <w:t>37, 61</w:t>
      </w:r>
    </w:p>
    <w:p w14:paraId="7BCDC89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NAIC Climate and Resiliency Task Force</w:t>
      </w:r>
      <w:r w:rsidRPr="00B6688A">
        <w:rPr>
          <w:rFonts w:asciiTheme="majorHAnsi" w:hAnsiTheme="majorHAnsi" w:cstheme="majorHAnsi"/>
          <w:noProof/>
        </w:rPr>
        <w:tab/>
        <w:t>73</w:t>
      </w:r>
    </w:p>
    <w:p w14:paraId="2094FE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Flood Insurance Program (NFIP)</w:t>
      </w:r>
      <w:r w:rsidRPr="00B6688A">
        <w:rPr>
          <w:rFonts w:asciiTheme="majorHAnsi" w:hAnsiTheme="majorHAnsi" w:cstheme="majorHAnsi"/>
          <w:noProof/>
        </w:rPr>
        <w:tab/>
        <w:t>7, 83, 90</w:t>
      </w:r>
    </w:p>
    <w:p w14:paraId="0F02D6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Oceanic and Atmospheric Administration (NOAA)</w:t>
      </w:r>
      <w:r w:rsidRPr="00B6688A">
        <w:rPr>
          <w:rFonts w:asciiTheme="majorHAnsi" w:hAnsiTheme="majorHAnsi" w:cstheme="majorHAnsi"/>
          <w:noProof/>
        </w:rPr>
        <w:tab/>
        <w:t>4, 5, 7, 8, 19, 38, 58</w:t>
      </w:r>
    </w:p>
    <w:p w14:paraId="7AE15CC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Risk Index</w:t>
      </w:r>
      <w:r w:rsidRPr="00B6688A">
        <w:rPr>
          <w:rFonts w:asciiTheme="majorHAnsi" w:hAnsiTheme="majorHAnsi" w:cstheme="majorHAnsi"/>
          <w:noProof/>
        </w:rPr>
        <w:tab/>
        <w:t>39</w:t>
      </w:r>
    </w:p>
    <w:p w14:paraId="32B0A2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NOAA data</w:t>
      </w:r>
      <w:r w:rsidRPr="00B6688A">
        <w:rPr>
          <w:rFonts w:asciiTheme="majorHAnsi" w:hAnsiTheme="majorHAnsi" w:cstheme="majorHAnsi"/>
          <w:noProof/>
        </w:rPr>
        <w:tab/>
        <w:t>8</w:t>
      </w:r>
    </w:p>
    <w:p w14:paraId="3D456DEB" w14:textId="27836FC8"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Nonrenewals</w:t>
      </w:r>
      <w:r w:rsidRPr="00B6688A">
        <w:rPr>
          <w:rFonts w:asciiTheme="majorHAnsi" w:hAnsiTheme="majorHAnsi" w:cstheme="majorHAnsi"/>
          <w:noProof/>
        </w:rPr>
        <w:tab/>
        <w:t>64, 71, 74, 76, 80, 83, 95, 107</w:t>
      </w:r>
    </w:p>
    <w:p w14:paraId="2B9695C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Oklahoma</w:t>
      </w:r>
      <w:r w:rsidRPr="00B6688A">
        <w:rPr>
          <w:rFonts w:asciiTheme="majorHAnsi" w:hAnsiTheme="majorHAnsi" w:cstheme="majorHAnsi"/>
          <w:noProof/>
        </w:rPr>
        <w:tab/>
        <w:t>39, 54, 55, 60, 61, 62, 105</w:t>
      </w:r>
    </w:p>
    <w:p w14:paraId="4AFBEE9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Parametric insurance</w:t>
      </w:r>
      <w:r w:rsidRPr="00B6688A">
        <w:rPr>
          <w:rFonts w:asciiTheme="majorHAnsi" w:hAnsiTheme="majorHAnsi" w:cstheme="majorHAnsi"/>
          <w:noProof/>
        </w:rPr>
        <w:tab/>
        <w:t>30, 31, 78, 85, 90, 94</w:t>
      </w:r>
    </w:p>
    <w:p w14:paraId="3DFD231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Plain-language disclosures</w:t>
      </w:r>
      <w:r w:rsidRPr="00B6688A">
        <w:rPr>
          <w:rFonts w:asciiTheme="majorHAnsi" w:hAnsiTheme="majorHAnsi" w:cstheme="majorHAnsi"/>
          <w:noProof/>
        </w:rPr>
        <w:tab/>
        <w:t>10, 111</w:t>
      </w:r>
    </w:p>
    <w:p w14:paraId="333937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Premium discounts</w:t>
      </w:r>
      <w:r w:rsidRPr="00B6688A">
        <w:rPr>
          <w:rFonts w:asciiTheme="majorHAnsi" w:hAnsiTheme="majorHAnsi" w:cstheme="majorHAnsi"/>
          <w:noProof/>
        </w:rPr>
        <w:tab/>
        <w:t>43, 95, 103, 104, 106</w:t>
      </w:r>
    </w:p>
    <w:p w14:paraId="350B53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Property Market Information Reporting (PMIR)</w:t>
      </w:r>
      <w:r w:rsidRPr="00B6688A">
        <w:rPr>
          <w:rFonts w:asciiTheme="majorHAnsi" w:hAnsiTheme="majorHAnsi" w:cstheme="majorHAnsi"/>
          <w:noProof/>
        </w:rPr>
        <w:tab/>
        <w:t>47</w:t>
      </w:r>
    </w:p>
    <w:p w14:paraId="0E7DD7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models</w:t>
      </w:r>
      <w:r w:rsidRPr="00B6688A">
        <w:rPr>
          <w:rFonts w:asciiTheme="majorHAnsi" w:hAnsiTheme="majorHAnsi" w:cstheme="majorHAnsi"/>
          <w:noProof/>
        </w:rPr>
        <w:tab/>
        <w:t>74</w:t>
      </w:r>
    </w:p>
    <w:p w14:paraId="0CC29D5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wildfire maps</w:t>
      </w:r>
      <w:r w:rsidRPr="00B6688A">
        <w:rPr>
          <w:rFonts w:asciiTheme="majorHAnsi" w:hAnsiTheme="majorHAnsi" w:cstheme="majorHAnsi"/>
          <w:noProof/>
        </w:rPr>
        <w:tab/>
        <w:t>6</w:t>
      </w:r>
    </w:p>
    <w:p w14:paraId="211B65D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Protection gaps</w:t>
      </w:r>
      <w:r w:rsidRPr="00B6688A">
        <w:rPr>
          <w:rFonts w:asciiTheme="majorHAnsi" w:hAnsiTheme="majorHAnsi" w:cstheme="majorHAnsi"/>
          <w:noProof/>
        </w:rPr>
        <w:tab/>
        <w:t>0, 1, 2, 20, 23, 24, 25, 26, 27, 29, 65, 73, 88, 89, 91, 106, 108</w:t>
      </w:r>
    </w:p>
    <w:p w14:paraId="331E5194"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filing</w:t>
      </w:r>
      <w:r w:rsidRPr="00B6688A">
        <w:rPr>
          <w:rFonts w:asciiTheme="majorHAnsi" w:hAnsiTheme="majorHAnsi" w:cstheme="majorHAnsi"/>
          <w:noProof/>
        </w:rPr>
        <w:tab/>
        <w:t>2, 39, 44, 49, 64, 66, 102, 105, 107</w:t>
      </w:r>
    </w:p>
    <w:p w14:paraId="2D2C734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regulation</w:t>
      </w:r>
    </w:p>
    <w:p w14:paraId="1D4E7250"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file-and-use</w:t>
      </w:r>
      <w:r w:rsidRPr="00B6688A">
        <w:rPr>
          <w:rFonts w:asciiTheme="majorHAnsi" w:hAnsiTheme="majorHAnsi" w:cstheme="majorHAnsi"/>
          <w:noProof/>
        </w:rPr>
        <w:tab/>
        <w:t>2, 49</w:t>
      </w:r>
    </w:p>
    <w:p w14:paraId="6584178A"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prior approval</w:t>
      </w:r>
      <w:r w:rsidRPr="00B6688A">
        <w:rPr>
          <w:rFonts w:asciiTheme="majorHAnsi" w:hAnsiTheme="majorHAnsi" w:cstheme="majorHAnsi"/>
          <w:noProof/>
        </w:rPr>
        <w:tab/>
        <w:t>2, 71</w:t>
      </w:r>
    </w:p>
    <w:p w14:paraId="1787F6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Reinsurance</w:t>
      </w:r>
      <w:r w:rsidRPr="00B6688A">
        <w:rPr>
          <w:rFonts w:asciiTheme="majorHAnsi" w:hAnsiTheme="majorHAnsi" w:cstheme="majorHAnsi"/>
          <w:noProof/>
        </w:rPr>
        <w:tab/>
        <w:t>3, 5, 15, 21, 31, 33, 34, 43, 44, 58, 64, 67, 68, 95, 99, 101, 107</w:t>
      </w:r>
    </w:p>
    <w:p w14:paraId="561AB99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Replacement Cost Value (RCV)</w:t>
      </w:r>
      <w:r w:rsidRPr="00B6688A">
        <w:rPr>
          <w:rFonts w:asciiTheme="majorHAnsi" w:hAnsiTheme="majorHAnsi" w:cstheme="majorHAnsi"/>
          <w:noProof/>
        </w:rPr>
        <w:tab/>
        <w:t>25, 26, 54</w:t>
      </w:r>
    </w:p>
    <w:p w14:paraId="5A4F082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Residual markets</w:t>
      </w:r>
      <w:r w:rsidRPr="00B6688A">
        <w:rPr>
          <w:rFonts w:asciiTheme="majorHAnsi" w:hAnsiTheme="majorHAnsi" w:cstheme="majorHAnsi"/>
          <w:noProof/>
        </w:rPr>
        <w:tab/>
        <w:t>26, 27</w:t>
      </w:r>
    </w:p>
    <w:p w14:paraId="24F9D8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Resilience</w:t>
      </w:r>
      <w:r w:rsidRPr="00B6688A">
        <w:rPr>
          <w:rFonts w:asciiTheme="majorHAnsi" w:hAnsiTheme="majorHAnsi" w:cstheme="majorHAnsi"/>
          <w:noProof/>
        </w:rPr>
        <w:tab/>
        <w:t>0, 1, 20, 29, 31, 32, 33, 34, 36, 37, 40, 44, 49, 50, 51, 53, 55, 58, 59, 60, 61, 62, 64, 69, 72, 73, 77, 78, 82, 83, 84, 85, 86, 88, 89, 90, 91, 92, 94, 95, 96, 98, 101, 102, 104, 105, 108, 110</w:t>
      </w:r>
    </w:p>
    <w:p w14:paraId="1FF76A8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Retrofitting</w:t>
      </w:r>
      <w:r w:rsidRPr="00B6688A">
        <w:rPr>
          <w:rFonts w:asciiTheme="majorHAnsi" w:hAnsiTheme="majorHAnsi" w:cstheme="majorHAnsi"/>
          <w:noProof/>
        </w:rPr>
        <w:tab/>
        <w:t>36, 52, 58, 77, 103</w:t>
      </w:r>
    </w:p>
    <w:p w14:paraId="71BDB9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mitigation</w:t>
      </w:r>
      <w:r w:rsidRPr="00B6688A">
        <w:rPr>
          <w:rFonts w:asciiTheme="majorHAnsi" w:hAnsiTheme="majorHAnsi" w:cstheme="majorHAnsi"/>
          <w:noProof/>
        </w:rPr>
        <w:tab/>
        <w:t>35, 39, 44, 72, 89, 91</w:t>
      </w:r>
    </w:p>
    <w:p w14:paraId="1683EBC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scores</w:t>
      </w:r>
      <w:r w:rsidRPr="00B6688A">
        <w:rPr>
          <w:rFonts w:asciiTheme="majorHAnsi" w:hAnsiTheme="majorHAnsi" w:cstheme="majorHAnsi"/>
          <w:noProof/>
        </w:rPr>
        <w:tab/>
        <w:t>30, 75, 95, 101, 106</w:t>
      </w:r>
    </w:p>
    <w:p w14:paraId="5DF9FD4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Risk-based pricing</w:t>
      </w:r>
      <w:r w:rsidRPr="00B6688A">
        <w:rPr>
          <w:rFonts w:asciiTheme="majorHAnsi" w:hAnsiTheme="majorHAnsi" w:cstheme="majorHAnsi"/>
          <w:noProof/>
        </w:rPr>
        <w:tab/>
        <w:t>3, 6, 52</w:t>
      </w:r>
    </w:p>
    <w:p w14:paraId="5A77470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Safer from Wildfire</w:t>
      </w:r>
      <w:r w:rsidRPr="00B6688A">
        <w:rPr>
          <w:rFonts w:asciiTheme="majorHAnsi" w:hAnsiTheme="majorHAnsi" w:cstheme="majorHAnsi"/>
          <w:noProof/>
        </w:rPr>
        <w:tab/>
        <w:t>65, 72, 96, 100</w:t>
      </w:r>
    </w:p>
    <w:p w14:paraId="2CED433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Satellite imagery</w:t>
      </w:r>
      <w:r w:rsidRPr="00B6688A">
        <w:rPr>
          <w:rFonts w:asciiTheme="majorHAnsi" w:hAnsiTheme="majorHAnsi" w:cstheme="majorHAnsi"/>
          <w:noProof/>
        </w:rPr>
        <w:tab/>
        <w:t>6, 38</w:t>
      </w:r>
    </w:p>
    <w:p w14:paraId="253792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Severe convective storms</w:t>
      </w:r>
      <w:r w:rsidRPr="00B6688A">
        <w:rPr>
          <w:rFonts w:asciiTheme="majorHAnsi" w:hAnsiTheme="majorHAnsi" w:cstheme="majorHAnsi"/>
          <w:noProof/>
        </w:rPr>
        <w:tab/>
        <w:t>17, 31, 47, 55</w:t>
      </w:r>
    </w:p>
    <w:p w14:paraId="60001C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Sublimits</w:t>
      </w:r>
      <w:r w:rsidRPr="00B6688A">
        <w:rPr>
          <w:rFonts w:asciiTheme="majorHAnsi" w:hAnsiTheme="majorHAnsi" w:cstheme="majorHAnsi"/>
          <w:noProof/>
        </w:rPr>
        <w:tab/>
        <w:t>24, 25</w:t>
      </w:r>
    </w:p>
    <w:p w14:paraId="7F40ED1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Surplus lines</w:t>
      </w:r>
      <w:r w:rsidRPr="00B6688A">
        <w:rPr>
          <w:rFonts w:asciiTheme="majorHAnsi" w:hAnsiTheme="majorHAnsi" w:cstheme="majorHAnsi"/>
          <w:noProof/>
        </w:rPr>
        <w:tab/>
        <w:t>18, 19, 26, 27, 30, 48, 80, 102</w:t>
      </w:r>
    </w:p>
    <w:p w14:paraId="78D4B1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Tornadoes</w:t>
      </w:r>
      <w:r w:rsidRPr="00B6688A">
        <w:rPr>
          <w:rFonts w:asciiTheme="majorHAnsi" w:hAnsiTheme="majorHAnsi" w:cstheme="majorHAnsi"/>
          <w:noProof/>
        </w:rPr>
        <w:tab/>
        <w:t>31, 52, 54, 55, 56, 60, 62, 99</w:t>
      </w:r>
    </w:p>
    <w:p w14:paraId="12B4BCB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Tort reform</w:t>
      </w:r>
      <w:r w:rsidRPr="00B6688A">
        <w:rPr>
          <w:rFonts w:asciiTheme="majorHAnsi" w:hAnsiTheme="majorHAnsi" w:cstheme="majorHAnsi"/>
          <w:noProof/>
        </w:rPr>
        <w:tab/>
        <w:t>14, 29</w:t>
      </w:r>
    </w:p>
    <w:p w14:paraId="3AB9875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Tsunami</w:t>
      </w:r>
      <w:r w:rsidRPr="00B6688A">
        <w:rPr>
          <w:rFonts w:asciiTheme="majorHAnsi" w:hAnsiTheme="majorHAnsi" w:cstheme="majorHAnsi"/>
          <w:noProof/>
        </w:rPr>
        <w:tab/>
        <w:t>81</w:t>
      </w:r>
    </w:p>
    <w:p w14:paraId="7A89BE9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Underinsurance</w:t>
      </w:r>
      <w:r w:rsidRPr="00B6688A">
        <w:rPr>
          <w:rFonts w:asciiTheme="majorHAnsi" w:hAnsiTheme="majorHAnsi" w:cstheme="majorHAnsi"/>
          <w:noProof/>
        </w:rPr>
        <w:tab/>
        <w:t>22, 23, 73, 75</w:t>
      </w:r>
    </w:p>
    <w:p w14:paraId="11608FB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Washington</w:t>
      </w:r>
      <w:r w:rsidRPr="00B6688A">
        <w:rPr>
          <w:rFonts w:asciiTheme="majorHAnsi" w:hAnsiTheme="majorHAnsi" w:cstheme="majorHAnsi"/>
          <w:noProof/>
        </w:rPr>
        <w:tab/>
        <w:t>30, 31, 63, 64, 76, 77, 78, 79, 105</w:t>
      </w:r>
    </w:p>
    <w:p w14:paraId="40769E5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w:t>
      </w:r>
      <w:r w:rsidRPr="00B6688A">
        <w:rPr>
          <w:rFonts w:asciiTheme="majorHAnsi" w:hAnsiTheme="majorHAnsi" w:cstheme="majorHAnsi"/>
          <w:noProof/>
        </w:rPr>
        <w:tab/>
        <w:t>4, 5, 6, 13, 17, 19, 21, 22, 24, 30, 31, 32, 36, 39, 40, 54, 63, 64, 65, 66, 67, 68, 69, 70, 71, 72, 73, 74, 75, 76, 77, 78, 79, 80, 89, 90, 91, 93, 94, 99, 100, 101, 105, 106, 107, 109</w:t>
      </w:r>
    </w:p>
    <w:p w14:paraId="21A4A22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 Prepared Home standard</w:t>
      </w:r>
      <w:r w:rsidRPr="00B6688A">
        <w:rPr>
          <w:rFonts w:asciiTheme="majorHAnsi" w:hAnsiTheme="majorHAnsi" w:cstheme="majorHAnsi"/>
          <w:noProof/>
        </w:rPr>
        <w:tab/>
        <w:t>32, 78</w:t>
      </w:r>
    </w:p>
    <w:p w14:paraId="43ECACD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Wildland-Urban Interface (WUI)</w:t>
      </w:r>
      <w:r w:rsidRPr="00B6688A">
        <w:rPr>
          <w:rFonts w:asciiTheme="majorHAnsi" w:hAnsiTheme="majorHAnsi" w:cstheme="majorHAnsi"/>
          <w:noProof/>
        </w:rPr>
        <w:tab/>
        <w:t>17, 63, 64, 73, 76, 79, 80, 101, 105, 109</w:t>
      </w:r>
    </w:p>
    <w:p w14:paraId="69B0BB8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w:t>
      </w:r>
      <w:r w:rsidRPr="00B6688A">
        <w:rPr>
          <w:rFonts w:asciiTheme="majorHAnsi" w:hAnsiTheme="majorHAnsi" w:cstheme="majorHAnsi"/>
          <w:noProof/>
        </w:rPr>
        <w:tab/>
        <w:t>6, 8, 13, 30, 31, 33, 36, 40, 41, 42, 43, 44, 45, 47, 48, 51, 52, 53, 54, 59, 60, 61, 62, 63, 73, 77, 94, 101, 102, 103, 104</w:t>
      </w:r>
    </w:p>
    <w:p w14:paraId="3C1726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Windstorms</w:t>
      </w:r>
      <w:r w:rsidRPr="00B6688A">
        <w:rPr>
          <w:rFonts w:asciiTheme="majorHAnsi" w:hAnsiTheme="majorHAnsi" w:cstheme="majorHAnsi"/>
          <w:noProof/>
        </w:rPr>
        <w:tab/>
        <w:t>24, 45, 49, 54, 102</w:t>
      </w:r>
    </w:p>
    <w:p w14:paraId="5F1B8BC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Wyoming</w:t>
      </w:r>
      <w:r w:rsidRPr="00B6688A">
        <w:rPr>
          <w:rFonts w:asciiTheme="majorHAnsi" w:hAnsiTheme="majorHAnsi" w:cstheme="majorHAnsi"/>
          <w:noProof/>
        </w:rPr>
        <w:tab/>
        <w:t>54, 55, 62, 63, 64, 79, 80, 105</w:t>
      </w:r>
    </w:p>
    <w:p w14:paraId="54D891F6" w14:textId="77777777" w:rsidR="001D4C05" w:rsidRPr="00B6688A" w:rsidRDefault="001D4C05">
      <w:pPr>
        <w:jc w:val="both"/>
        <w:rPr>
          <w:rFonts w:asciiTheme="majorHAnsi" w:eastAsia="Calibri" w:hAnsiTheme="majorHAnsi" w:cstheme="majorHAnsi"/>
          <w:noProof/>
        </w:rPr>
        <w:sectPr w:rsidR="001D4C05" w:rsidRPr="00B6688A" w:rsidSect="001D4C05">
          <w:type w:val="continuous"/>
          <w:pgSz w:w="12240" w:h="15840"/>
          <w:pgMar w:top="1440" w:right="1440" w:bottom="1440" w:left="1440" w:header="720" w:footer="720" w:gutter="0"/>
          <w:cols w:num="2" w:space="720"/>
          <w:titlePg/>
        </w:sectPr>
      </w:pPr>
    </w:p>
    <w:p w14:paraId="41BD9033" w14:textId="50FF17E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1D4C05">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FB1F9" w14:textId="77777777" w:rsidR="009726FC" w:rsidRDefault="009726FC">
      <w:pPr>
        <w:spacing w:after="0" w:line="240" w:lineRule="auto"/>
      </w:pPr>
      <w:r>
        <w:separator/>
      </w:r>
    </w:p>
  </w:endnote>
  <w:endnote w:type="continuationSeparator" w:id="0">
    <w:p w14:paraId="7C4909A0" w14:textId="77777777" w:rsidR="009726FC" w:rsidRDefault="00972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B1FAACB-D7FD-4B4B-A07B-A7412B92E1A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F2F7D975-37A9-49DA-8B76-026E4043772A}"/>
    <w:embedBold r:id="rId3" w:fontKey="{3A1F5B81-271A-4A59-8B00-C04398B4305F}"/>
    <w:embedItalic r:id="rId4" w:fontKey="{4274939E-8E5D-4138-8EF0-441D4500CE67}"/>
  </w:font>
  <w:font w:name="Aptos">
    <w:charset w:val="00"/>
    <w:family w:val="swiss"/>
    <w:pitch w:val="variable"/>
    <w:sig w:usb0="20000287" w:usb1="00000003" w:usb2="00000000" w:usb3="00000000" w:csb0="0000019F" w:csb1="00000000"/>
    <w:embedRegular r:id="rId5" w:fontKey="{B99A0A71-13B5-415F-B207-327CA9EFA74B}"/>
    <w:embedBold r:id="rId6" w:fontKey="{0FD70BAF-C589-4FFF-9BF9-6B926448735F}"/>
    <w:embedItalic r:id="rId7" w:fontKey="{CD28505A-44B4-4223-A0B5-31E236ACA784}"/>
  </w:font>
  <w:font w:name="Calibri">
    <w:panose1 w:val="020F0502020204030204"/>
    <w:charset w:val="00"/>
    <w:family w:val="swiss"/>
    <w:pitch w:val="variable"/>
    <w:sig w:usb0="E4002EFF" w:usb1="C200247B" w:usb2="00000009" w:usb3="00000000" w:csb0="000001FF" w:csb1="00000000"/>
    <w:embedRegular r:id="rId8" w:fontKey="{A16FEA11-A0E3-4845-9DC5-14AF4D78F3C7}"/>
    <w:embedBold r:id="rId9" w:fontKey="{3E325D2B-3347-4F40-9406-7EE9B4994525}"/>
    <w:embedItalic r:id="rId10" w:fontKey="{5E856DAB-B9DE-4D6D-BEE7-C102D1B49D3A}"/>
    <w:embedBoldItalic r:id="rId11" w:fontKey="{2E81381A-328D-45CA-BDDF-0E51E04291AF}"/>
  </w:font>
  <w:font w:name="Play">
    <w:altName w:val="Calibri"/>
    <w:charset w:val="00"/>
    <w:family w:val="auto"/>
    <w:pitch w:val="default"/>
    <w:embedRegular r:id="rId12" w:fontKey="{6FEEBA26-977F-42F6-A43D-3074206721F5}"/>
    <w:embedBold r:id="rId13" w:fontKey="{8EC23E54-542D-4BFA-B558-2B3B2E7380BF}"/>
  </w:font>
  <w:font w:name="Segoe UI">
    <w:panose1 w:val="020B0502040204020203"/>
    <w:charset w:val="00"/>
    <w:family w:val="swiss"/>
    <w:pitch w:val="variable"/>
    <w:sig w:usb0="E4002EFF" w:usb1="C000E47F" w:usb2="00000009" w:usb3="00000000" w:csb0="000001FF" w:csb1="00000000"/>
    <w:embedRegular r:id="rId14" w:fontKey="{C49AB13C-CCC7-4EC2-BC0B-4D63E677B2FF}"/>
  </w:font>
  <w:font w:name="Cambria Math">
    <w:panose1 w:val="02040503050406030204"/>
    <w:charset w:val="00"/>
    <w:family w:val="roman"/>
    <w:pitch w:val="variable"/>
    <w:sig w:usb0="E00006FF" w:usb1="420024FF" w:usb2="02000000" w:usb3="00000000" w:csb0="0000019F" w:csb1="00000000"/>
    <w:embedRegular r:id="rId15" w:fontKey="{9170964E-62D2-474C-93E6-B549DE747A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215" w14:textId="77777777" w:rsidR="00027627" w:rsidRDefault="0002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D6D4C" w14:textId="77777777" w:rsidR="009726FC" w:rsidRDefault="009726FC" w:rsidP="00D108A9">
      <w:pPr>
        <w:pStyle w:val="Footer"/>
        <w:pBdr>
          <w:bottom w:val="single" w:sz="6" w:space="1" w:color="auto"/>
        </w:pBdr>
      </w:pPr>
    </w:p>
    <w:p w14:paraId="0416DA93" w14:textId="77777777" w:rsidR="009726FC" w:rsidRPr="00D108A9" w:rsidRDefault="009726FC" w:rsidP="00D108A9">
      <w:pPr>
        <w:pStyle w:val="Footer"/>
      </w:pPr>
    </w:p>
  </w:footnote>
  <w:footnote w:type="continuationSeparator" w:id="0">
    <w:p w14:paraId="58039427" w14:textId="77777777" w:rsidR="009726FC" w:rsidRPr="003C1A94" w:rsidRDefault="009726FC" w:rsidP="003C1A94">
      <w:pPr>
        <w:pStyle w:val="Footer"/>
      </w:pPr>
    </w:p>
  </w:footnote>
  <w:footnote w:type="continuationNotice" w:id="1">
    <w:p w14:paraId="63AFECE1" w14:textId="77777777" w:rsidR="009726FC" w:rsidRPr="001E2D29" w:rsidRDefault="009726FC"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rise up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9">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8">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0">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9">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1">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0">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2"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1">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3"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2">
    <w:p w14:paraId="47ED4F98" w14:textId="77777777" w:rsidR="00FB1243" w:rsidRPr="00EB3BEF" w:rsidRDefault="007413BF">
      <w:pPr>
        <w:spacing w:after="60" w:line="240" w:lineRule="auto"/>
        <w:rPr>
          <w:rFonts w:asciiTheme="majorHAnsi" w:hAnsiTheme="majorHAnsi" w:cstheme="majorHAnsi"/>
          <w:color w:val="0064A8"/>
          <w:sz w:val="20"/>
          <w:szCs w:val="20"/>
          <w:u w:val="single"/>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hyperlink r:id="rId14">
        <w:r w:rsidR="00FB1243"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hyperlink>
      <w:r w:rsidRPr="00EB3BEF">
        <w:rPr>
          <w:rFonts w:asciiTheme="majorHAnsi" w:hAnsiTheme="majorHAnsi" w:cstheme="majorHAnsi"/>
          <w:color w:val="0064A8"/>
          <w:sz w:val="20"/>
          <w:szCs w:val="20"/>
          <w:u w:val="single"/>
        </w:rPr>
        <w:t>l</w:t>
      </w:r>
    </w:p>
  </w:footnote>
  <w:footnote w:id="13">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5">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4">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6">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5">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Rising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7" w:history="1">
        <w:r w:rsidR="00B8764B" w:rsidRPr="00475127">
          <w:rPr>
            <w:rStyle w:val="Hyperlink"/>
            <w:rFonts w:asciiTheme="majorHAnsi" w:hAnsiTheme="majorHAnsi" w:cstheme="majorHAnsi"/>
            <w:sz w:val="20"/>
            <w:szCs w:val="20"/>
          </w:rPr>
          <w:t>https://doi.org/10.1126/science.ade9223</w:t>
        </w:r>
      </w:hyperlink>
    </w:p>
  </w:footnote>
  <w:footnote w:id="16">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homeowners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change?. npj Clim. Action 4, 35 (2025). </w:t>
      </w:r>
      <w:hyperlink r:id="rId18">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17">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19"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18">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19">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0">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20"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1">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1"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2">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2"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3">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Federally-overlooked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3"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4">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5">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4">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6">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Hazus (2025) </w:t>
      </w:r>
      <w:hyperlink r:id="rId25"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-maps/products-tools/hazus#:~:text=Who%20Should%20Use%20Hazus?,the%20impacts%20of%20incoming%20storms.</w:t>
        </w:r>
      </w:hyperlink>
    </w:p>
  </w:footnote>
  <w:footnote w:id="27">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6">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28">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7"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29">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0">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8">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1">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29"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2">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30">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3">
    <w:p w14:paraId="47ED4FAE" w14:textId="0D09317A"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Schwarcz, Daniel, Brenda J. Cude, Kyle D. Logue, and German Marquez Alcala, Read But Not Understood? An Empirical Analysis of Consumer Comprehension in Homeowners Insurance (February 01, 2025). 112 Virginia Law Review (forthcoming, 2025), U of Michigan Law &amp; Econ Research Paper No. 24-043, Minnesota</w:t>
      </w:r>
      <w:r w:rsidR="00870578" w:rsidRPr="00C32233">
        <w:rPr>
          <w:rFonts w:asciiTheme="majorHAnsi" w:eastAsia="Calibri" w:hAnsiTheme="majorHAnsi" w:cstheme="majorHAnsi"/>
          <w:color w:val="000000"/>
          <w:sz w:val="20"/>
          <w:szCs w:val="20"/>
        </w:rPr>
        <w:fldChar w:fldCharType="begin"/>
      </w:r>
      <w:r w:rsidR="00870578" w:rsidRPr="00C32233">
        <w:rPr>
          <w:rFonts w:asciiTheme="majorHAnsi" w:eastAsia="Calibri" w:hAnsiTheme="majorHAnsi" w:cstheme="majorHAnsi"/>
          <w:color w:val="000000"/>
          <w:sz w:val="20"/>
          <w:szCs w:val="20"/>
        </w:rPr>
        <w:instrText xml:space="preserve"> XE "</w:instrText>
      </w:r>
      <w:r w:rsidR="00870578" w:rsidRPr="00C32233">
        <w:rPr>
          <w:rFonts w:asciiTheme="majorHAnsi" w:hAnsiTheme="majorHAnsi" w:cstheme="majorHAnsi"/>
          <w:sz w:val="20"/>
          <w:szCs w:val="20"/>
        </w:rPr>
        <w:instrText>Minnesota"</w:instrText>
      </w:r>
      <w:r w:rsidR="00870578" w:rsidRPr="00C32233">
        <w:rPr>
          <w:rFonts w:asciiTheme="majorHAnsi" w:eastAsia="Calibri" w:hAnsiTheme="majorHAnsi" w:cstheme="majorHAnsi"/>
          <w:color w:val="000000"/>
          <w:sz w:val="20"/>
          <w:szCs w:val="20"/>
        </w:rPr>
        <w:instrText xml:space="preserve"> </w:instrText>
      </w:r>
      <w:r w:rsidR="00870578" w:rsidRPr="00C32233">
        <w:rPr>
          <w:rFonts w:asciiTheme="majorHAnsi" w:eastAsia="Calibri" w:hAnsiTheme="majorHAnsi" w:cstheme="majorHAnsi"/>
          <w:color w:val="000000"/>
          <w:sz w:val="20"/>
          <w:szCs w:val="20"/>
        </w:rPr>
        <w:fldChar w:fldCharType="end"/>
      </w:r>
      <w:r w:rsidRPr="00C32233">
        <w:rPr>
          <w:rFonts w:asciiTheme="majorHAnsi" w:eastAsia="Calibri" w:hAnsiTheme="majorHAnsi" w:cstheme="majorHAnsi"/>
          <w:color w:val="000000"/>
          <w:sz w:val="20"/>
          <w:szCs w:val="20"/>
        </w:rPr>
        <w:t xml:space="preserve"> Legal Studies Research Paper No. 25-13</w:t>
      </w:r>
      <w:r w:rsidR="0040142B" w:rsidRPr="00C32233">
        <w:rPr>
          <w:rFonts w:asciiTheme="majorHAnsi" w:eastAsia="Calibri" w:hAnsiTheme="majorHAnsi" w:cstheme="majorHAnsi"/>
          <w:color w:val="000000"/>
          <w:sz w:val="20"/>
          <w:szCs w:val="20"/>
        </w:rPr>
        <w:t xml:space="preserve">. </w:t>
      </w:r>
      <w:hyperlink r:id="rId31" w:history="1">
        <w:r w:rsidR="00F115BE" w:rsidRPr="00C32233">
          <w:rPr>
            <w:rStyle w:val="Hyperlink"/>
            <w:rFonts w:asciiTheme="majorHAnsi" w:eastAsia="Calibri" w:hAnsiTheme="majorHAnsi" w:cstheme="majorHAnsi"/>
            <w:sz w:val="20"/>
            <w:szCs w:val="20"/>
          </w:rPr>
          <w:t>https://ssrn.com/abstract=5120347</w:t>
        </w:r>
      </w:hyperlink>
      <w:r w:rsidR="00F20372" w:rsidRPr="00C32233">
        <w:rPr>
          <w:rFonts w:asciiTheme="majorHAnsi" w:eastAsia="Calibri" w:hAnsiTheme="majorHAnsi" w:cstheme="majorHAnsi"/>
          <w:color w:val="000000"/>
          <w:sz w:val="20"/>
          <w:szCs w:val="20"/>
        </w:rPr>
        <w:t xml:space="preserve"> </w:t>
      </w:r>
      <w:r w:rsidRPr="00C32233">
        <w:rPr>
          <w:rFonts w:asciiTheme="majorHAnsi" w:eastAsia="Calibri" w:hAnsiTheme="majorHAnsi" w:cstheme="majorHAnsi"/>
          <w:color w:val="000000"/>
          <w:sz w:val="20"/>
          <w:szCs w:val="20"/>
        </w:rPr>
        <w:t>or </w:t>
      </w:r>
      <w:hyperlink r:id="rId32" w:history="1">
        <w:r w:rsidR="007F72B4" w:rsidRPr="00C32233">
          <w:rPr>
            <w:rStyle w:val="Hyperlink"/>
            <w:rFonts w:asciiTheme="majorHAnsi" w:eastAsia="Calibri" w:hAnsiTheme="majorHAnsi" w:cstheme="majorHAnsi"/>
            <w:sz w:val="20"/>
            <w:szCs w:val="20"/>
          </w:rPr>
          <w:t>http://dx.doi.org/10.2139/ssrn.5120347</w:t>
        </w:r>
      </w:hyperlink>
      <w:r w:rsidR="007F72B4">
        <w:rPr>
          <w:rFonts w:ascii="Calibri" w:eastAsia="Calibri" w:hAnsi="Calibri" w:cs="Calibri"/>
          <w:color w:val="000000"/>
          <w:sz w:val="20"/>
          <w:szCs w:val="20"/>
        </w:rPr>
        <w:t xml:space="preserve"> </w:t>
      </w:r>
    </w:p>
  </w:footnote>
  <w:footnote w:id="34">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895BBF" w:rsidRPr="00C32233">
        <w:rPr>
          <w:rFonts w:asciiTheme="majorHAnsi" w:eastAsia="Calibri" w:hAnsiTheme="majorHAnsi" w:cstheme="majorHAnsi"/>
          <w:sz w:val="20"/>
          <w:szCs w:val="20"/>
        </w:rPr>
        <w:t>Barenstein,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3"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5">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Rsmeans.com; RSMeans</w:t>
      </w:r>
      <w:r w:rsidR="00560324" w:rsidRPr="00C32233">
        <w:rPr>
          <w:rFonts w:asciiTheme="majorHAnsi" w:eastAsia="Calibri" w:hAnsiTheme="majorHAnsi" w:cstheme="majorHAnsi"/>
          <w:sz w:val="20"/>
          <w:szCs w:val="20"/>
          <w:vertAlign w:val="superscript"/>
        </w:rPr>
        <w:t>TM</w:t>
      </w:r>
      <w:r w:rsidR="00560324" w:rsidRPr="00C32233">
        <w:rPr>
          <w:rFonts w:asciiTheme="majorHAnsi" w:eastAsia="Calibri" w:hAnsiTheme="majorHAnsi" w:cstheme="majorHAnsi"/>
          <w:sz w:val="20"/>
          <w:szCs w:val="20"/>
        </w:rPr>
        <w:t xml:space="preserve"> Data. </w:t>
      </w:r>
      <w:hyperlink r:id="rId34"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6">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5">
        <w:r w:rsidR="00FB1243" w:rsidRPr="00C32233">
          <w:rPr>
            <w:rFonts w:asciiTheme="majorHAnsi" w:eastAsia="Calibri" w:hAnsiTheme="majorHAnsi" w:cstheme="majorHAnsi"/>
            <w:color w:val="0064A8"/>
            <w:sz w:val="20"/>
            <w:szCs w:val="20"/>
            <w:u w:val="single"/>
          </w:rPr>
          <w:t>https://doi.org/10.3390/su16104235</w:t>
        </w:r>
      </w:hyperlink>
    </w:p>
  </w:footnote>
  <w:footnote w:id="37">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6">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38">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7">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39">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8">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0">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9">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1">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How soaring prices for building materials impact housing.</w:t>
      </w:r>
      <w:hyperlink r:id="rId40">
        <w:r w:rsidR="00FB1243" w:rsidRPr="00CA5784">
          <w:rPr>
            <w:rFonts w:asciiTheme="majorHAnsi" w:eastAsia="Calibri" w:hAnsiTheme="majorHAnsi" w:cstheme="majorHAnsi"/>
            <w:color w:val="1155CC"/>
            <w:sz w:val="20"/>
            <w:szCs w:val="20"/>
            <w:u w:val="single"/>
          </w:rPr>
          <w:t xml:space="preserve"> </w:t>
        </w:r>
      </w:hyperlink>
      <w:hyperlink r:id="rId41">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2">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42">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3">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3">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4">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4">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5">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Sangameshwar, D. (2025, June 23). Tariffs drive up homeowners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5">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6">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6">
        <w:r w:rsidR="00FB1243" w:rsidRPr="00FE6995">
          <w:rPr>
            <w:rFonts w:asciiTheme="majorHAnsi" w:eastAsia="Calibri" w:hAnsiTheme="majorHAnsi" w:cstheme="majorHAnsi"/>
            <w:color w:val="0064A8"/>
            <w:sz w:val="20"/>
            <w:szCs w:val="20"/>
            <w:u w:val="single"/>
          </w:rPr>
          <w:t>https://doi.org/10.1007/s10479-023-05782-9</w:t>
        </w:r>
      </w:hyperlink>
    </w:p>
  </w:footnote>
  <w:footnote w:id="47">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7">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48">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8">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49">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Shahandashti, M. (2020). Post-hazard labor wage fluctuations: A comparative empirical analysis among different sub-sectors of the U.S. construction sector. Journal of Financial Management of Property and Construction, 25(3), 313–330. </w:t>
      </w:r>
      <w:hyperlink r:id="rId49">
        <w:r w:rsidR="00FB1243" w:rsidRPr="00A860B9">
          <w:rPr>
            <w:rFonts w:asciiTheme="majorHAnsi" w:eastAsia="Calibri" w:hAnsiTheme="majorHAnsi" w:cstheme="majorHAnsi"/>
            <w:color w:val="0064A8"/>
            <w:sz w:val="20"/>
            <w:szCs w:val="20"/>
            <w:u w:val="single"/>
          </w:rPr>
          <w:t>https://doi.org/10.1108/JFMPC-07-2019-0063</w:t>
        </w:r>
      </w:hyperlink>
    </w:p>
  </w:footnote>
  <w:footnote w:id="50">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50">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1">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51">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2">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52"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3">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3">
        <w:r w:rsidR="00FB1243">
          <w:rPr>
            <w:rFonts w:ascii="Calibri" w:eastAsia="Calibri" w:hAnsi="Calibri" w:cs="Calibri"/>
            <w:color w:val="0064A8"/>
            <w:sz w:val="20"/>
            <w:szCs w:val="20"/>
            <w:u w:val="single"/>
          </w:rPr>
          <w:t>https://doi.org/10.1061/AJRUA6.0000947</w:t>
        </w:r>
      </w:hyperlink>
    </w:p>
  </w:footnote>
  <w:footnote w:id="54">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4">
        <w:r w:rsidR="00FB1243">
          <w:rPr>
            <w:rFonts w:ascii="Calibri" w:eastAsia="Calibri" w:hAnsi="Calibri" w:cs="Calibri"/>
            <w:color w:val="0064A8"/>
            <w:sz w:val="20"/>
            <w:szCs w:val="20"/>
            <w:u w:val="single"/>
          </w:rPr>
          <w:t>https://nibs.org/wp-content/uploads/2025/04/NIBS_MMC_MitigationSaves_2019.pdf</w:t>
        </w:r>
      </w:hyperlink>
    </w:p>
  </w:footnote>
  <w:footnote w:id="55">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5">
        <w:r w:rsidR="00FB1243">
          <w:rPr>
            <w:rFonts w:ascii="Calibri" w:eastAsia="Calibri" w:hAnsi="Calibri" w:cs="Calibri"/>
            <w:color w:val="0064A8"/>
            <w:sz w:val="20"/>
            <w:szCs w:val="20"/>
            <w:u w:val="single"/>
          </w:rPr>
          <w:t>https://ibhs1.wpenginepowered.com/wp-content/uploads/RTS_2024_v2.pdf</w:t>
        </w:r>
      </w:hyperlink>
    </w:p>
  </w:footnote>
  <w:footnote w:id="56">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6">
        <w:r w:rsidR="00FB1243">
          <w:rPr>
            <w:rFonts w:ascii="Calibri" w:eastAsia="Calibri" w:hAnsi="Calibri" w:cs="Calibri"/>
            <w:color w:val="0064A8"/>
            <w:sz w:val="20"/>
            <w:szCs w:val="20"/>
            <w:u w:val="single"/>
          </w:rPr>
          <w:t>https://files.hudexchange.info/resources/documents/Resilient-Building-Codes-Narrative.pdf</w:t>
        </w:r>
      </w:hyperlink>
    </w:p>
  </w:footnote>
  <w:footnote w:id="57">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7">
        <w:r w:rsidR="00FB1243">
          <w:rPr>
            <w:rFonts w:ascii="Calibri" w:eastAsia="Calibri" w:hAnsi="Calibri" w:cs="Calibri"/>
            <w:color w:val="0064A8"/>
            <w:sz w:val="20"/>
            <w:szCs w:val="20"/>
            <w:u w:val="single"/>
          </w:rPr>
          <w:t>https://aldoi.gov/PDF/News/PerformanceIBHSFortifiedHomeConstructionHurricaneSally.pdf</w:t>
        </w:r>
      </w:hyperlink>
    </w:p>
  </w:footnote>
  <w:footnote w:id="58">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8">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59">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9"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0">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60">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1">
    <w:p w14:paraId="47ED4FCB" w14:textId="39D4C228"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Milliman. (2025, August 18). How recent tort reform</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Tort reform"</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s are shaping insurance claims [White Paper]. </w:t>
      </w:r>
      <w:hyperlink r:id="rId61">
        <w:r w:rsidR="00FB1243">
          <w:rPr>
            <w:rFonts w:ascii="Calibri" w:eastAsia="Calibri" w:hAnsi="Calibri" w:cs="Calibri"/>
            <w:color w:val="0064A8"/>
            <w:sz w:val="20"/>
            <w:szCs w:val="20"/>
            <w:u w:val="single"/>
          </w:rPr>
          <w:t>https://www.milliman.com/en/insight/how-tort-reforms-shaping-insurance-claims-florida-georgia</w:t>
        </w:r>
      </w:hyperlink>
    </w:p>
  </w:footnote>
  <w:footnote w:id="62">
    <w:p w14:paraId="47ED4FCC" w14:textId="010302BF"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Information Institute. (2019, March).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's assignment of benefits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crisis: Runaway litigation</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Litigation"</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is spreading, and consumers are paying the price [White paper]. </w:t>
      </w:r>
      <w:hyperlink r:id="rId62">
        <w:r w:rsidR="00FB1243">
          <w:rPr>
            <w:rFonts w:ascii="Calibri" w:eastAsia="Calibri" w:hAnsi="Calibri" w:cs="Calibri"/>
            <w:color w:val="0064A8"/>
            <w:sz w:val="20"/>
            <w:szCs w:val="20"/>
            <w:u w:val="single"/>
          </w:rPr>
          <w:t>https://www.iii.org/sites/default/files/docs/pdf/aobfl_wp_031319.pdf</w:t>
        </w:r>
      </w:hyperlink>
    </w:p>
  </w:footnote>
  <w:footnote w:id="63">
    <w:p w14:paraId="47ED4FCD" w14:textId="06A506D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(2016, February 8).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P15-088). </w:t>
      </w:r>
      <w:hyperlink r:id="rId63">
        <w:r w:rsidR="00FB1243">
          <w:rPr>
            <w:rFonts w:ascii="Calibri" w:eastAsia="Calibri" w:hAnsi="Calibri" w:cs="Calibri"/>
            <w:color w:val="0064A8"/>
            <w:sz w:val="20"/>
            <w:szCs w:val="20"/>
            <w:u w:val="single"/>
          </w:rPr>
          <w:t>https://floir.gov/docs-sf/default-source/property-and-casualty/assignmentbenefitsdatacallreport02082016.pdf</w:t>
        </w:r>
      </w:hyperlink>
    </w:p>
  </w:footnote>
  <w:footnote w:id="64">
    <w:p w14:paraId="47ED4FCE" w14:textId="303FB554"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(2017, December 1).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P16-093). </w:t>
      </w:r>
      <w:hyperlink r:id="rId64">
        <w:r w:rsidR="00FB1243">
          <w:rPr>
            <w:rFonts w:ascii="Calibri" w:eastAsia="Calibri" w:hAnsi="Calibri" w:cs="Calibri"/>
            <w:color w:val="0064A8"/>
            <w:sz w:val="20"/>
            <w:szCs w:val="20"/>
            <w:u w:val="single"/>
          </w:rPr>
          <w:t>https://floir.gov/docs-sf/default-source/property-and-casualty/assignmentbenefitsdatacallreport02082017.pdf</w:t>
        </w:r>
      </w:hyperlink>
    </w:p>
  </w:footnote>
  <w:footnote w:id="65">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5">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6">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r w:rsidR="00944494" w:rsidRPr="00B116EE">
        <w:rPr>
          <w:rFonts w:asciiTheme="majorHAnsi" w:eastAsia="Calibri" w:hAnsiTheme="majorHAnsi" w:cstheme="majorHAnsi"/>
          <w:sz w:val="20"/>
          <w:szCs w:val="20"/>
          <w:lang w:val="en-US"/>
        </w:rPr>
        <w:t xml:space="preserve">ProgramBusiness.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6"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67">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7"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68">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8">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69">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6849AE" w:rsidRPr="00B116EE">
        <w:rPr>
          <w:rFonts w:asciiTheme="majorHAnsi" w:eastAsia="Calibri" w:hAnsiTheme="majorHAnsi" w:cstheme="majorHAnsi"/>
          <w:sz w:val="20"/>
          <w:szCs w:val="20"/>
        </w:rPr>
        <w:t xml:space="preserve">Meierdiercks, J. (2021, June 21). </w:t>
      </w:r>
      <w:r w:rsidR="006849AE" w:rsidRPr="00B116EE">
        <w:rPr>
          <w:rFonts w:asciiTheme="majorHAnsi" w:hAnsiTheme="majorHAnsi" w:cstheme="majorHAnsi"/>
          <w:sz w:val="20"/>
          <w:szCs w:val="20"/>
          <w:lang w:val="en-US"/>
        </w:rPr>
        <w:t>Insurance Crisis Worsens in Hawai‘i’s “Condoland.”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9"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0">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70">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1">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71"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2">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72"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3">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73"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4">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4"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5">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5"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6">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Mockrin, Miranda, Barbara McGuinness, David Helmers, and Volker Radeloff. 2023.</w:t>
      </w:r>
      <w:r w:rsidRPr="00965454">
        <w:rPr>
          <w:rFonts w:asciiTheme="majorHAnsi" w:eastAsia="Calibri" w:hAnsiTheme="majorHAnsi" w:cstheme="majorHAnsi"/>
          <w:color w:val="0064A8"/>
          <w:sz w:val="20"/>
          <w:szCs w:val="20"/>
        </w:rPr>
        <w:t xml:space="preserve"> </w:t>
      </w:r>
      <w:hyperlink r:id="rId76">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77">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7"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78">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8"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79">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9" w:tgtFrame="_blank" w:history="1">
        <w:r w:rsidR="00D758A4" w:rsidRPr="00C45A0D">
          <w:rPr>
            <w:rStyle w:val="Hyperlink"/>
            <w:rFonts w:asciiTheme="majorHAnsi" w:eastAsia="Calibri" w:hAnsiTheme="majorHAnsi" w:cstheme="majorHAnsi"/>
            <w:sz w:val="20"/>
            <w:szCs w:val="20"/>
          </w:rPr>
          <w:t>NAIC 2023 Report</w:t>
        </w:r>
      </w:hyperlink>
    </w:p>
  </w:footnote>
  <w:footnote w:id="80">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80" w:tgtFrame="_blank" w:history="1">
        <w:r w:rsidRPr="00C45A0D">
          <w:rPr>
            <w:rStyle w:val="Hyperlink"/>
            <w:rFonts w:asciiTheme="majorHAnsi" w:eastAsia="Calibri" w:hAnsiTheme="majorHAnsi" w:cstheme="majorHAnsi"/>
          </w:rPr>
          <w:t>NAIC 2024 Report</w:t>
        </w:r>
      </w:hyperlink>
    </w:p>
  </w:footnote>
  <w:footnote w:id="81">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81"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2">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82"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3">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83"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4">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4"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5">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5" w:tgtFrame="_blank" w:history="1">
        <w:r w:rsidR="00506B65" w:rsidRPr="00675112">
          <w:rPr>
            <w:rStyle w:val="Hyperlink"/>
            <w:rFonts w:asciiTheme="majorHAnsi" w:eastAsia="Calibri" w:hAnsiTheme="majorHAnsi" w:cstheme="majorHAnsi"/>
            <w:sz w:val="20"/>
            <w:szCs w:val="20"/>
          </w:rPr>
          <w:t>NAIC 2023 Report</w:t>
        </w:r>
      </w:hyperlink>
    </w:p>
  </w:footnote>
  <w:footnote w:id="86">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6"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87">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7" w:tgtFrame="_blank" w:history="1">
        <w:r w:rsidR="00214C3D" w:rsidRPr="00675112">
          <w:rPr>
            <w:rStyle w:val="Hyperlink"/>
            <w:rFonts w:asciiTheme="majorHAnsi" w:eastAsia="Calibri" w:hAnsiTheme="majorHAnsi" w:cstheme="majorHAnsi"/>
            <w:sz w:val="20"/>
            <w:szCs w:val="20"/>
          </w:rPr>
          <w:t>NAIC 2023 Report</w:t>
        </w:r>
      </w:hyperlink>
    </w:p>
  </w:footnote>
  <w:footnote w:id="88">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8" w:history="1">
        <w:r w:rsidR="000313CD" w:rsidRPr="00B63F95">
          <w:rPr>
            <w:rStyle w:val="Hyperlink"/>
            <w:rFonts w:asciiTheme="majorHAnsi" w:hAnsiTheme="majorHAnsi" w:cstheme="majorHAnsi"/>
            <w:sz w:val="20"/>
            <w:szCs w:val="20"/>
          </w:rPr>
          <w:t>https://content.naic.org/sites/default/files/annual-report-2025.pdf</w:t>
        </w:r>
      </w:hyperlink>
    </w:p>
  </w:footnote>
  <w:footnote w:id="89">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9"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0">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90"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1">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91"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2">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92"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3">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93"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4">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(GreenwareTech).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4"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5">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5"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6">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6"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97">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7" w:history="1">
        <w:r w:rsidR="00CA56F2" w:rsidRPr="00B42C74">
          <w:rPr>
            <w:rStyle w:val="Hyperlink"/>
            <w:rFonts w:asciiTheme="majorHAnsi" w:eastAsia="Cambria" w:hAnsiTheme="majorHAnsi" w:cstheme="majorHAnsi"/>
            <w:sz w:val="20"/>
            <w:szCs w:val="20"/>
          </w:rPr>
          <w:t>https://www.preventionweb.net/publication/documents-and-publications/2025-climate-and-catastrophe-insight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98">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8"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99">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9">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0">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100"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1">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101"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2">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102" w:history="1">
        <w:r w:rsidR="00941641" w:rsidRPr="007646FD">
          <w:rPr>
            <w:rStyle w:val="Hyperlink"/>
            <w:rFonts w:asciiTheme="majorHAnsi" w:eastAsia="Calibri" w:hAnsiTheme="majorHAnsi" w:cstheme="majorHAnsi"/>
            <w:sz w:val="20"/>
            <w:szCs w:val="20"/>
          </w:rPr>
          <w:t>https://cdola.colorado.gov/prop123</w:t>
        </w:r>
      </w:hyperlink>
    </w:p>
  </w:footnote>
  <w:footnote w:id="103">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homeowners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change?. </w:t>
      </w:r>
      <w:r w:rsidRPr="007646FD">
        <w:rPr>
          <w:rFonts w:asciiTheme="majorHAnsi" w:eastAsia="Cambria" w:hAnsiTheme="majorHAnsi" w:cstheme="majorHAnsi"/>
          <w:i/>
          <w:iCs/>
          <w:color w:val="000000"/>
          <w:sz w:val="20"/>
          <w:szCs w:val="20"/>
        </w:rPr>
        <w:t>npj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103"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4">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s are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4"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5">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5"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06">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6"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07">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7"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08">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8"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09">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9"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0">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10"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1">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2">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11"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3">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12">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4">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13"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5">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4"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16">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5"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17">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6"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18">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7"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19">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8"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0">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9"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1">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20">
        <w:r w:rsidR="00FB1243" w:rsidRPr="00F6045C">
          <w:rPr>
            <w:rFonts w:asciiTheme="majorHAnsi" w:eastAsia="Calibri" w:hAnsiTheme="majorHAnsi" w:cstheme="majorHAnsi"/>
            <w:color w:val="0064A8"/>
            <w:sz w:val="20"/>
            <w:szCs w:val="20"/>
            <w:u w:val="single"/>
          </w:rPr>
          <w:t>https://www.lrl.mn.gov/docs/2025/mandated/250224.pdf</w:t>
        </w:r>
      </w:hyperlink>
    </w:p>
  </w:footnote>
  <w:footnote w:id="122">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21" w:history="1">
        <w:r w:rsidR="00E16F90" w:rsidRPr="00F6045C">
          <w:rPr>
            <w:rStyle w:val="Hyperlink"/>
            <w:rFonts w:asciiTheme="majorHAnsi" w:eastAsia="Calibri" w:hAnsiTheme="majorHAnsi" w:cstheme="majorHAnsi"/>
            <w:sz w:val="20"/>
            <w:szCs w:val="20"/>
          </w:rPr>
          <w:t>https://uphelp.org/buying-tips/</w:t>
        </w:r>
      </w:hyperlink>
    </w:p>
  </w:footnote>
  <w:footnote w:id="123">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22"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4">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AB500C" w:rsidRPr="00730D75">
        <w:rPr>
          <w:rFonts w:asciiTheme="majorHAnsi" w:hAnsiTheme="majorHAnsi" w:cstheme="majorHAnsi"/>
          <w:sz w:val="20"/>
          <w:szCs w:val="20"/>
        </w:rPr>
        <w:t xml:space="preserve">Molseed,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23"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5">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4"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5"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26">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6"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27">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7"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28">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8" w:history="1">
        <w:r w:rsidR="00047521" w:rsidRPr="009A7644">
          <w:rPr>
            <w:rStyle w:val="Hyperlink"/>
            <w:rFonts w:asciiTheme="majorHAnsi" w:eastAsia="Calibri" w:hAnsiTheme="majorHAnsi" w:cstheme="majorHAnsi"/>
            <w:sz w:val="20"/>
            <w:szCs w:val="20"/>
          </w:rPr>
          <w:t>https://www.safestrongal.com/</w:t>
        </w:r>
      </w:hyperlink>
    </w:p>
  </w:footnote>
  <w:footnote w:id="129">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9">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0">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30"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1">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31" w:history="1">
        <w:r w:rsidR="008F5C4B" w:rsidRPr="00475127">
          <w:rPr>
            <w:rStyle w:val="Hyperlink"/>
            <w:rFonts w:ascii="Calibri" w:eastAsia="Calibri" w:hAnsi="Calibri" w:cs="Calibri"/>
            <w:sz w:val="20"/>
            <w:szCs w:val="20"/>
          </w:rPr>
          <w:t>https://fphlm.cs.fiu.edu/</w:t>
        </w:r>
      </w:hyperlink>
    </w:p>
  </w:footnote>
  <w:footnote w:id="132">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32" w:history="1">
        <w:r w:rsidR="005408AB" w:rsidRPr="00475127">
          <w:rPr>
            <w:rStyle w:val="Hyperlink"/>
            <w:rFonts w:ascii="Calibri" w:eastAsia="Calibri" w:hAnsi="Calibri" w:cs="Calibri"/>
            <w:sz w:val="20"/>
            <w:szCs w:val="20"/>
          </w:rPr>
          <w:t>https://fphlm.cs.fiu.edu/docs/FPHLM_05_02_2014.pdf</w:t>
        </w:r>
      </w:hyperlink>
    </w:p>
  </w:footnote>
  <w:footnote w:id="133">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33"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4">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4" w:history="1">
        <w:r w:rsidR="000372B3" w:rsidRPr="00475127">
          <w:rPr>
            <w:rStyle w:val="Hyperlink"/>
            <w:rFonts w:ascii="Calibri" w:eastAsia="Calibri" w:hAnsi="Calibri" w:cs="Calibri"/>
            <w:sz w:val="20"/>
            <w:szCs w:val="20"/>
          </w:rPr>
          <w:t>https://www.insurance.ca.gov/01-consumers/180-climate-change/catmodelgroup.cfm</w:t>
        </w:r>
      </w:hyperlink>
    </w:p>
  </w:footnote>
  <w:footnote w:id="135">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5" w:history="1">
        <w:r w:rsidR="0096336D" w:rsidRPr="00475127">
          <w:rPr>
            <w:rStyle w:val="Hyperlink"/>
            <w:rFonts w:ascii="Calibri" w:eastAsia="Calibri" w:hAnsi="Calibri" w:cs="Calibri"/>
            <w:sz w:val="20"/>
            <w:szCs w:val="20"/>
          </w:rPr>
          <w:t>https://content.naic.org/research/catastrophe-modeling-center-of-excellence</w:t>
        </w:r>
      </w:hyperlink>
    </w:p>
  </w:footnote>
  <w:footnote w:id="136">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6"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37">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7"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38">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8">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9"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39">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AghaKouchak, A., Abatzoglou,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npj Nat. Hazards 2, 17 (2025). </w:t>
      </w:r>
      <w:hyperlink r:id="rId140"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0">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41"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1">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2">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Coverage neglect in homeowners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42">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3">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43"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4">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4"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5"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45">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6"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46">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7"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47">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8"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48">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9"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49">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50"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0">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51"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1">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52"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2">
    <w:p w14:paraId="47ED5021" w14:textId="7AA17FFA"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r w:rsidR="00617EEC" w:rsidRPr="003E23F8">
        <w:rPr>
          <w:rFonts w:asciiTheme="majorHAnsi" w:eastAsia="Cambria" w:hAnsiTheme="majorHAnsi" w:cstheme="majorHAnsi"/>
          <w:color w:val="000000"/>
          <w:sz w:val="20"/>
          <w:szCs w:val="20"/>
        </w:rPr>
        <w:t xml:space="preserve">Schwarcz, D., Cude, B. J., Logue, K. D., &amp; Alcala, G. M. (2026). </w:t>
      </w:r>
      <w:r w:rsidR="00617EEC" w:rsidRPr="003E23F8">
        <w:rPr>
          <w:rFonts w:asciiTheme="majorHAnsi" w:eastAsia="Cambria" w:hAnsiTheme="majorHAnsi" w:cstheme="majorHAnsi"/>
          <w:i/>
          <w:iCs/>
          <w:color w:val="000000"/>
          <w:sz w:val="20"/>
          <w:szCs w:val="20"/>
        </w:rPr>
        <w:t>Read but not understood? An empirical analysis of consumer comprehension in homeowners insurance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Homeowners insurance"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617EEC" w:rsidRPr="003E23F8">
        <w:rPr>
          <w:rFonts w:asciiTheme="majorHAnsi" w:eastAsia="Cambria" w:hAnsiTheme="majorHAnsi" w:cstheme="majorHAnsi"/>
          <w:color w:val="000000"/>
          <w:sz w:val="20"/>
          <w:szCs w:val="20"/>
        </w:rPr>
        <w:t xml:space="preserve">. Virginia Law Review, 112. </w:t>
      </w:r>
      <w:hyperlink r:id="rId153" w:history="1">
        <w:r w:rsidR="000C0E4E" w:rsidRPr="003E23F8">
          <w:rPr>
            <w:rStyle w:val="Hyperlink"/>
            <w:rFonts w:asciiTheme="majorHAnsi" w:eastAsia="Cambria" w:hAnsiTheme="majorHAnsi" w:cstheme="majorHAnsi"/>
            <w:sz w:val="20"/>
            <w:szCs w:val="20"/>
          </w:rPr>
          <w:t>https://papers.ssrn.com/sol3/papers.cfm?abstract_id=5120347</w:t>
        </w:r>
      </w:hyperlink>
      <w:r w:rsidR="000C0E4E" w:rsidRPr="003E23F8">
        <w:rPr>
          <w:rFonts w:asciiTheme="majorHAnsi" w:eastAsia="Cambria" w:hAnsiTheme="majorHAnsi" w:cstheme="majorHAnsi"/>
          <w:color w:val="000000"/>
          <w:sz w:val="20"/>
          <w:szCs w:val="20"/>
        </w:rPr>
        <w:t xml:space="preserve"> </w:t>
      </w:r>
    </w:p>
  </w:footnote>
  <w:footnote w:id="153">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4"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4">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5"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55">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6"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8" w14:textId="77777777" w:rsidR="00FB1243" w:rsidRPr="00D127C8" w:rsidRDefault="00FB1243" w:rsidP="00D12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4A80"/>
    <w:rsid w:val="0000590A"/>
    <w:rsid w:val="00005DEE"/>
    <w:rsid w:val="0000602F"/>
    <w:rsid w:val="00007666"/>
    <w:rsid w:val="00007D1B"/>
    <w:rsid w:val="00010AA9"/>
    <w:rsid w:val="0001439B"/>
    <w:rsid w:val="00014810"/>
    <w:rsid w:val="00015633"/>
    <w:rsid w:val="00015B8C"/>
    <w:rsid w:val="00017496"/>
    <w:rsid w:val="00017F5B"/>
    <w:rsid w:val="00025258"/>
    <w:rsid w:val="00026CA5"/>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7E5"/>
    <w:rsid w:val="00047521"/>
    <w:rsid w:val="00050DF1"/>
    <w:rsid w:val="00051DBC"/>
    <w:rsid w:val="00054686"/>
    <w:rsid w:val="0005698B"/>
    <w:rsid w:val="00057B8C"/>
    <w:rsid w:val="00063B78"/>
    <w:rsid w:val="000667EB"/>
    <w:rsid w:val="000669B6"/>
    <w:rsid w:val="00067DFB"/>
    <w:rsid w:val="000725E3"/>
    <w:rsid w:val="00073447"/>
    <w:rsid w:val="000737F2"/>
    <w:rsid w:val="000749EA"/>
    <w:rsid w:val="00074C6F"/>
    <w:rsid w:val="00075BD9"/>
    <w:rsid w:val="0007684A"/>
    <w:rsid w:val="000819A1"/>
    <w:rsid w:val="000827A4"/>
    <w:rsid w:val="00082CC6"/>
    <w:rsid w:val="000900B9"/>
    <w:rsid w:val="000919ED"/>
    <w:rsid w:val="000946D8"/>
    <w:rsid w:val="000956E9"/>
    <w:rsid w:val="00095A37"/>
    <w:rsid w:val="0009640B"/>
    <w:rsid w:val="000975D2"/>
    <w:rsid w:val="000A23C3"/>
    <w:rsid w:val="000A3A2D"/>
    <w:rsid w:val="000A4187"/>
    <w:rsid w:val="000A560D"/>
    <w:rsid w:val="000B0F87"/>
    <w:rsid w:val="000B181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97A"/>
    <w:rsid w:val="000F1090"/>
    <w:rsid w:val="000F35E3"/>
    <w:rsid w:val="000F416A"/>
    <w:rsid w:val="000F42A0"/>
    <w:rsid w:val="000F4744"/>
    <w:rsid w:val="000F5011"/>
    <w:rsid w:val="000F7188"/>
    <w:rsid w:val="00102CD0"/>
    <w:rsid w:val="001064C2"/>
    <w:rsid w:val="0011120E"/>
    <w:rsid w:val="001140CE"/>
    <w:rsid w:val="001152A9"/>
    <w:rsid w:val="001159F1"/>
    <w:rsid w:val="001201C4"/>
    <w:rsid w:val="001202EB"/>
    <w:rsid w:val="001217D1"/>
    <w:rsid w:val="00121DEA"/>
    <w:rsid w:val="00122884"/>
    <w:rsid w:val="00123530"/>
    <w:rsid w:val="0012661C"/>
    <w:rsid w:val="00130D9A"/>
    <w:rsid w:val="00131204"/>
    <w:rsid w:val="001338D4"/>
    <w:rsid w:val="00133923"/>
    <w:rsid w:val="0013401C"/>
    <w:rsid w:val="001354B3"/>
    <w:rsid w:val="0013568D"/>
    <w:rsid w:val="00135D2C"/>
    <w:rsid w:val="00136C64"/>
    <w:rsid w:val="00143D1F"/>
    <w:rsid w:val="00144B3E"/>
    <w:rsid w:val="00146631"/>
    <w:rsid w:val="001515D4"/>
    <w:rsid w:val="001516A2"/>
    <w:rsid w:val="001521F5"/>
    <w:rsid w:val="00152F10"/>
    <w:rsid w:val="001531AD"/>
    <w:rsid w:val="00153882"/>
    <w:rsid w:val="001538F9"/>
    <w:rsid w:val="00155D30"/>
    <w:rsid w:val="00156834"/>
    <w:rsid w:val="00156D40"/>
    <w:rsid w:val="0015758E"/>
    <w:rsid w:val="00161A5D"/>
    <w:rsid w:val="00165375"/>
    <w:rsid w:val="00171A35"/>
    <w:rsid w:val="00172DDC"/>
    <w:rsid w:val="00173215"/>
    <w:rsid w:val="00174607"/>
    <w:rsid w:val="00175A9C"/>
    <w:rsid w:val="00175E32"/>
    <w:rsid w:val="001762B0"/>
    <w:rsid w:val="00176F81"/>
    <w:rsid w:val="001772A9"/>
    <w:rsid w:val="001779B2"/>
    <w:rsid w:val="001804E8"/>
    <w:rsid w:val="001807E9"/>
    <w:rsid w:val="001808E8"/>
    <w:rsid w:val="0018090E"/>
    <w:rsid w:val="00181964"/>
    <w:rsid w:val="0018267C"/>
    <w:rsid w:val="00183A34"/>
    <w:rsid w:val="00186A41"/>
    <w:rsid w:val="00187414"/>
    <w:rsid w:val="001917E0"/>
    <w:rsid w:val="0019193F"/>
    <w:rsid w:val="001928F3"/>
    <w:rsid w:val="001932B2"/>
    <w:rsid w:val="00195452"/>
    <w:rsid w:val="001961F6"/>
    <w:rsid w:val="001A069E"/>
    <w:rsid w:val="001A08BF"/>
    <w:rsid w:val="001A1404"/>
    <w:rsid w:val="001A1964"/>
    <w:rsid w:val="001A2249"/>
    <w:rsid w:val="001A3CD1"/>
    <w:rsid w:val="001B0572"/>
    <w:rsid w:val="001B0CAB"/>
    <w:rsid w:val="001B134B"/>
    <w:rsid w:val="001B29A0"/>
    <w:rsid w:val="001B2E1C"/>
    <w:rsid w:val="001B3CA1"/>
    <w:rsid w:val="001B505F"/>
    <w:rsid w:val="001B644E"/>
    <w:rsid w:val="001B6C48"/>
    <w:rsid w:val="001B7343"/>
    <w:rsid w:val="001B76E7"/>
    <w:rsid w:val="001C1371"/>
    <w:rsid w:val="001C1FE1"/>
    <w:rsid w:val="001C3D12"/>
    <w:rsid w:val="001C6828"/>
    <w:rsid w:val="001D1333"/>
    <w:rsid w:val="001D1C1C"/>
    <w:rsid w:val="001D2290"/>
    <w:rsid w:val="001D4025"/>
    <w:rsid w:val="001D40DD"/>
    <w:rsid w:val="001D479C"/>
    <w:rsid w:val="001D4C05"/>
    <w:rsid w:val="001D4DA7"/>
    <w:rsid w:val="001D4E53"/>
    <w:rsid w:val="001D5FEC"/>
    <w:rsid w:val="001E029A"/>
    <w:rsid w:val="001E185B"/>
    <w:rsid w:val="001E2D29"/>
    <w:rsid w:val="001E3144"/>
    <w:rsid w:val="001E5F0B"/>
    <w:rsid w:val="001E6288"/>
    <w:rsid w:val="001E7056"/>
    <w:rsid w:val="001F04A7"/>
    <w:rsid w:val="001F359B"/>
    <w:rsid w:val="001F39DB"/>
    <w:rsid w:val="001F660C"/>
    <w:rsid w:val="001F6C76"/>
    <w:rsid w:val="002000C4"/>
    <w:rsid w:val="0020186C"/>
    <w:rsid w:val="0020211C"/>
    <w:rsid w:val="002026BC"/>
    <w:rsid w:val="002033FE"/>
    <w:rsid w:val="002129E8"/>
    <w:rsid w:val="002141FB"/>
    <w:rsid w:val="00214C3D"/>
    <w:rsid w:val="0021552D"/>
    <w:rsid w:val="002163BB"/>
    <w:rsid w:val="00216CEF"/>
    <w:rsid w:val="0022323C"/>
    <w:rsid w:val="002245FD"/>
    <w:rsid w:val="00224EB2"/>
    <w:rsid w:val="00226799"/>
    <w:rsid w:val="002278D7"/>
    <w:rsid w:val="0023039A"/>
    <w:rsid w:val="0023122F"/>
    <w:rsid w:val="00231BC1"/>
    <w:rsid w:val="002336E5"/>
    <w:rsid w:val="00233AC4"/>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45F3"/>
    <w:rsid w:val="002652AD"/>
    <w:rsid w:val="00265E58"/>
    <w:rsid w:val="002677F8"/>
    <w:rsid w:val="002678C7"/>
    <w:rsid w:val="00270591"/>
    <w:rsid w:val="0027188A"/>
    <w:rsid w:val="00275A7A"/>
    <w:rsid w:val="002762CB"/>
    <w:rsid w:val="00277F7C"/>
    <w:rsid w:val="002807E0"/>
    <w:rsid w:val="00282FC7"/>
    <w:rsid w:val="002833C3"/>
    <w:rsid w:val="002836B7"/>
    <w:rsid w:val="00287BBD"/>
    <w:rsid w:val="00287D39"/>
    <w:rsid w:val="0029209F"/>
    <w:rsid w:val="00293EC4"/>
    <w:rsid w:val="002A16E0"/>
    <w:rsid w:val="002A29F6"/>
    <w:rsid w:val="002A333B"/>
    <w:rsid w:val="002A36E3"/>
    <w:rsid w:val="002A6B56"/>
    <w:rsid w:val="002A7E37"/>
    <w:rsid w:val="002B509A"/>
    <w:rsid w:val="002B52BF"/>
    <w:rsid w:val="002B56F1"/>
    <w:rsid w:val="002C1247"/>
    <w:rsid w:val="002C189E"/>
    <w:rsid w:val="002C3B29"/>
    <w:rsid w:val="002C4270"/>
    <w:rsid w:val="002C4DEC"/>
    <w:rsid w:val="002C5897"/>
    <w:rsid w:val="002C59FC"/>
    <w:rsid w:val="002C7C4B"/>
    <w:rsid w:val="002D473D"/>
    <w:rsid w:val="002D50CD"/>
    <w:rsid w:val="002D7815"/>
    <w:rsid w:val="002E04CF"/>
    <w:rsid w:val="002E0530"/>
    <w:rsid w:val="002E409F"/>
    <w:rsid w:val="002E4BF8"/>
    <w:rsid w:val="002E5D99"/>
    <w:rsid w:val="002E6498"/>
    <w:rsid w:val="002E6937"/>
    <w:rsid w:val="002E70AE"/>
    <w:rsid w:val="002E77CA"/>
    <w:rsid w:val="002E7C12"/>
    <w:rsid w:val="002F0A5D"/>
    <w:rsid w:val="002F4ACC"/>
    <w:rsid w:val="002F4D78"/>
    <w:rsid w:val="002F558F"/>
    <w:rsid w:val="002F57B3"/>
    <w:rsid w:val="002F57F6"/>
    <w:rsid w:val="002F5ADF"/>
    <w:rsid w:val="002F6994"/>
    <w:rsid w:val="002F7F55"/>
    <w:rsid w:val="00300452"/>
    <w:rsid w:val="00301872"/>
    <w:rsid w:val="00302B47"/>
    <w:rsid w:val="003066F2"/>
    <w:rsid w:val="003067C5"/>
    <w:rsid w:val="00310137"/>
    <w:rsid w:val="00311D3A"/>
    <w:rsid w:val="00311FB2"/>
    <w:rsid w:val="00312F9E"/>
    <w:rsid w:val="00316031"/>
    <w:rsid w:val="00316635"/>
    <w:rsid w:val="003169D2"/>
    <w:rsid w:val="003204A9"/>
    <w:rsid w:val="0032057E"/>
    <w:rsid w:val="003215C5"/>
    <w:rsid w:val="00322699"/>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51D"/>
    <w:rsid w:val="0033742E"/>
    <w:rsid w:val="0033743F"/>
    <w:rsid w:val="003408E1"/>
    <w:rsid w:val="00340D36"/>
    <w:rsid w:val="003415A1"/>
    <w:rsid w:val="00342550"/>
    <w:rsid w:val="0034471A"/>
    <w:rsid w:val="00345AAC"/>
    <w:rsid w:val="0034794C"/>
    <w:rsid w:val="00353C68"/>
    <w:rsid w:val="00356279"/>
    <w:rsid w:val="0035687C"/>
    <w:rsid w:val="00360798"/>
    <w:rsid w:val="00371691"/>
    <w:rsid w:val="00372EB3"/>
    <w:rsid w:val="003731BA"/>
    <w:rsid w:val="003776A5"/>
    <w:rsid w:val="00377BE2"/>
    <w:rsid w:val="00377FB4"/>
    <w:rsid w:val="0038101B"/>
    <w:rsid w:val="00381FD4"/>
    <w:rsid w:val="0038750D"/>
    <w:rsid w:val="00390983"/>
    <w:rsid w:val="0039109E"/>
    <w:rsid w:val="003910A8"/>
    <w:rsid w:val="003915B6"/>
    <w:rsid w:val="00391BAC"/>
    <w:rsid w:val="00391EEA"/>
    <w:rsid w:val="0039223A"/>
    <w:rsid w:val="00392DDA"/>
    <w:rsid w:val="00393882"/>
    <w:rsid w:val="00394147"/>
    <w:rsid w:val="00394970"/>
    <w:rsid w:val="00395CF2"/>
    <w:rsid w:val="00396549"/>
    <w:rsid w:val="0039708B"/>
    <w:rsid w:val="003A1135"/>
    <w:rsid w:val="003B1259"/>
    <w:rsid w:val="003B1B8F"/>
    <w:rsid w:val="003B2319"/>
    <w:rsid w:val="003B2798"/>
    <w:rsid w:val="003B3C83"/>
    <w:rsid w:val="003B4A29"/>
    <w:rsid w:val="003B4E82"/>
    <w:rsid w:val="003B648F"/>
    <w:rsid w:val="003B6AF4"/>
    <w:rsid w:val="003B78BA"/>
    <w:rsid w:val="003C039E"/>
    <w:rsid w:val="003C1A94"/>
    <w:rsid w:val="003C4572"/>
    <w:rsid w:val="003C5DB2"/>
    <w:rsid w:val="003C6041"/>
    <w:rsid w:val="003C7DD6"/>
    <w:rsid w:val="003D164E"/>
    <w:rsid w:val="003D25CB"/>
    <w:rsid w:val="003D5FEA"/>
    <w:rsid w:val="003D782C"/>
    <w:rsid w:val="003E23F8"/>
    <w:rsid w:val="003E4980"/>
    <w:rsid w:val="003E4F05"/>
    <w:rsid w:val="003E501D"/>
    <w:rsid w:val="003E5987"/>
    <w:rsid w:val="003E5D82"/>
    <w:rsid w:val="003E6B65"/>
    <w:rsid w:val="003E6D40"/>
    <w:rsid w:val="003F05AF"/>
    <w:rsid w:val="003F0616"/>
    <w:rsid w:val="003F1DEA"/>
    <w:rsid w:val="003F3851"/>
    <w:rsid w:val="003F3EDC"/>
    <w:rsid w:val="003F43D2"/>
    <w:rsid w:val="003F4FDF"/>
    <w:rsid w:val="003F646C"/>
    <w:rsid w:val="003F64BD"/>
    <w:rsid w:val="003F75C4"/>
    <w:rsid w:val="00400100"/>
    <w:rsid w:val="0040142B"/>
    <w:rsid w:val="00402192"/>
    <w:rsid w:val="00402A53"/>
    <w:rsid w:val="00402C1A"/>
    <w:rsid w:val="00405FB7"/>
    <w:rsid w:val="00406A5A"/>
    <w:rsid w:val="00407B66"/>
    <w:rsid w:val="00413251"/>
    <w:rsid w:val="004155AC"/>
    <w:rsid w:val="004156E4"/>
    <w:rsid w:val="004217A1"/>
    <w:rsid w:val="00422029"/>
    <w:rsid w:val="00426CBB"/>
    <w:rsid w:val="004301CD"/>
    <w:rsid w:val="00430564"/>
    <w:rsid w:val="00430F20"/>
    <w:rsid w:val="00432DC2"/>
    <w:rsid w:val="004332A7"/>
    <w:rsid w:val="00433DC1"/>
    <w:rsid w:val="00433E0D"/>
    <w:rsid w:val="004353A3"/>
    <w:rsid w:val="0044020C"/>
    <w:rsid w:val="00440D45"/>
    <w:rsid w:val="00441FE3"/>
    <w:rsid w:val="00442FF1"/>
    <w:rsid w:val="004434DB"/>
    <w:rsid w:val="00443ADF"/>
    <w:rsid w:val="00444036"/>
    <w:rsid w:val="00444A1B"/>
    <w:rsid w:val="00444BEC"/>
    <w:rsid w:val="00445FCD"/>
    <w:rsid w:val="00446D5E"/>
    <w:rsid w:val="00447AB6"/>
    <w:rsid w:val="00452215"/>
    <w:rsid w:val="00453D8F"/>
    <w:rsid w:val="00456121"/>
    <w:rsid w:val="00456342"/>
    <w:rsid w:val="00456924"/>
    <w:rsid w:val="00456E3F"/>
    <w:rsid w:val="00457215"/>
    <w:rsid w:val="00457EE4"/>
    <w:rsid w:val="00460017"/>
    <w:rsid w:val="0046223F"/>
    <w:rsid w:val="00463E46"/>
    <w:rsid w:val="0046482A"/>
    <w:rsid w:val="00464B7E"/>
    <w:rsid w:val="00464E4F"/>
    <w:rsid w:val="00467FE6"/>
    <w:rsid w:val="004702C7"/>
    <w:rsid w:val="00471461"/>
    <w:rsid w:val="00472105"/>
    <w:rsid w:val="004736E5"/>
    <w:rsid w:val="004749C9"/>
    <w:rsid w:val="00475BB1"/>
    <w:rsid w:val="00476E9A"/>
    <w:rsid w:val="00480004"/>
    <w:rsid w:val="00480FE1"/>
    <w:rsid w:val="00483E1A"/>
    <w:rsid w:val="00483E81"/>
    <w:rsid w:val="00485949"/>
    <w:rsid w:val="00485DBD"/>
    <w:rsid w:val="0048728D"/>
    <w:rsid w:val="00487681"/>
    <w:rsid w:val="0049000B"/>
    <w:rsid w:val="0049179F"/>
    <w:rsid w:val="004917FB"/>
    <w:rsid w:val="00494ED4"/>
    <w:rsid w:val="0049568B"/>
    <w:rsid w:val="004958E2"/>
    <w:rsid w:val="004A07B2"/>
    <w:rsid w:val="004A2962"/>
    <w:rsid w:val="004A2CB9"/>
    <w:rsid w:val="004A4D5D"/>
    <w:rsid w:val="004A58AA"/>
    <w:rsid w:val="004A669E"/>
    <w:rsid w:val="004B001B"/>
    <w:rsid w:val="004B0400"/>
    <w:rsid w:val="004B20F7"/>
    <w:rsid w:val="004B2B1E"/>
    <w:rsid w:val="004B57BC"/>
    <w:rsid w:val="004B5D1D"/>
    <w:rsid w:val="004B66E5"/>
    <w:rsid w:val="004B6DF3"/>
    <w:rsid w:val="004B78ED"/>
    <w:rsid w:val="004C0465"/>
    <w:rsid w:val="004C20F4"/>
    <w:rsid w:val="004C3095"/>
    <w:rsid w:val="004C5BBF"/>
    <w:rsid w:val="004D2526"/>
    <w:rsid w:val="004D4FA0"/>
    <w:rsid w:val="004D58F5"/>
    <w:rsid w:val="004D686A"/>
    <w:rsid w:val="004D761B"/>
    <w:rsid w:val="004D7AD8"/>
    <w:rsid w:val="004E0143"/>
    <w:rsid w:val="004E0ED1"/>
    <w:rsid w:val="004E3155"/>
    <w:rsid w:val="004E798C"/>
    <w:rsid w:val="004F05E4"/>
    <w:rsid w:val="004F3186"/>
    <w:rsid w:val="004F3D17"/>
    <w:rsid w:val="004F516F"/>
    <w:rsid w:val="004F545C"/>
    <w:rsid w:val="00500A37"/>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20A6D"/>
    <w:rsid w:val="0052276B"/>
    <w:rsid w:val="00522F77"/>
    <w:rsid w:val="0052342C"/>
    <w:rsid w:val="005235A3"/>
    <w:rsid w:val="00524F27"/>
    <w:rsid w:val="00525EE3"/>
    <w:rsid w:val="00526282"/>
    <w:rsid w:val="0052717F"/>
    <w:rsid w:val="005304E4"/>
    <w:rsid w:val="0053085F"/>
    <w:rsid w:val="005318FD"/>
    <w:rsid w:val="00532C33"/>
    <w:rsid w:val="005338AD"/>
    <w:rsid w:val="00535774"/>
    <w:rsid w:val="00536C12"/>
    <w:rsid w:val="005408AB"/>
    <w:rsid w:val="00540A18"/>
    <w:rsid w:val="00540CAE"/>
    <w:rsid w:val="00540D22"/>
    <w:rsid w:val="0054257D"/>
    <w:rsid w:val="00543D55"/>
    <w:rsid w:val="00544685"/>
    <w:rsid w:val="00546AA8"/>
    <w:rsid w:val="005473F3"/>
    <w:rsid w:val="005507F4"/>
    <w:rsid w:val="00551DB0"/>
    <w:rsid w:val="00553D51"/>
    <w:rsid w:val="00553F8C"/>
    <w:rsid w:val="005544DF"/>
    <w:rsid w:val="005546CE"/>
    <w:rsid w:val="00555794"/>
    <w:rsid w:val="00560324"/>
    <w:rsid w:val="0056294F"/>
    <w:rsid w:val="005631CC"/>
    <w:rsid w:val="00564749"/>
    <w:rsid w:val="00565412"/>
    <w:rsid w:val="00566A14"/>
    <w:rsid w:val="00566A69"/>
    <w:rsid w:val="00573758"/>
    <w:rsid w:val="0057383E"/>
    <w:rsid w:val="00575CB3"/>
    <w:rsid w:val="00576268"/>
    <w:rsid w:val="0057699C"/>
    <w:rsid w:val="00577EDD"/>
    <w:rsid w:val="005804A6"/>
    <w:rsid w:val="00581098"/>
    <w:rsid w:val="00582631"/>
    <w:rsid w:val="005836B6"/>
    <w:rsid w:val="005849A8"/>
    <w:rsid w:val="00584F2A"/>
    <w:rsid w:val="00585C08"/>
    <w:rsid w:val="005900CE"/>
    <w:rsid w:val="005901DD"/>
    <w:rsid w:val="00591140"/>
    <w:rsid w:val="00591D4A"/>
    <w:rsid w:val="00592963"/>
    <w:rsid w:val="005932CF"/>
    <w:rsid w:val="00593A60"/>
    <w:rsid w:val="005A1D0D"/>
    <w:rsid w:val="005A3C78"/>
    <w:rsid w:val="005A5B0A"/>
    <w:rsid w:val="005A5D19"/>
    <w:rsid w:val="005B32F3"/>
    <w:rsid w:val="005B5A92"/>
    <w:rsid w:val="005B5AB6"/>
    <w:rsid w:val="005B791C"/>
    <w:rsid w:val="005C0202"/>
    <w:rsid w:val="005C04EE"/>
    <w:rsid w:val="005C2643"/>
    <w:rsid w:val="005C2E2B"/>
    <w:rsid w:val="005C4F98"/>
    <w:rsid w:val="005C787E"/>
    <w:rsid w:val="005D18F4"/>
    <w:rsid w:val="005D2374"/>
    <w:rsid w:val="005D2A1C"/>
    <w:rsid w:val="005D3580"/>
    <w:rsid w:val="005E04F0"/>
    <w:rsid w:val="005E1658"/>
    <w:rsid w:val="005E2462"/>
    <w:rsid w:val="005E2846"/>
    <w:rsid w:val="005E47F0"/>
    <w:rsid w:val="005E5660"/>
    <w:rsid w:val="005E5FC6"/>
    <w:rsid w:val="005E740E"/>
    <w:rsid w:val="005E7B25"/>
    <w:rsid w:val="005F1B10"/>
    <w:rsid w:val="005F24F4"/>
    <w:rsid w:val="005F257B"/>
    <w:rsid w:val="005F2A9A"/>
    <w:rsid w:val="005F2D26"/>
    <w:rsid w:val="005F430D"/>
    <w:rsid w:val="005F4914"/>
    <w:rsid w:val="005F4EE6"/>
    <w:rsid w:val="005F5053"/>
    <w:rsid w:val="005F7741"/>
    <w:rsid w:val="00604F81"/>
    <w:rsid w:val="00605742"/>
    <w:rsid w:val="00607D26"/>
    <w:rsid w:val="00610EB8"/>
    <w:rsid w:val="00612F66"/>
    <w:rsid w:val="0061456A"/>
    <w:rsid w:val="00614577"/>
    <w:rsid w:val="006153D4"/>
    <w:rsid w:val="00615892"/>
    <w:rsid w:val="00616EC4"/>
    <w:rsid w:val="00617EEC"/>
    <w:rsid w:val="00621D54"/>
    <w:rsid w:val="006238A4"/>
    <w:rsid w:val="00626611"/>
    <w:rsid w:val="00626C8D"/>
    <w:rsid w:val="006278B9"/>
    <w:rsid w:val="006308D6"/>
    <w:rsid w:val="00632AC4"/>
    <w:rsid w:val="00636056"/>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6D6C"/>
    <w:rsid w:val="006670E5"/>
    <w:rsid w:val="0066719F"/>
    <w:rsid w:val="00667457"/>
    <w:rsid w:val="006718AA"/>
    <w:rsid w:val="00672550"/>
    <w:rsid w:val="00672C16"/>
    <w:rsid w:val="00672D15"/>
    <w:rsid w:val="00673374"/>
    <w:rsid w:val="00673A4B"/>
    <w:rsid w:val="00675112"/>
    <w:rsid w:val="0067515B"/>
    <w:rsid w:val="00675389"/>
    <w:rsid w:val="00677A74"/>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4F34"/>
    <w:rsid w:val="00696279"/>
    <w:rsid w:val="006A1598"/>
    <w:rsid w:val="006A2958"/>
    <w:rsid w:val="006A2B50"/>
    <w:rsid w:val="006A33A5"/>
    <w:rsid w:val="006A3CDE"/>
    <w:rsid w:val="006A5612"/>
    <w:rsid w:val="006A5B5A"/>
    <w:rsid w:val="006A774B"/>
    <w:rsid w:val="006B08B9"/>
    <w:rsid w:val="006B2A3B"/>
    <w:rsid w:val="006B2CBA"/>
    <w:rsid w:val="006B3EC2"/>
    <w:rsid w:val="006B6560"/>
    <w:rsid w:val="006B75C6"/>
    <w:rsid w:val="006C0373"/>
    <w:rsid w:val="006C2216"/>
    <w:rsid w:val="006C2F25"/>
    <w:rsid w:val="006C4754"/>
    <w:rsid w:val="006C4C00"/>
    <w:rsid w:val="006C4EDB"/>
    <w:rsid w:val="006D22B8"/>
    <w:rsid w:val="006D532D"/>
    <w:rsid w:val="006E0424"/>
    <w:rsid w:val="006E11B0"/>
    <w:rsid w:val="006E1BB9"/>
    <w:rsid w:val="006E4F41"/>
    <w:rsid w:val="006E6614"/>
    <w:rsid w:val="006F0A9B"/>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10939"/>
    <w:rsid w:val="00710DAE"/>
    <w:rsid w:val="007112A1"/>
    <w:rsid w:val="00711BA1"/>
    <w:rsid w:val="00711EB0"/>
    <w:rsid w:val="00713EF0"/>
    <w:rsid w:val="0071438C"/>
    <w:rsid w:val="00715F5B"/>
    <w:rsid w:val="007202F4"/>
    <w:rsid w:val="00721CD1"/>
    <w:rsid w:val="007220CD"/>
    <w:rsid w:val="007229EC"/>
    <w:rsid w:val="00724BCE"/>
    <w:rsid w:val="00724C8C"/>
    <w:rsid w:val="007278BE"/>
    <w:rsid w:val="007302E5"/>
    <w:rsid w:val="007307D8"/>
    <w:rsid w:val="00730D75"/>
    <w:rsid w:val="007314EC"/>
    <w:rsid w:val="00731794"/>
    <w:rsid w:val="007322EB"/>
    <w:rsid w:val="00732639"/>
    <w:rsid w:val="007337EF"/>
    <w:rsid w:val="00736E41"/>
    <w:rsid w:val="007377A8"/>
    <w:rsid w:val="007413BF"/>
    <w:rsid w:val="00741417"/>
    <w:rsid w:val="0074151B"/>
    <w:rsid w:val="00742B52"/>
    <w:rsid w:val="007438C8"/>
    <w:rsid w:val="00743ACE"/>
    <w:rsid w:val="00745756"/>
    <w:rsid w:val="00746B55"/>
    <w:rsid w:val="0075227D"/>
    <w:rsid w:val="007525E9"/>
    <w:rsid w:val="0075446A"/>
    <w:rsid w:val="00754A0B"/>
    <w:rsid w:val="00757FC2"/>
    <w:rsid w:val="00762E73"/>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3052"/>
    <w:rsid w:val="00796C73"/>
    <w:rsid w:val="007A0051"/>
    <w:rsid w:val="007A2A88"/>
    <w:rsid w:val="007A4DFB"/>
    <w:rsid w:val="007A6669"/>
    <w:rsid w:val="007A7194"/>
    <w:rsid w:val="007B1AF6"/>
    <w:rsid w:val="007B1D37"/>
    <w:rsid w:val="007B1D45"/>
    <w:rsid w:val="007B22F4"/>
    <w:rsid w:val="007B4DB1"/>
    <w:rsid w:val="007B617A"/>
    <w:rsid w:val="007B6EE8"/>
    <w:rsid w:val="007B759C"/>
    <w:rsid w:val="007C007D"/>
    <w:rsid w:val="007C0764"/>
    <w:rsid w:val="007C3C8B"/>
    <w:rsid w:val="007C3E07"/>
    <w:rsid w:val="007C4879"/>
    <w:rsid w:val="007C62F9"/>
    <w:rsid w:val="007C78A1"/>
    <w:rsid w:val="007D1474"/>
    <w:rsid w:val="007D351F"/>
    <w:rsid w:val="007D7451"/>
    <w:rsid w:val="007D781C"/>
    <w:rsid w:val="007E2EF0"/>
    <w:rsid w:val="007E317B"/>
    <w:rsid w:val="007E321F"/>
    <w:rsid w:val="007E6996"/>
    <w:rsid w:val="007F017E"/>
    <w:rsid w:val="007F035E"/>
    <w:rsid w:val="007F0491"/>
    <w:rsid w:val="007F27DE"/>
    <w:rsid w:val="007F3C13"/>
    <w:rsid w:val="007F4AF1"/>
    <w:rsid w:val="007F72B4"/>
    <w:rsid w:val="007F7490"/>
    <w:rsid w:val="007F7794"/>
    <w:rsid w:val="007F79D5"/>
    <w:rsid w:val="00801A66"/>
    <w:rsid w:val="00805FFD"/>
    <w:rsid w:val="00807568"/>
    <w:rsid w:val="00810B74"/>
    <w:rsid w:val="00811D9A"/>
    <w:rsid w:val="008129A6"/>
    <w:rsid w:val="008137A5"/>
    <w:rsid w:val="008137C2"/>
    <w:rsid w:val="00814930"/>
    <w:rsid w:val="00815A8F"/>
    <w:rsid w:val="0082030A"/>
    <w:rsid w:val="008204B1"/>
    <w:rsid w:val="00820BAC"/>
    <w:rsid w:val="00822608"/>
    <w:rsid w:val="008237F9"/>
    <w:rsid w:val="00825A93"/>
    <w:rsid w:val="00827452"/>
    <w:rsid w:val="00830433"/>
    <w:rsid w:val="00830AA7"/>
    <w:rsid w:val="00830F03"/>
    <w:rsid w:val="00832951"/>
    <w:rsid w:val="00832BE6"/>
    <w:rsid w:val="008333F8"/>
    <w:rsid w:val="008340C8"/>
    <w:rsid w:val="00835249"/>
    <w:rsid w:val="008359AE"/>
    <w:rsid w:val="00837053"/>
    <w:rsid w:val="008413C5"/>
    <w:rsid w:val="00842F1E"/>
    <w:rsid w:val="008456B3"/>
    <w:rsid w:val="00845D1A"/>
    <w:rsid w:val="00847771"/>
    <w:rsid w:val="00850BAE"/>
    <w:rsid w:val="00850BC3"/>
    <w:rsid w:val="00852ED2"/>
    <w:rsid w:val="00853C9F"/>
    <w:rsid w:val="0085485F"/>
    <w:rsid w:val="0085566D"/>
    <w:rsid w:val="00856C08"/>
    <w:rsid w:val="00857214"/>
    <w:rsid w:val="0085725D"/>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4592"/>
    <w:rsid w:val="00875BF5"/>
    <w:rsid w:val="008765CF"/>
    <w:rsid w:val="00877D7D"/>
    <w:rsid w:val="00877DB1"/>
    <w:rsid w:val="00880716"/>
    <w:rsid w:val="00880861"/>
    <w:rsid w:val="0088165A"/>
    <w:rsid w:val="00883D76"/>
    <w:rsid w:val="00883F4F"/>
    <w:rsid w:val="00885B22"/>
    <w:rsid w:val="00885C25"/>
    <w:rsid w:val="00890383"/>
    <w:rsid w:val="0089082C"/>
    <w:rsid w:val="00891D4C"/>
    <w:rsid w:val="008922C4"/>
    <w:rsid w:val="008930F3"/>
    <w:rsid w:val="00893CEF"/>
    <w:rsid w:val="00894141"/>
    <w:rsid w:val="00895BBF"/>
    <w:rsid w:val="00895E35"/>
    <w:rsid w:val="008963E8"/>
    <w:rsid w:val="00897D1F"/>
    <w:rsid w:val="008A041C"/>
    <w:rsid w:val="008A0A7B"/>
    <w:rsid w:val="008A10E4"/>
    <w:rsid w:val="008A2A12"/>
    <w:rsid w:val="008A4C3A"/>
    <w:rsid w:val="008A534A"/>
    <w:rsid w:val="008A55D5"/>
    <w:rsid w:val="008A70B4"/>
    <w:rsid w:val="008A79B3"/>
    <w:rsid w:val="008B0313"/>
    <w:rsid w:val="008B0EEF"/>
    <w:rsid w:val="008B10DC"/>
    <w:rsid w:val="008B3C53"/>
    <w:rsid w:val="008B44C3"/>
    <w:rsid w:val="008C05F8"/>
    <w:rsid w:val="008C0F5D"/>
    <w:rsid w:val="008C13BB"/>
    <w:rsid w:val="008C1728"/>
    <w:rsid w:val="008C3B83"/>
    <w:rsid w:val="008C5813"/>
    <w:rsid w:val="008D55BF"/>
    <w:rsid w:val="008D6B58"/>
    <w:rsid w:val="008D6C10"/>
    <w:rsid w:val="008D76D6"/>
    <w:rsid w:val="008E0956"/>
    <w:rsid w:val="008E37E6"/>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C4B"/>
    <w:rsid w:val="008F6EE4"/>
    <w:rsid w:val="008F75F8"/>
    <w:rsid w:val="008F7BAE"/>
    <w:rsid w:val="009004B0"/>
    <w:rsid w:val="0090309C"/>
    <w:rsid w:val="009032FE"/>
    <w:rsid w:val="009036A6"/>
    <w:rsid w:val="00903984"/>
    <w:rsid w:val="00904BD4"/>
    <w:rsid w:val="00906501"/>
    <w:rsid w:val="00907632"/>
    <w:rsid w:val="00912DE4"/>
    <w:rsid w:val="009132EF"/>
    <w:rsid w:val="00913C59"/>
    <w:rsid w:val="00913E33"/>
    <w:rsid w:val="009159B0"/>
    <w:rsid w:val="00917520"/>
    <w:rsid w:val="009179D1"/>
    <w:rsid w:val="009203CA"/>
    <w:rsid w:val="0092312A"/>
    <w:rsid w:val="00923F60"/>
    <w:rsid w:val="009260B1"/>
    <w:rsid w:val="00926DA4"/>
    <w:rsid w:val="00932595"/>
    <w:rsid w:val="009331B8"/>
    <w:rsid w:val="00933963"/>
    <w:rsid w:val="00933E28"/>
    <w:rsid w:val="00934BEC"/>
    <w:rsid w:val="0093536C"/>
    <w:rsid w:val="00941641"/>
    <w:rsid w:val="00942E64"/>
    <w:rsid w:val="009433A9"/>
    <w:rsid w:val="00944398"/>
    <w:rsid w:val="00944494"/>
    <w:rsid w:val="00944BAA"/>
    <w:rsid w:val="0094563F"/>
    <w:rsid w:val="0094692D"/>
    <w:rsid w:val="00946DED"/>
    <w:rsid w:val="0095020C"/>
    <w:rsid w:val="00951992"/>
    <w:rsid w:val="00954EE5"/>
    <w:rsid w:val="00956021"/>
    <w:rsid w:val="00957F00"/>
    <w:rsid w:val="00960F9B"/>
    <w:rsid w:val="0096188E"/>
    <w:rsid w:val="00961D7E"/>
    <w:rsid w:val="0096336D"/>
    <w:rsid w:val="009640C0"/>
    <w:rsid w:val="00965454"/>
    <w:rsid w:val="0096576E"/>
    <w:rsid w:val="00965EA3"/>
    <w:rsid w:val="00970672"/>
    <w:rsid w:val="009726FC"/>
    <w:rsid w:val="00974AB3"/>
    <w:rsid w:val="00974B4D"/>
    <w:rsid w:val="009762BD"/>
    <w:rsid w:val="00982C55"/>
    <w:rsid w:val="00983E0F"/>
    <w:rsid w:val="009845C8"/>
    <w:rsid w:val="00985602"/>
    <w:rsid w:val="00985734"/>
    <w:rsid w:val="00992B0B"/>
    <w:rsid w:val="00992CE7"/>
    <w:rsid w:val="00994CF7"/>
    <w:rsid w:val="009950B8"/>
    <w:rsid w:val="00996899"/>
    <w:rsid w:val="009968AE"/>
    <w:rsid w:val="009A0FD5"/>
    <w:rsid w:val="009A142F"/>
    <w:rsid w:val="009A1916"/>
    <w:rsid w:val="009A3137"/>
    <w:rsid w:val="009A3BA0"/>
    <w:rsid w:val="009A5B63"/>
    <w:rsid w:val="009A7644"/>
    <w:rsid w:val="009B2B44"/>
    <w:rsid w:val="009B4931"/>
    <w:rsid w:val="009B59EB"/>
    <w:rsid w:val="009C09D1"/>
    <w:rsid w:val="009C1CBD"/>
    <w:rsid w:val="009C2A0F"/>
    <w:rsid w:val="009C35D8"/>
    <w:rsid w:val="009C380B"/>
    <w:rsid w:val="009C5FFC"/>
    <w:rsid w:val="009C6C4E"/>
    <w:rsid w:val="009D25FA"/>
    <w:rsid w:val="009D36E5"/>
    <w:rsid w:val="009D454B"/>
    <w:rsid w:val="009D7075"/>
    <w:rsid w:val="009E0940"/>
    <w:rsid w:val="009E1D25"/>
    <w:rsid w:val="009E32F1"/>
    <w:rsid w:val="009E6E01"/>
    <w:rsid w:val="009E71B0"/>
    <w:rsid w:val="009F1550"/>
    <w:rsid w:val="009F56BD"/>
    <w:rsid w:val="009F5779"/>
    <w:rsid w:val="009F5EEF"/>
    <w:rsid w:val="009F6161"/>
    <w:rsid w:val="009F67CD"/>
    <w:rsid w:val="009F6A4E"/>
    <w:rsid w:val="009F7243"/>
    <w:rsid w:val="00A0139E"/>
    <w:rsid w:val="00A063FC"/>
    <w:rsid w:val="00A06550"/>
    <w:rsid w:val="00A10870"/>
    <w:rsid w:val="00A1273D"/>
    <w:rsid w:val="00A138C8"/>
    <w:rsid w:val="00A13ACC"/>
    <w:rsid w:val="00A144AF"/>
    <w:rsid w:val="00A14764"/>
    <w:rsid w:val="00A15309"/>
    <w:rsid w:val="00A15462"/>
    <w:rsid w:val="00A15D75"/>
    <w:rsid w:val="00A15EDA"/>
    <w:rsid w:val="00A166AB"/>
    <w:rsid w:val="00A2334C"/>
    <w:rsid w:val="00A24DF8"/>
    <w:rsid w:val="00A2558F"/>
    <w:rsid w:val="00A30565"/>
    <w:rsid w:val="00A32A02"/>
    <w:rsid w:val="00A33790"/>
    <w:rsid w:val="00A34958"/>
    <w:rsid w:val="00A35176"/>
    <w:rsid w:val="00A357CC"/>
    <w:rsid w:val="00A37BB0"/>
    <w:rsid w:val="00A4367C"/>
    <w:rsid w:val="00A436D9"/>
    <w:rsid w:val="00A43DF6"/>
    <w:rsid w:val="00A45171"/>
    <w:rsid w:val="00A50CF1"/>
    <w:rsid w:val="00A50F6E"/>
    <w:rsid w:val="00A522A5"/>
    <w:rsid w:val="00A52FFF"/>
    <w:rsid w:val="00A53707"/>
    <w:rsid w:val="00A54B20"/>
    <w:rsid w:val="00A54E4E"/>
    <w:rsid w:val="00A55393"/>
    <w:rsid w:val="00A6163B"/>
    <w:rsid w:val="00A61B63"/>
    <w:rsid w:val="00A621EE"/>
    <w:rsid w:val="00A62E57"/>
    <w:rsid w:val="00A644D9"/>
    <w:rsid w:val="00A650E9"/>
    <w:rsid w:val="00A65181"/>
    <w:rsid w:val="00A65D68"/>
    <w:rsid w:val="00A67312"/>
    <w:rsid w:val="00A67696"/>
    <w:rsid w:val="00A67F89"/>
    <w:rsid w:val="00A704D1"/>
    <w:rsid w:val="00A71098"/>
    <w:rsid w:val="00A712B7"/>
    <w:rsid w:val="00A717BA"/>
    <w:rsid w:val="00A72909"/>
    <w:rsid w:val="00A72B38"/>
    <w:rsid w:val="00A73A9E"/>
    <w:rsid w:val="00A77C9C"/>
    <w:rsid w:val="00A80449"/>
    <w:rsid w:val="00A8116D"/>
    <w:rsid w:val="00A81209"/>
    <w:rsid w:val="00A81E48"/>
    <w:rsid w:val="00A82714"/>
    <w:rsid w:val="00A83D7F"/>
    <w:rsid w:val="00A8463F"/>
    <w:rsid w:val="00A8534D"/>
    <w:rsid w:val="00A85BD7"/>
    <w:rsid w:val="00A860B9"/>
    <w:rsid w:val="00A902B6"/>
    <w:rsid w:val="00A931CE"/>
    <w:rsid w:val="00A948BB"/>
    <w:rsid w:val="00A95B26"/>
    <w:rsid w:val="00A9775D"/>
    <w:rsid w:val="00AA218E"/>
    <w:rsid w:val="00AA2414"/>
    <w:rsid w:val="00AA3DE9"/>
    <w:rsid w:val="00AA4C1A"/>
    <w:rsid w:val="00AA5F8A"/>
    <w:rsid w:val="00AA5FB1"/>
    <w:rsid w:val="00AA60D2"/>
    <w:rsid w:val="00AA63DA"/>
    <w:rsid w:val="00AA7D8A"/>
    <w:rsid w:val="00AB02F1"/>
    <w:rsid w:val="00AB0D66"/>
    <w:rsid w:val="00AB1423"/>
    <w:rsid w:val="00AB1BD3"/>
    <w:rsid w:val="00AB1BDE"/>
    <w:rsid w:val="00AB3BD3"/>
    <w:rsid w:val="00AB500C"/>
    <w:rsid w:val="00AB5193"/>
    <w:rsid w:val="00AB76DF"/>
    <w:rsid w:val="00AC12E3"/>
    <w:rsid w:val="00AC2866"/>
    <w:rsid w:val="00AC3C49"/>
    <w:rsid w:val="00AC49B6"/>
    <w:rsid w:val="00AC4BEC"/>
    <w:rsid w:val="00AD06CB"/>
    <w:rsid w:val="00AD0C03"/>
    <w:rsid w:val="00AD1382"/>
    <w:rsid w:val="00AD3211"/>
    <w:rsid w:val="00AD3CB6"/>
    <w:rsid w:val="00AD4388"/>
    <w:rsid w:val="00AD62DD"/>
    <w:rsid w:val="00AD7E8B"/>
    <w:rsid w:val="00AE00F3"/>
    <w:rsid w:val="00AE29CD"/>
    <w:rsid w:val="00AE2B1E"/>
    <w:rsid w:val="00AE35BB"/>
    <w:rsid w:val="00AE4A76"/>
    <w:rsid w:val="00AE5BB6"/>
    <w:rsid w:val="00AE6CB9"/>
    <w:rsid w:val="00AE7298"/>
    <w:rsid w:val="00AE788B"/>
    <w:rsid w:val="00AE7E6D"/>
    <w:rsid w:val="00AF18B3"/>
    <w:rsid w:val="00AF2014"/>
    <w:rsid w:val="00AF24EB"/>
    <w:rsid w:val="00AF3702"/>
    <w:rsid w:val="00AF39DF"/>
    <w:rsid w:val="00AF3BBD"/>
    <w:rsid w:val="00AF6A1A"/>
    <w:rsid w:val="00AF76C6"/>
    <w:rsid w:val="00AF77FC"/>
    <w:rsid w:val="00B036AF"/>
    <w:rsid w:val="00B0496B"/>
    <w:rsid w:val="00B116EE"/>
    <w:rsid w:val="00B13E32"/>
    <w:rsid w:val="00B14D62"/>
    <w:rsid w:val="00B20106"/>
    <w:rsid w:val="00B21142"/>
    <w:rsid w:val="00B2197C"/>
    <w:rsid w:val="00B227F1"/>
    <w:rsid w:val="00B26454"/>
    <w:rsid w:val="00B26ED9"/>
    <w:rsid w:val="00B27ECD"/>
    <w:rsid w:val="00B329A4"/>
    <w:rsid w:val="00B343D6"/>
    <w:rsid w:val="00B35D66"/>
    <w:rsid w:val="00B3729B"/>
    <w:rsid w:val="00B3766F"/>
    <w:rsid w:val="00B42C74"/>
    <w:rsid w:val="00B4308C"/>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CD"/>
    <w:rsid w:val="00B8318A"/>
    <w:rsid w:val="00B83496"/>
    <w:rsid w:val="00B856D1"/>
    <w:rsid w:val="00B858C7"/>
    <w:rsid w:val="00B874F1"/>
    <w:rsid w:val="00B8764B"/>
    <w:rsid w:val="00B87FE6"/>
    <w:rsid w:val="00B9060D"/>
    <w:rsid w:val="00B90A6B"/>
    <w:rsid w:val="00B9261E"/>
    <w:rsid w:val="00B94132"/>
    <w:rsid w:val="00B94E37"/>
    <w:rsid w:val="00B96DF7"/>
    <w:rsid w:val="00B97A62"/>
    <w:rsid w:val="00BA04F5"/>
    <w:rsid w:val="00BA06C1"/>
    <w:rsid w:val="00BA112F"/>
    <w:rsid w:val="00BA2FE4"/>
    <w:rsid w:val="00BA4DFC"/>
    <w:rsid w:val="00BB022E"/>
    <w:rsid w:val="00BB02D6"/>
    <w:rsid w:val="00BB4637"/>
    <w:rsid w:val="00BB7DE5"/>
    <w:rsid w:val="00BC02EA"/>
    <w:rsid w:val="00BC06B7"/>
    <w:rsid w:val="00BC0B60"/>
    <w:rsid w:val="00BC1FBC"/>
    <w:rsid w:val="00BC251E"/>
    <w:rsid w:val="00BC2C1B"/>
    <w:rsid w:val="00BC31C6"/>
    <w:rsid w:val="00BC3251"/>
    <w:rsid w:val="00BC53B2"/>
    <w:rsid w:val="00BC74B8"/>
    <w:rsid w:val="00BD08B8"/>
    <w:rsid w:val="00BD125C"/>
    <w:rsid w:val="00BD2E0A"/>
    <w:rsid w:val="00BD3A03"/>
    <w:rsid w:val="00BD5E9B"/>
    <w:rsid w:val="00BD6758"/>
    <w:rsid w:val="00BD78F0"/>
    <w:rsid w:val="00BE07A5"/>
    <w:rsid w:val="00BE0CEA"/>
    <w:rsid w:val="00BE26A8"/>
    <w:rsid w:val="00BE3C2A"/>
    <w:rsid w:val="00BE3D81"/>
    <w:rsid w:val="00BE5558"/>
    <w:rsid w:val="00BE6392"/>
    <w:rsid w:val="00BF001B"/>
    <w:rsid w:val="00BF15F1"/>
    <w:rsid w:val="00BF175B"/>
    <w:rsid w:val="00BF277F"/>
    <w:rsid w:val="00BF362E"/>
    <w:rsid w:val="00BF3AAB"/>
    <w:rsid w:val="00BF68BA"/>
    <w:rsid w:val="00BF7E5E"/>
    <w:rsid w:val="00C00C44"/>
    <w:rsid w:val="00C01B81"/>
    <w:rsid w:val="00C01D5D"/>
    <w:rsid w:val="00C01DD3"/>
    <w:rsid w:val="00C028D6"/>
    <w:rsid w:val="00C02DF6"/>
    <w:rsid w:val="00C02E3D"/>
    <w:rsid w:val="00C03599"/>
    <w:rsid w:val="00C049CF"/>
    <w:rsid w:val="00C06092"/>
    <w:rsid w:val="00C11F3E"/>
    <w:rsid w:val="00C12060"/>
    <w:rsid w:val="00C170D5"/>
    <w:rsid w:val="00C221FB"/>
    <w:rsid w:val="00C22433"/>
    <w:rsid w:val="00C22D2D"/>
    <w:rsid w:val="00C22E74"/>
    <w:rsid w:val="00C2415C"/>
    <w:rsid w:val="00C2570A"/>
    <w:rsid w:val="00C25AA4"/>
    <w:rsid w:val="00C26C97"/>
    <w:rsid w:val="00C30B34"/>
    <w:rsid w:val="00C3193C"/>
    <w:rsid w:val="00C31E29"/>
    <w:rsid w:val="00C32233"/>
    <w:rsid w:val="00C32A42"/>
    <w:rsid w:val="00C33E81"/>
    <w:rsid w:val="00C34E1D"/>
    <w:rsid w:val="00C353E6"/>
    <w:rsid w:val="00C35652"/>
    <w:rsid w:val="00C35919"/>
    <w:rsid w:val="00C36BCA"/>
    <w:rsid w:val="00C3711B"/>
    <w:rsid w:val="00C37257"/>
    <w:rsid w:val="00C37CDB"/>
    <w:rsid w:val="00C42BF0"/>
    <w:rsid w:val="00C43F1C"/>
    <w:rsid w:val="00C441EA"/>
    <w:rsid w:val="00C4466F"/>
    <w:rsid w:val="00C45A0D"/>
    <w:rsid w:val="00C45F92"/>
    <w:rsid w:val="00C506C5"/>
    <w:rsid w:val="00C53BF6"/>
    <w:rsid w:val="00C56306"/>
    <w:rsid w:val="00C56912"/>
    <w:rsid w:val="00C56E61"/>
    <w:rsid w:val="00C623F5"/>
    <w:rsid w:val="00C66821"/>
    <w:rsid w:val="00C67529"/>
    <w:rsid w:val="00C702AC"/>
    <w:rsid w:val="00C724E9"/>
    <w:rsid w:val="00C73558"/>
    <w:rsid w:val="00C76D8F"/>
    <w:rsid w:val="00C80174"/>
    <w:rsid w:val="00C80AAB"/>
    <w:rsid w:val="00C80FB2"/>
    <w:rsid w:val="00C82312"/>
    <w:rsid w:val="00C8420B"/>
    <w:rsid w:val="00C85548"/>
    <w:rsid w:val="00C900D4"/>
    <w:rsid w:val="00C90BA9"/>
    <w:rsid w:val="00C91919"/>
    <w:rsid w:val="00C9691F"/>
    <w:rsid w:val="00CA36B4"/>
    <w:rsid w:val="00CA3953"/>
    <w:rsid w:val="00CA4D48"/>
    <w:rsid w:val="00CA56F2"/>
    <w:rsid w:val="00CA5784"/>
    <w:rsid w:val="00CA6A5F"/>
    <w:rsid w:val="00CA76FD"/>
    <w:rsid w:val="00CB1C98"/>
    <w:rsid w:val="00CB2806"/>
    <w:rsid w:val="00CB2C79"/>
    <w:rsid w:val="00CB352F"/>
    <w:rsid w:val="00CB36CC"/>
    <w:rsid w:val="00CB4E06"/>
    <w:rsid w:val="00CB55EB"/>
    <w:rsid w:val="00CC1E1B"/>
    <w:rsid w:val="00CC1FEF"/>
    <w:rsid w:val="00CC27A8"/>
    <w:rsid w:val="00CC2D1B"/>
    <w:rsid w:val="00CC35B0"/>
    <w:rsid w:val="00CC4551"/>
    <w:rsid w:val="00CC6D1C"/>
    <w:rsid w:val="00CC722C"/>
    <w:rsid w:val="00CD0253"/>
    <w:rsid w:val="00CD63DC"/>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D027AE"/>
    <w:rsid w:val="00D0691B"/>
    <w:rsid w:val="00D06BB4"/>
    <w:rsid w:val="00D07EF6"/>
    <w:rsid w:val="00D1049D"/>
    <w:rsid w:val="00D108A9"/>
    <w:rsid w:val="00D12419"/>
    <w:rsid w:val="00D124EC"/>
    <w:rsid w:val="00D127C8"/>
    <w:rsid w:val="00D14C91"/>
    <w:rsid w:val="00D165DB"/>
    <w:rsid w:val="00D16D62"/>
    <w:rsid w:val="00D16DF4"/>
    <w:rsid w:val="00D2392A"/>
    <w:rsid w:val="00D2732D"/>
    <w:rsid w:val="00D30427"/>
    <w:rsid w:val="00D30C73"/>
    <w:rsid w:val="00D323A6"/>
    <w:rsid w:val="00D3540B"/>
    <w:rsid w:val="00D3633C"/>
    <w:rsid w:val="00D4087D"/>
    <w:rsid w:val="00D4301C"/>
    <w:rsid w:val="00D43F52"/>
    <w:rsid w:val="00D445CB"/>
    <w:rsid w:val="00D46404"/>
    <w:rsid w:val="00D46C39"/>
    <w:rsid w:val="00D517E6"/>
    <w:rsid w:val="00D519FF"/>
    <w:rsid w:val="00D52E98"/>
    <w:rsid w:val="00D53FC3"/>
    <w:rsid w:val="00D54C93"/>
    <w:rsid w:val="00D55CB0"/>
    <w:rsid w:val="00D56683"/>
    <w:rsid w:val="00D572C8"/>
    <w:rsid w:val="00D57A8C"/>
    <w:rsid w:val="00D60843"/>
    <w:rsid w:val="00D60C17"/>
    <w:rsid w:val="00D60E75"/>
    <w:rsid w:val="00D61653"/>
    <w:rsid w:val="00D63C05"/>
    <w:rsid w:val="00D649DF"/>
    <w:rsid w:val="00D66D9D"/>
    <w:rsid w:val="00D66E4D"/>
    <w:rsid w:val="00D717AF"/>
    <w:rsid w:val="00D74AE7"/>
    <w:rsid w:val="00D74B6F"/>
    <w:rsid w:val="00D7503C"/>
    <w:rsid w:val="00D7551D"/>
    <w:rsid w:val="00D758A4"/>
    <w:rsid w:val="00D766D9"/>
    <w:rsid w:val="00D76CC9"/>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A75"/>
    <w:rsid w:val="00DA74D5"/>
    <w:rsid w:val="00DA78BE"/>
    <w:rsid w:val="00DB00CA"/>
    <w:rsid w:val="00DB14A2"/>
    <w:rsid w:val="00DB15A3"/>
    <w:rsid w:val="00DB21CF"/>
    <w:rsid w:val="00DB2A30"/>
    <w:rsid w:val="00DB3091"/>
    <w:rsid w:val="00DB4529"/>
    <w:rsid w:val="00DC003A"/>
    <w:rsid w:val="00DC0A4E"/>
    <w:rsid w:val="00DC3DC7"/>
    <w:rsid w:val="00DC6167"/>
    <w:rsid w:val="00DC70D3"/>
    <w:rsid w:val="00DC73E7"/>
    <w:rsid w:val="00DD0606"/>
    <w:rsid w:val="00DD2665"/>
    <w:rsid w:val="00DD31CD"/>
    <w:rsid w:val="00DD329C"/>
    <w:rsid w:val="00DD3723"/>
    <w:rsid w:val="00DD3C9F"/>
    <w:rsid w:val="00DD3EC3"/>
    <w:rsid w:val="00DD4EB1"/>
    <w:rsid w:val="00DD50ED"/>
    <w:rsid w:val="00DD525C"/>
    <w:rsid w:val="00DD563D"/>
    <w:rsid w:val="00DD589B"/>
    <w:rsid w:val="00DE01AC"/>
    <w:rsid w:val="00DE0490"/>
    <w:rsid w:val="00DE07CF"/>
    <w:rsid w:val="00DE3199"/>
    <w:rsid w:val="00DE3302"/>
    <w:rsid w:val="00DE49ED"/>
    <w:rsid w:val="00DE5338"/>
    <w:rsid w:val="00DE6961"/>
    <w:rsid w:val="00DE76B9"/>
    <w:rsid w:val="00DE7706"/>
    <w:rsid w:val="00DF17BB"/>
    <w:rsid w:val="00DF188B"/>
    <w:rsid w:val="00DF4380"/>
    <w:rsid w:val="00DF5F9E"/>
    <w:rsid w:val="00DF6DCD"/>
    <w:rsid w:val="00E00AC3"/>
    <w:rsid w:val="00E02EBF"/>
    <w:rsid w:val="00E04061"/>
    <w:rsid w:val="00E04661"/>
    <w:rsid w:val="00E06020"/>
    <w:rsid w:val="00E11407"/>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5429"/>
    <w:rsid w:val="00E27C30"/>
    <w:rsid w:val="00E32306"/>
    <w:rsid w:val="00E35F51"/>
    <w:rsid w:val="00E400B4"/>
    <w:rsid w:val="00E40AD2"/>
    <w:rsid w:val="00E416AC"/>
    <w:rsid w:val="00E42AFE"/>
    <w:rsid w:val="00E442F9"/>
    <w:rsid w:val="00E44746"/>
    <w:rsid w:val="00E44A9D"/>
    <w:rsid w:val="00E44F6E"/>
    <w:rsid w:val="00E4745E"/>
    <w:rsid w:val="00E47707"/>
    <w:rsid w:val="00E507DB"/>
    <w:rsid w:val="00E50EC1"/>
    <w:rsid w:val="00E53390"/>
    <w:rsid w:val="00E5369F"/>
    <w:rsid w:val="00E567E8"/>
    <w:rsid w:val="00E57558"/>
    <w:rsid w:val="00E57EBB"/>
    <w:rsid w:val="00E60711"/>
    <w:rsid w:val="00E607CA"/>
    <w:rsid w:val="00E6115A"/>
    <w:rsid w:val="00E627F8"/>
    <w:rsid w:val="00E62BAE"/>
    <w:rsid w:val="00E63404"/>
    <w:rsid w:val="00E6576E"/>
    <w:rsid w:val="00E660F1"/>
    <w:rsid w:val="00E6764A"/>
    <w:rsid w:val="00E67B06"/>
    <w:rsid w:val="00E71BAE"/>
    <w:rsid w:val="00E721D6"/>
    <w:rsid w:val="00E74E47"/>
    <w:rsid w:val="00E75260"/>
    <w:rsid w:val="00E75305"/>
    <w:rsid w:val="00E77633"/>
    <w:rsid w:val="00E778B4"/>
    <w:rsid w:val="00E80363"/>
    <w:rsid w:val="00E80D70"/>
    <w:rsid w:val="00E81A62"/>
    <w:rsid w:val="00E81F06"/>
    <w:rsid w:val="00E830BB"/>
    <w:rsid w:val="00E8558B"/>
    <w:rsid w:val="00E85A59"/>
    <w:rsid w:val="00E86A41"/>
    <w:rsid w:val="00E86C96"/>
    <w:rsid w:val="00E90412"/>
    <w:rsid w:val="00E913D7"/>
    <w:rsid w:val="00E91FE3"/>
    <w:rsid w:val="00E921BF"/>
    <w:rsid w:val="00E92CCD"/>
    <w:rsid w:val="00E92E5D"/>
    <w:rsid w:val="00E96FB4"/>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3A7B"/>
    <w:rsid w:val="00EB3BEF"/>
    <w:rsid w:val="00EB6DD2"/>
    <w:rsid w:val="00EB6FED"/>
    <w:rsid w:val="00EB78EF"/>
    <w:rsid w:val="00EB7ED2"/>
    <w:rsid w:val="00EB7FB1"/>
    <w:rsid w:val="00EC169E"/>
    <w:rsid w:val="00EC5A89"/>
    <w:rsid w:val="00EC5FC1"/>
    <w:rsid w:val="00EC6087"/>
    <w:rsid w:val="00ED27F5"/>
    <w:rsid w:val="00ED3944"/>
    <w:rsid w:val="00EE1C06"/>
    <w:rsid w:val="00EE37C7"/>
    <w:rsid w:val="00EE42F0"/>
    <w:rsid w:val="00EE4A6D"/>
    <w:rsid w:val="00EE6D07"/>
    <w:rsid w:val="00EF1F08"/>
    <w:rsid w:val="00EF27A1"/>
    <w:rsid w:val="00EF35BE"/>
    <w:rsid w:val="00EF44E3"/>
    <w:rsid w:val="00EF7008"/>
    <w:rsid w:val="00F04187"/>
    <w:rsid w:val="00F04493"/>
    <w:rsid w:val="00F115BE"/>
    <w:rsid w:val="00F12301"/>
    <w:rsid w:val="00F1282F"/>
    <w:rsid w:val="00F15B51"/>
    <w:rsid w:val="00F1624F"/>
    <w:rsid w:val="00F17152"/>
    <w:rsid w:val="00F17B95"/>
    <w:rsid w:val="00F20372"/>
    <w:rsid w:val="00F20834"/>
    <w:rsid w:val="00F25A72"/>
    <w:rsid w:val="00F25C6B"/>
    <w:rsid w:val="00F3249B"/>
    <w:rsid w:val="00F329CC"/>
    <w:rsid w:val="00F32F21"/>
    <w:rsid w:val="00F351F6"/>
    <w:rsid w:val="00F35AF5"/>
    <w:rsid w:val="00F35EE1"/>
    <w:rsid w:val="00F37EC3"/>
    <w:rsid w:val="00F40D04"/>
    <w:rsid w:val="00F41933"/>
    <w:rsid w:val="00F4197E"/>
    <w:rsid w:val="00F43115"/>
    <w:rsid w:val="00F508A4"/>
    <w:rsid w:val="00F50C31"/>
    <w:rsid w:val="00F52ABF"/>
    <w:rsid w:val="00F54434"/>
    <w:rsid w:val="00F5502B"/>
    <w:rsid w:val="00F602DA"/>
    <w:rsid w:val="00F6045C"/>
    <w:rsid w:val="00F62032"/>
    <w:rsid w:val="00F64847"/>
    <w:rsid w:val="00F6497A"/>
    <w:rsid w:val="00F657B3"/>
    <w:rsid w:val="00F6593A"/>
    <w:rsid w:val="00F66308"/>
    <w:rsid w:val="00F668FE"/>
    <w:rsid w:val="00F67CDA"/>
    <w:rsid w:val="00F72E72"/>
    <w:rsid w:val="00F7376B"/>
    <w:rsid w:val="00F73AD0"/>
    <w:rsid w:val="00F74DAF"/>
    <w:rsid w:val="00F75B90"/>
    <w:rsid w:val="00F75E52"/>
    <w:rsid w:val="00F76646"/>
    <w:rsid w:val="00F8343F"/>
    <w:rsid w:val="00F84B03"/>
    <w:rsid w:val="00F852CF"/>
    <w:rsid w:val="00F90B39"/>
    <w:rsid w:val="00F91D9A"/>
    <w:rsid w:val="00F91DEA"/>
    <w:rsid w:val="00F925AB"/>
    <w:rsid w:val="00F92C4E"/>
    <w:rsid w:val="00F934BC"/>
    <w:rsid w:val="00F93CA0"/>
    <w:rsid w:val="00F949BC"/>
    <w:rsid w:val="00F94F58"/>
    <w:rsid w:val="00F96BC7"/>
    <w:rsid w:val="00FA05FD"/>
    <w:rsid w:val="00FA12A0"/>
    <w:rsid w:val="00FA3C3D"/>
    <w:rsid w:val="00FA4E4D"/>
    <w:rsid w:val="00FA5992"/>
    <w:rsid w:val="00FA6FD2"/>
    <w:rsid w:val="00FA77BD"/>
    <w:rsid w:val="00FA7B7A"/>
    <w:rsid w:val="00FB0B79"/>
    <w:rsid w:val="00FB0DC1"/>
    <w:rsid w:val="00FB1243"/>
    <w:rsid w:val="00FB2C55"/>
    <w:rsid w:val="00FB2D9C"/>
    <w:rsid w:val="00FB31CC"/>
    <w:rsid w:val="00FB612B"/>
    <w:rsid w:val="00FB73EE"/>
    <w:rsid w:val="00FC02DC"/>
    <w:rsid w:val="00FC06C9"/>
    <w:rsid w:val="00FC3FD5"/>
    <w:rsid w:val="00FC492F"/>
    <w:rsid w:val="00FC4A25"/>
    <w:rsid w:val="00FC6659"/>
    <w:rsid w:val="00FC674A"/>
    <w:rsid w:val="00FD0A46"/>
    <w:rsid w:val="00FD1065"/>
    <w:rsid w:val="00FD1458"/>
    <w:rsid w:val="00FD38BC"/>
    <w:rsid w:val="00FD4C8D"/>
    <w:rsid w:val="00FD5D51"/>
    <w:rsid w:val="00FD7217"/>
    <w:rsid w:val="00FE3230"/>
    <w:rsid w:val="00FE519F"/>
    <w:rsid w:val="00FE5FB2"/>
    <w:rsid w:val="00FE6995"/>
    <w:rsid w:val="00FE6F81"/>
    <w:rsid w:val="00FF10A4"/>
    <w:rsid w:val="00FF20B8"/>
    <w:rsid w:val="00FF259D"/>
    <w:rsid w:val="00FF4A56"/>
    <w:rsid w:val="00FF4D5D"/>
    <w:rsid w:val="00FF5246"/>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D4A8C"/>
  <w15:docId w15:val="{260DD26E-63EF-499B-8561-F91D5149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oid.ok.gov/okready/" TargetMode="External"/><Relationship Id="rId21" Type="http://schemas.openxmlformats.org/officeDocument/2006/relationships/hyperlink" Target="https://aldoi.gov/PDF/Misc/AHICReport.pdf" TargetMode="External"/><Relationship Id="rId63" Type="http://schemas.openxmlformats.org/officeDocument/2006/relationships/hyperlink" Target="https://magnoliatribune.com/2025/11/11/mississippi-hosting-disaster-leadership-conference-in-biloxi/" TargetMode="External"/><Relationship Id="rId159" Type="http://schemas.openxmlformats.org/officeDocument/2006/relationships/hyperlink" Target="https://leginfo.legislature.ca.gov/faces/billTextClient.xhtml?bill_id=202120220SB852" TargetMode="External"/><Relationship Id="rId170" Type="http://schemas.openxmlformats.org/officeDocument/2006/relationships/hyperlink" Target="https://www.insurance.ca.gov/01-consumers/180-climate-change/upload/Public-Wildfire-Model-Strategy-Group-Chaired-by-Cal-Poly-Humboldt-Future-Directions-and-Considerations-05-16-2025.pdf" TargetMode="External"/><Relationship Id="rId226" Type="http://schemas.openxmlformats.org/officeDocument/2006/relationships/hyperlink" Target="https://magnoliatribune.com/2025/11/11/mississippi-hosting-disaster-leadership-conference-in-biloxi/" TargetMode="External"/><Relationship Id="rId268" Type="http://schemas.openxmlformats.org/officeDocument/2006/relationships/hyperlink" Target="https://www.gov.ca.gov/2023/09/21/governor-newsom-signs-executive-order-to-strengthen-property-insurance-market/" TargetMode="External"/><Relationship Id="rId32" Type="http://schemas.openxmlformats.org/officeDocument/2006/relationships/hyperlink" Target="https://floir.com/consumers/wind-mitigation-resources/" TargetMode="External"/><Relationship Id="rId74" Type="http://schemas.openxmlformats.org/officeDocument/2006/relationships/hyperlink" Target="https://www.smarthomeamerica.org/resources/2016-alabama-tornado-preparedness-guide-insurance-tips" TargetMode="External"/><Relationship Id="rId128"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5" Type="http://schemas.openxmlformats.org/officeDocument/2006/relationships/numbering" Target="numbering.xml"/><Relationship Id="rId181" Type="http://schemas.openxmlformats.org/officeDocument/2006/relationships/hyperlink" Target="https://www.insurance.wa.gov/laws-rules/legislation-and-rulemaking/legislative-committees-and-work-groups/wildfire-mitigation-and-resiliency-standards-work-group" TargetMode="External"/><Relationship Id="rId237"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279" Type="http://schemas.openxmlformats.org/officeDocument/2006/relationships/hyperlink" Target="https://law.justia.com/codes/mississippi/title-83/chapter-75/section-83-75-3/" TargetMode="External"/><Relationship Id="rId43" Type="http://schemas.openxmlformats.org/officeDocument/2006/relationships/hyperlink" Target="https://floir.gov/consumers/wind-mitigation-resources" TargetMode="External"/><Relationship Id="rId139"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290" Type="http://schemas.openxmlformats.org/officeDocument/2006/relationships/footer" Target="footer2.xml"/><Relationship Id="rId85" Type="http://schemas.openxmlformats.org/officeDocument/2006/relationships/hyperlink" Target="https://mn.gov/commerce/energy/consumer/energy-programs/strengthen-mn-homes.jsp" TargetMode="External"/><Relationship Id="rId150" Type="http://schemas.openxmlformats.org/officeDocument/2006/relationships/hyperlink" Target="https://bof.fire.ca.gov/projects-and-programs/defensible-space-zones-0-1-and-2" TargetMode="External"/><Relationship Id="rId192" Type="http://schemas.openxmlformats.org/officeDocument/2006/relationships/hyperlink" Target="https://leginfo.legislature.ca.gov/faces/codes_displaySection.xhtml?sectionNum=10081&amp;lawCode=INS" TargetMode="External"/><Relationship Id="rId206" Type="http://schemas.openxmlformats.org/officeDocument/2006/relationships/hyperlink" Target="https://dcp.ufl.edu/fiber/resources/" TargetMode="External"/><Relationship Id="rId248" Type="http://schemas.openxmlformats.org/officeDocument/2006/relationships/hyperlink" Target="http://www.insurance.ca.gov/cci/" TargetMode="External"/><Relationship Id="rId12" Type="http://schemas.openxmlformats.org/officeDocument/2006/relationships/hyperlink" Target="https://www.iii.org/article/homeowners-insurance-basics" TargetMode="External"/><Relationship Id="rId33" Type="http://schemas.openxmlformats.org/officeDocument/2006/relationships/hyperlink" Target="https://fhcf.sbafla.com/about-the-fhcf/" TargetMode="External"/><Relationship Id="rId108" Type="http://schemas.openxmlformats.org/officeDocument/2006/relationships/hyperlink" Target="https://www.msema.org/" TargetMode="External"/><Relationship Id="rId129"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280" Type="http://schemas.openxmlformats.org/officeDocument/2006/relationships/hyperlink" Target="https://billstatus.ls.state.ms.us/documents/2025/pdf/HB/1600-1699/HB1611SG.pdf" TargetMode="External"/><Relationship Id="rId54" Type="http://schemas.openxmlformats.org/officeDocument/2006/relationships/hyperlink" Target="https://ldi.la.gov/docs/default-source/documents/legaldocs/bulletins/bull2025-04-cur-pre-noticeofdatacall" TargetMode="External"/><Relationship Id="rId75" Type="http://schemas.openxmlformats.org/officeDocument/2006/relationships/hyperlink" Target="https://www.minneapolisfed.org/article/2025/rising-property-insurance-costs-stress-multifamily-housing" TargetMode="External"/><Relationship Id="rId96" Type="http://schemas.openxmlformats.org/officeDocument/2006/relationships/hyperlink" Target="https://www.mid.ms.gov/wp-content/uploads/2024/09/Pressrel091224.pdf" TargetMode="External"/><Relationship Id="rId140"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61" Type="http://schemas.openxmlformats.org/officeDocument/2006/relationships/hyperlink" Target="https://www.insurance.ca.gov/01-consumers/180-climate-change/Climate-Insurance-Working-Group-Members.cfm" TargetMode="External"/><Relationship Id="rId182" Type="http://schemas.openxmlformats.org/officeDocument/2006/relationships/hyperlink" Target="https://washingtonrcd.org/wp-content/uploads/2025/10/Wildland-Fire-Strategic-Plan-Review-Community-Resilience-Recommendations-10-7-25.pdf" TargetMode="External"/><Relationship Id="rId217" Type="http://schemas.openxmlformats.org/officeDocument/2006/relationships/hyperlink" Target="https://www.minneapolismn.gov/resident-services/utility-services/stormwater/residential-stormwater-credits/" TargetMode="External"/><Relationship Id="rId6" Type="http://schemas.openxmlformats.org/officeDocument/2006/relationships/styles" Target="styles.xml"/><Relationship Id="rId238"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59" Type="http://schemas.openxmlformats.org/officeDocument/2006/relationships/hyperlink" Target="https://www.marshmclennan.com/web-assets/insights/publications/2022/november/Race%20to%20Reslience%20Report_COP27%20FINAL.pdf" TargetMode="External"/><Relationship Id="rId23" Type="http://schemas.openxmlformats.org/officeDocument/2006/relationships/hyperlink" Target="https://aldoi.gov/hurricane/default.aspx" TargetMode="External"/><Relationship Id="rId119" Type="http://schemas.openxmlformats.org/officeDocument/2006/relationships/hyperlink" Target="https://www.oid.ok.gov/podcast/" TargetMode="External"/><Relationship Id="rId270"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 Id="rId291" Type="http://schemas.openxmlformats.org/officeDocument/2006/relationships/header" Target="header3.xml"/><Relationship Id="rId44" Type="http://schemas.openxmlformats.org/officeDocument/2006/relationships/hyperlink" Target="https://floir.com/docs-sf/default-source/property-and-casualty/oir-b1-1655.pdf?sfvrsn=935a74bb_2" TargetMode="External"/><Relationship Id="rId65" Type="http://schemas.openxmlformats.org/officeDocument/2006/relationships/hyperlink" Target="https://www.msplans.com/" TargetMode="External"/><Relationship Id="rId86" Type="http://schemas.openxmlformats.org/officeDocument/2006/relationships/hyperlink" Target="https://www.revisor.mn.gov/statutes/cite/65A.298" TargetMode="External"/><Relationship Id="rId130"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151" Type="http://schemas.openxmlformats.org/officeDocument/2006/relationships/hyperlink" Target="https://leginfo.legislature.ca.gov/faces/billNavClient.xhtml?bill_id=202120220SB11" TargetMode="External"/><Relationship Id="rId172" Type="http://schemas.openxmlformats.org/officeDocument/2006/relationships/hyperlink" Target="https://content.naic.org/sites/default/files/national-climate-resilience-strategy.pdf" TargetMode="External"/><Relationship Id="rId193" Type="http://schemas.openxmlformats.org/officeDocument/2006/relationships/hyperlink" Target="https://leginfo.legislature.ca.gov/faces/codes_displayText.xhtml?lawCode=INS&amp;division=2.&amp;title=&amp;part=1.&amp;chapter=8.5.&amp;article=" TargetMode="External"/><Relationship Id="rId207" Type="http://schemas.openxmlformats.org/officeDocument/2006/relationships/hyperlink" Target="https://floir.gov/tools-and-data/residential-market-share-reports" TargetMode="External"/><Relationship Id="rId228" Type="http://schemas.openxmlformats.org/officeDocument/2006/relationships/hyperlink" Target="https://billstatus.ls.state.ms.us/documents/2018/pdf/SB/2200-2299/SB2277SG.pdf" TargetMode="External"/><Relationship Id="rId249" Type="http://schemas.openxmlformats.org/officeDocument/2006/relationships/hyperlink" Target="https://www.insurance.ca.gov/01-consumers/180-climate-change/upload/Impacts-of-extreme-heat-to-California-s-people-infrastructure-and-economy-by-California-Department-of-Insurance-June-2024.pdf" TargetMode="External"/><Relationship Id="rId13" Type="http://schemas.openxmlformats.org/officeDocument/2006/relationships/image" Target="media/image1.png"/><Relationship Id="rId109" Type="http://schemas.openxmlformats.org/officeDocument/2006/relationships/hyperlink" Target="https://www.msema.org/" TargetMode="External"/><Relationship Id="rId260" Type="http://schemas.openxmlformats.org/officeDocument/2006/relationships/hyperlink" Target="https://inclusiveaction.org/press-release/groundbreaking-south-north-initiative-to-bring-heat-insurance-direct-cash-support-and-resilience-to-heat-exposed-outdoor-workers-of-los-angeles/" TargetMode="External"/><Relationship Id="rId281" Type="http://schemas.openxmlformats.org/officeDocument/2006/relationships/hyperlink" Target="https://law.justia.com/codes/mississippi/title-17/chapter-2/section-17-2-4/" TargetMode="External"/><Relationship Id="rId34" Type="http://schemas.openxmlformats.org/officeDocument/2006/relationships/hyperlink" Target="https://fhcf.sbafla.com/" TargetMode="External"/><Relationship Id="rId55" Type="http://schemas.openxmlformats.org/officeDocument/2006/relationships/hyperlink" Target="https://ldi.la.gov/fortifyhomes" TargetMode="External"/><Relationship Id="rId76" Type="http://schemas.openxmlformats.org/officeDocument/2006/relationships/hyperlink" Target="https://www.lcc.mn.gov/hcpi/meetings/20260205/Task-Force-on-Homeowners-and-Commercial-Property-Insurance-Final-Report" TargetMode="External"/><Relationship Id="rId97" Type="http://schemas.openxmlformats.org/officeDocument/2006/relationships/hyperlink" Target="https://www.mid.ms.gov/wp-content/uploads/2023/12/Pressrel121923.pdf" TargetMode="External"/><Relationship Id="rId120" Type="http://schemas.openxmlformats.org/officeDocument/2006/relationships/hyperlink" Target="https://oklahoma.gov/oem.html" TargetMode="External"/><Relationship Id="rId141"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7" Type="http://schemas.openxmlformats.org/officeDocument/2006/relationships/settings" Target="settings.xml"/><Relationship Id="rId162" Type="http://schemas.openxmlformats.org/officeDocument/2006/relationships/hyperlink" Target="http://www.insurance.ca.gov/cci/" TargetMode="External"/><Relationship Id="rId183" Type="http://schemas.openxmlformats.org/officeDocument/2006/relationships/hyperlink" Target="https://dnr.wa.gov/wildfire-resources/wildfire-prevention/wildland-fire-protection-strategic-plan" TargetMode="External"/><Relationship Id="rId218" Type="http://schemas.openxmlformats.org/officeDocument/2006/relationships/hyperlink" Target="https://www.cityofroseville.com/3029/Stormwater-Utility-Credit" TargetMode="External"/><Relationship Id="rId239"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50" Type="http://schemas.openxmlformats.org/officeDocument/2006/relationships/hyperlink" Target="https://calheatscore.calepa.ca.gov/" TargetMode="External"/><Relationship Id="rId271" Type="http://schemas.openxmlformats.org/officeDocument/2006/relationships/hyperlink" Target="https://www.insurance.ca.gov/01-consumers/180-climate-change/Climate-Insurance-Working-Group-Members.cfm" TargetMode="External"/><Relationship Id="rId292" Type="http://schemas.openxmlformats.org/officeDocument/2006/relationships/footer" Target="footer3.xml"/><Relationship Id="rId24" Type="http://schemas.openxmlformats.org/officeDocument/2006/relationships/hyperlink" Target="https://www.strengthenalabamahomes.com/" TargetMode="External"/><Relationship Id="rId45" Type="http://schemas.openxmlformats.org/officeDocument/2006/relationships/hyperlink" Target="https://www.myfloridacfo.com/division/ica/consumeroutreach" TargetMode="External"/><Relationship Id="rId66" Type="http://schemas.openxmlformats.org/officeDocument/2006/relationships/hyperlink" Target="https://www.msplans.com/about-us" TargetMode="External"/><Relationship Id="rId87" Type="http://schemas.openxmlformats.org/officeDocument/2006/relationships/hyperlink" Target="https://billstatus.ls.state.ms.us/documents/2015/html/HB/0700-0799/HB0739SG.htm" TargetMode="External"/><Relationship Id="rId110" Type="http://schemas.openxmlformats.org/officeDocument/2006/relationships/hyperlink" Target="https://www.fema.gov/grants/mitigation" TargetMode="External"/><Relationship Id="rId131"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2" Type="http://schemas.openxmlformats.org/officeDocument/2006/relationships/hyperlink" Target="https://leginfo.legislature.ca.gov/faces/billNavClient.xhtml?bill_id=202120220SB332" TargetMode="External"/><Relationship Id="rId173" Type="http://schemas.openxmlformats.org/officeDocument/2006/relationships/hyperlink" Target="https://www.iais.org/" TargetMode="External"/><Relationship Id="rId194" Type="http://schemas.openxmlformats.org/officeDocument/2006/relationships/hyperlink" Target="https://leginfo.legislature.ca.gov/faces/codes_displaySection.xhtml?sectionNum=10089.396&amp;lawCode=INS" TargetMode="External"/><Relationship Id="rId208" Type="http://schemas.openxmlformats.org/officeDocument/2006/relationships/hyperlink" Target="https://floir.gov/tools-and-data/catastrophe-reporting" TargetMode="External"/><Relationship Id="rId229" Type="http://schemas.openxmlformats.org/officeDocument/2006/relationships/hyperlink" Target="https://msdisasterrecovery.com/" TargetMode="External"/><Relationship Id="rId240" Type="http://schemas.openxmlformats.org/officeDocument/2006/relationships/hyperlink" Target="https://www.insurance.ca.gov/01-consumers/105-type/95-guides/upload/CLIMATE-RESILIENCE-DISTRICTS.pdf" TargetMode="External"/><Relationship Id="rId261" Type="http://schemas.openxmlformats.org/officeDocument/2006/relationships/hyperlink" Target="https://www.npr.org/sections/goats-and-soda/2025/07/16/g-s1-76948/hot-temperatures-insurance-gig-workers-india" TargetMode="External"/><Relationship Id="rId14" Type="http://schemas.openxmlformats.org/officeDocument/2006/relationships/hyperlink" Target="https://foundation.caionline.org/research/snap-surveys/" TargetMode="External"/><Relationship Id="rId35" Type="http://schemas.openxmlformats.org/officeDocument/2006/relationships/hyperlink" Target="https://fphlm.cs.fiu.edu/" TargetMode="External"/><Relationship Id="rId56" Type="http://schemas.openxmlformats.org/officeDocument/2006/relationships/hyperlink" Target="https://ldi.la.gov/docs/default-source/documents/publicaffairs/consumerpublications/post-disaster-guide-web.pdf?sfvrsn=f1765b52_6" TargetMode="External"/><Relationship Id="rId77" Type="http://schemas.openxmlformats.org/officeDocument/2006/relationships/hyperlink" Target="https://mn.gov/commerce-stat/insurance/industry/bulletins/2026/administrative_bulletin_2026.1.pdf" TargetMode="External"/><Relationship Id="rId100" Type="http://schemas.openxmlformats.org/officeDocument/2006/relationships/hyperlink" Target="https://www.mid.ms.gov/wp-content/uploads/2024/01/Pressrel053123.pdf" TargetMode="External"/><Relationship Id="rId282" Type="http://schemas.openxmlformats.org/officeDocument/2006/relationships/hyperlink" Target="https://billstatus.ls.state.ms.us/documents/2015/pdf/HB/0700-0799/HB0739SG.pdf" TargetMode="External"/><Relationship Id="rId8" Type="http://schemas.openxmlformats.org/officeDocument/2006/relationships/webSettings" Target="webSettings.xml"/><Relationship Id="rId98" Type="http://schemas.openxmlformats.org/officeDocument/2006/relationships/hyperlink" Target="https://www.mid.ms.gov/wp-content/uploads/2024/01/Pressrel090523.pdf" TargetMode="External"/><Relationship Id="rId121" Type="http://schemas.openxmlformats.org/officeDocument/2006/relationships/hyperlink" Target="http://www.insurance.ca.gov/cci/" TargetMode="External"/><Relationship Id="rId142"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3" Type="http://schemas.openxmlformats.org/officeDocument/2006/relationships/hyperlink" Target="https://leginfo.legislature.ca.gov/faces/billNavClient.xhtml?bill_id=202520260AB1236" TargetMode="External"/><Relationship Id="rId184" Type="http://schemas.openxmlformats.org/officeDocument/2006/relationships/hyperlink" Target="https://app.leg.wa.gov/ReportsToTheLegislature/Home/GetPDF?fileName=final-report-washington-disaster-resiliency-work-group-november-2020_ede7320e-f46b-441a-9fb3-5284297d7d51.pdf" TargetMode="External"/><Relationship Id="rId219" Type="http://schemas.openxmlformats.org/officeDocument/2006/relationships/hyperlink" Target="https://www2.minneapolismn.gov/government/departments/public-works/surface-water-sewers/programs-policy/green-infrastructure/southwest-windom-neighborhood/" TargetMode="External"/><Relationship Id="rId230" Type="http://schemas.openxmlformats.org/officeDocument/2006/relationships/hyperlink" Target="https://www.msema.org/about/about-mema/mitigation/available-grants" TargetMode="External"/><Relationship Id="rId251" Type="http://schemas.openxmlformats.org/officeDocument/2006/relationships/hyperlink" Target="https://leginfo.legislature.ca.gov/faces/billNavClient.xhtml?bill_id=202120220AB2238" TargetMode="External"/><Relationship Id="rId25" Type="http://schemas.openxmlformats.org/officeDocument/2006/relationships/hyperlink" Target="https://fortifiedhome.org/incentives-alabama/" TargetMode="External"/><Relationship Id="rId46" Type="http://schemas.openxmlformats.org/officeDocument/2006/relationships/hyperlink" Target="https://www.myfloridacfo.com/division/ica/planprepareprotect" TargetMode="External"/><Relationship Id="rId67" Type="http://schemas.openxmlformats.org/officeDocument/2006/relationships/hyperlink" Target="https://billstatus.ls.state.ms.us/documents/2003/html/HB/1100-1199/HB1113SG.htm" TargetMode="External"/><Relationship Id="rId272" Type="http://schemas.openxmlformats.org/officeDocument/2006/relationships/hyperlink" Target="https://www.insurance.ca.gov/cci/" TargetMode="External"/><Relationship Id="rId293" Type="http://schemas.openxmlformats.org/officeDocument/2006/relationships/fontTable" Target="fontTable.xml"/><Relationship Id="rId88" Type="http://schemas.openxmlformats.org/officeDocument/2006/relationships/hyperlink" Target="https://www.mid.ms.gov/mississippi-insurance-department/companies/clarity-act-market-analysis-data-call/clarity-act-market-analysis-data-call-aggregated-data-search/" TargetMode="External"/><Relationship Id="rId111" Type="http://schemas.openxmlformats.org/officeDocument/2006/relationships/hyperlink" Target="https://www.smarthomeamerica.org/resources/mississippi" TargetMode="External"/><Relationship Id="rId132"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3" Type="http://schemas.openxmlformats.org/officeDocument/2006/relationships/hyperlink" Target="https://www.fire.ca.gov/what-we-do/natural-resource-management/prescribed-fire" TargetMode="External"/><Relationship Id="rId174" Type="http://schemas.openxmlformats.org/officeDocument/2006/relationships/hyperlink" Target="https://www.iais.org/uploads/2023/11/IAIS-Report-A-call-to-action-the-role-of-insurance-supervisors-in-addressing-natural-catastrophe-protection-gaps.pdf" TargetMode="External"/><Relationship Id="rId195" Type="http://schemas.openxmlformats.org/officeDocument/2006/relationships/hyperlink" Target="https://www.earthquakeauthority.com/" TargetMode="External"/><Relationship Id="rId209" Type="http://schemas.openxmlformats.org/officeDocument/2006/relationships/hyperlink" Target="https://flfloods.org/page/faw_dashboard" TargetMode="External"/><Relationship Id="rId220" Type="http://schemas.openxmlformats.org/officeDocument/2006/relationships/hyperlink" Target="https://www.pca.state.mn.us/air-water-land-climate/grants-to-prepare-minnesota-for-climate-change" TargetMode="External"/><Relationship Id="rId241" Type="http://schemas.openxmlformats.org/officeDocument/2006/relationships/hyperlink" Target="https://leginfo.legislature.ca.gov/faces/billTextClient.xhtml?bill_id=202120220SB852" TargetMode="External"/><Relationship Id="rId15" Type="http://schemas.openxmlformats.org/officeDocument/2006/relationships/hyperlink" Target="https://d.docs.live.net/b63e1426dee77ece/Desktop/Filing%20Cabinet/NAIC/2026/07-July/floir.gov/property-casualty/market-overview" TargetMode="External"/><Relationship Id="rId36" Type="http://schemas.openxmlformats.org/officeDocument/2006/relationships/hyperlink" Target="https://www.leg.state.fl.us/STATUTES/index.cfm/index.cfm?App_mode=Display_Statute&amp;Search_String=&amp;URL=0600-0699/0627/Sections/0627.06281.html" TargetMode="External"/><Relationship Id="rId57" Type="http://schemas.openxmlformats.org/officeDocument/2006/relationships/hyperlink" Target="https://www.ldi.la.gov/ldiconnect-app-terms-of-use-and-privacy-policy/" TargetMode="External"/><Relationship Id="rId262" Type="http://schemas.openxmlformats.org/officeDocument/2006/relationships/hyperlink" Target="https://www.insurance.ca.gov/01-consumers/105-type/95-guides/upload/Urban-Forest-Insurance.pdf" TargetMode="External"/><Relationship Id="rId283" Type="http://schemas.openxmlformats.org/officeDocument/2006/relationships/hyperlink" Target="https://billstatus.ls.state.ms.us/documents/2023/pdf/SB/2200-2299/SB2224SG.pdf" TargetMode="External"/><Relationship Id="rId78" Type="http://schemas.openxmlformats.org/officeDocument/2006/relationships/hyperlink" Target="https://mn.gov/commerce/insurance/home/dic/" TargetMode="External"/><Relationship Id="rId99" Type="http://schemas.openxmlformats.org/officeDocument/2006/relationships/hyperlink" Target="https://www.mid.ms.gov/wp-content/uploads/2024/01/Pressrel062223.pdf" TargetMode="External"/><Relationship Id="rId101" Type="http://schemas.openxmlformats.org/officeDocument/2006/relationships/hyperlink" Target="https://www.mid.ms.gov/wp-content/uploads/2024/01/Pressrel050123.pdf" TargetMode="External"/><Relationship Id="rId122" Type="http://schemas.openxmlformats.org/officeDocument/2006/relationships/hyperlink" Target="https://www.insurance.ca.gov/01-consumers/180-climate-change/upload/CA-Sustainable-Insurance-Roadmap-2022.pdf" TargetMode="External"/><Relationship Id="rId143"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4" Type="http://schemas.openxmlformats.org/officeDocument/2006/relationships/hyperlink" Target="https://leginfo.legislature.ca.gov/faces/billTextClient.xhtml?bill_id=201920200SB182" TargetMode="External"/><Relationship Id="rId185" Type="http://schemas.openxmlformats.org/officeDocument/2006/relationships/hyperlink" Target="https://www.insurance.wa.gov/sites/default/files/2024-12/wa-nonrenewal-datacall-instructions.pdf" TargetMode="External"/><Relationship Id="rId9" Type="http://schemas.openxmlformats.org/officeDocument/2006/relationships/footnotes" Target="footnotes.xml"/><Relationship Id="rId210" Type="http://schemas.openxmlformats.org/officeDocument/2006/relationships/hyperlink" Target="https://www.floridadisaster.org/dem/mitigation/elevate-Florida/" TargetMode="External"/><Relationship Id="rId26" Type="http://schemas.openxmlformats.org/officeDocument/2006/relationships/hyperlink" Target="https://www.aiua.org/" TargetMode="External"/><Relationship Id="rId231" Type="http://schemas.openxmlformats.org/officeDocument/2006/relationships/hyperlink" Target="https://www.msema.org/" TargetMode="External"/><Relationship Id="rId252" Type="http://schemas.openxmlformats.org/officeDocument/2006/relationships/hyperlink" Target="https://www.insurance.ca.gov/cci/" TargetMode="External"/><Relationship Id="rId27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4" Type="http://schemas.openxmlformats.org/officeDocument/2006/relationships/theme" Target="theme/theme1.xml"/><Relationship Id="rId47" Type="http://schemas.openxmlformats.org/officeDocument/2006/relationships/hyperlink" Target="https://www.myfloridacfo.com/division/ica/demolish" TargetMode="External"/><Relationship Id="rId68" Type="http://schemas.openxmlformats.org/officeDocument/2006/relationships/hyperlink" Target="https://www.msema.org/about/about-mema/mitigation/grant-funding/statewide-residential-safe-room-grant-program" TargetMode="External"/><Relationship Id="rId89" Type="http://schemas.openxmlformats.org/officeDocument/2006/relationships/hyperlink" Target="https://www.mid.ms.gov/mississippi-insurance-department/companies/clarity-act-market-analysis-data-call/" TargetMode="External"/><Relationship Id="rId112" Type="http://schemas.openxmlformats.org/officeDocument/2006/relationships/hyperlink" Target="https://www.smarthomeamerica.org/assets/uploads/SHA_Coastal_Construction_Code_Supplement_2021_Version_Final.pdf" TargetMode="External"/><Relationship Id="rId133"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4" Type="http://schemas.openxmlformats.org/officeDocument/2006/relationships/hyperlink" Target="https://leginfo.legislature.ca.gov/faces/billTextClient.xhtml?bill_id=202120220SB926" TargetMode="External"/><Relationship Id="rId175" Type="http://schemas.openxmlformats.org/officeDocument/2006/relationships/hyperlink" Target="https://papers.ssrn.com/sol3/papers.cfm?abstract_id=5057551" TargetMode="External"/><Relationship Id="rId196" Type="http://schemas.openxmlformats.org/officeDocument/2006/relationships/hyperlink" Target="https://www.earthquakeauthority.com/california-earthquake-insurance-policies/other-providers" TargetMode="External"/><Relationship Id="rId200" Type="http://schemas.openxmlformats.org/officeDocument/2006/relationships/hyperlink" Target="https://www.crmp.org/our-seismic-retrofit-programs/the-retrofits/ebb-retrofit" TargetMode="External"/><Relationship Id="rId16" Type="http://schemas.openxmlformats.org/officeDocument/2006/relationships/hyperlink" Target="https://content.naic.org/sites/default/files/resilience-policy-playbook-addendum.pdf" TargetMode="External"/><Relationship Id="rId221" Type="http://schemas.openxmlformats.org/officeDocument/2006/relationships/hyperlink" Target="https://data.pca.state.mn.us/views/Climategrantsmap/ClimateGrants?%3Aembed=y&amp;%3AisGuestRedirectFromVizportal=y" TargetMode="External"/><Relationship Id="rId242" Type="http://schemas.openxmlformats.org/officeDocument/2006/relationships/hyperlink" Target="https://leginfo.legislature.ca.gov/faces/codes_displayText.xhtml?lawCode=GOV&amp;division=6.&amp;title=6.&amp;part=&amp;chapter=&amp;article=" TargetMode="External"/><Relationship Id="rId263" Type="http://schemas.openxmlformats.org/officeDocument/2006/relationships/hyperlink" Target="https://www.insurance.ca.gov/01-consumers/150-other-prog/01-intervenor/index.cfm" TargetMode="External"/><Relationship Id="rId284" Type="http://schemas.openxmlformats.org/officeDocument/2006/relationships/hyperlink" Target="https://law.justia.com/codes/mississippi/title-83/chapter-1/comprehensive-hurricane-damage-mitigation-program/" TargetMode="External"/><Relationship Id="rId37" Type="http://schemas.openxmlformats.org/officeDocument/2006/relationships/hyperlink" Target="https://mysafeflhome.com/" TargetMode="External"/><Relationship Id="rId58" Type="http://schemas.openxmlformats.org/officeDocument/2006/relationships/hyperlink" Target="https://www.mid.ms.gov/mississippi-insurance-department/preparedness/mitigation/smh/" TargetMode="External"/><Relationship Id="rId79" Type="http://schemas.openxmlformats.org/officeDocument/2006/relationships/hyperlink" Target="https://mn.gov/commerce/insurance/home/dic/prepare.jsp" TargetMode="External"/><Relationship Id="rId102" Type="http://schemas.openxmlformats.org/officeDocument/2006/relationships/hyperlink" Target="https://www.mid.ms.gov/wp-content/uploads/2023/04/Pressrel052522.pdf" TargetMode="External"/><Relationship Id="rId123" Type="http://schemas.openxmlformats.org/officeDocument/2006/relationships/hyperlink" Target="https://www.insurance.ca.gov/01-consumers/105-type/95-guides/03-res/upload/FAQ-Safer-from-Wildfire-Regulation.pdf" TargetMode="External"/><Relationship Id="rId144" Type="http://schemas.openxmlformats.org/officeDocument/2006/relationships/hyperlink" Target="https://leginfo.legislature.ca.gov/faces/billNavClient.xhtml?bill_id=202520260AB888" TargetMode="External"/><Relationship Id="rId90" Type="http://schemas.openxmlformats.org/officeDocument/2006/relationships/hyperlink" Target="https://content.naic.org/committees/ex/pre-disaster-mitigation-risk-modeling-wg" TargetMode="External"/><Relationship Id="rId165" Type="http://schemas.openxmlformats.org/officeDocument/2006/relationships/hyperlink" Target="https://leginfo.legislature.ca.gov/faces/billTextClient.xhtml?bill_id=201920200SB295" TargetMode="External"/><Relationship Id="rId186" Type="http://schemas.openxmlformats.org/officeDocument/2006/relationships/hyperlink" Target="https://www.insurance.wa.gov/sites/default/files/2025-12/2025-wildfire-wg-final-rpt_0.pdf" TargetMode="External"/><Relationship Id="rId211" Type="http://schemas.openxmlformats.org/officeDocument/2006/relationships/hyperlink" Target="https://floir.gov/property-casualty/flood-insurance" TargetMode="External"/><Relationship Id="rId232" Type="http://schemas.openxmlformats.org/officeDocument/2006/relationships/hyperlink" Target="https://www.mid.ms.gov/wp-content/uploads/2025/03/Pressrel031725-1.pdf" TargetMode="External"/><Relationship Id="rId25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4" Type="http://schemas.openxmlformats.org/officeDocument/2006/relationships/hyperlink" Target="https://content.naic.org/sites/default/files/inline-files/Financial%20Wellness%20Resource%20Guide_FINAL.pdf" TargetMode="External"/><Relationship Id="rId27" Type="http://schemas.openxmlformats.org/officeDocument/2006/relationships/hyperlink" Target="https://www.insurancejournal.com/news/southeast/2005/04/21/54129.htm" TargetMode="External"/><Relationship Id="rId48" Type="http://schemas.openxmlformats.org/officeDocument/2006/relationships/hyperlink" Target="https://www.myfloridacfo.com/docs-sf/insurance-consumer-advocate-libraries/ica-documents/applying-for-homeowners-insurance-what-you-need-to-know.pdf?sfvrsn=60deb59f_18" TargetMode="External"/><Relationship Id="rId69" Type="http://schemas.openxmlformats.org/officeDocument/2006/relationships/hyperlink" Target="https://www.fema.gov/grants/mitigation" TargetMode="External"/><Relationship Id="rId113" Type="http://schemas.openxmlformats.org/officeDocument/2006/relationships/hyperlink" Target="https://journals.ametsoc.org/view/journals/wcas/7/2/wcas-d-14-00032_1.xml" TargetMode="External"/><Relationship Id="rId134"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80" Type="http://schemas.openxmlformats.org/officeDocument/2006/relationships/hyperlink" Target="https://mn.gov/commerce/insurance/home/dic/after-the-disaster.jsp" TargetMode="External"/><Relationship Id="rId155" Type="http://schemas.openxmlformats.org/officeDocument/2006/relationships/hyperlink" Target="https://leginfo.legislature.ca.gov/faces/billTextClient.xhtml?bill_id=202320240SB310" TargetMode="External"/><Relationship Id="rId176" Type="http://schemas.openxmlformats.org/officeDocument/2006/relationships/hyperlink" Target="https://assets.bouldercounty.gov/wp-content/uploads/2025/03/marshall-fire-operational-after-action-report-003.pdf" TargetMode="External"/><Relationship Id="rId197" Type="http://schemas.openxmlformats.org/officeDocument/2006/relationships/hyperlink" Target="https://blog.jumpstartinsurance.com/jumpstart-company-overview/" TargetMode="External"/><Relationship Id="rId201" Type="http://schemas.openxmlformats.org/officeDocument/2006/relationships/hyperlink" Target="https://www.californiaresidentialmitigationprogram.com/do-i-need-a-retrofit/other-financial-assistance-options" TargetMode="External"/><Relationship Id="rId222" Type="http://schemas.openxmlformats.org/officeDocument/2006/relationships/hyperlink" Target="https://www.mrcti.org/" TargetMode="External"/><Relationship Id="rId243" Type="http://schemas.openxmlformats.org/officeDocument/2006/relationships/hyperlink" Target="https://leginfo.legislature.ca.gov/faces/codes_displaySection.xhtml?sectionNum=30985&amp;lawCode=PRC" TargetMode="External"/><Relationship Id="rId264" Type="http://schemas.openxmlformats.org/officeDocument/2006/relationships/hyperlink" Target="https://www.insurance.ca.gov/0400-news/0100-press-releases/2024/release037-2024.cfm" TargetMode="External"/><Relationship Id="rId285" Type="http://schemas.openxmlformats.org/officeDocument/2006/relationships/hyperlink" Target="https://www.congress.gov/bill/116th-congress/senate-bill/1708/text" TargetMode="External"/><Relationship Id="rId17" Type="http://schemas.openxmlformats.org/officeDocument/2006/relationships/hyperlink" Target="https://fchlpm.sbafla.com/" TargetMode="External"/><Relationship Id="rId38" Type="http://schemas.openxmlformats.org/officeDocument/2006/relationships/hyperlink" Target="https://www.leg.state.fl.us/Statutes/index.cfm?App_mode=Display_Statute&amp;Search_String=&amp;URL=0200-0299/0215/Sections/0215.5586.html" TargetMode="External"/><Relationship Id="rId59" Type="http://schemas.openxmlformats.org/officeDocument/2006/relationships/hyperlink" Target="https://www.msema.org/about/about-mema/mitigation/grant-funding/statewide-residential-safe-room-grant-program" TargetMode="External"/><Relationship Id="rId103" Type="http://schemas.openxmlformats.org/officeDocument/2006/relationships/hyperlink" Target="https://www.mid.ms.gov/wp-content/uploads/2023/04/pressrel120720.pdf" TargetMode="External"/><Relationship Id="rId124" Type="http://schemas.openxmlformats.org/officeDocument/2006/relationships/hyperlink" Target="https://www.insurance.ca.gov/01-consumers/140-catastrophes/MandatoryOneYearMoratoriumNonRenewals.cfm" TargetMode="External"/><Relationship Id="rId70" Type="http://schemas.openxmlformats.org/officeDocument/2006/relationships/hyperlink" Target="https://www.mid.ms.gov/mississippi-insurance-department/preparedness" TargetMode="External"/><Relationship Id="rId91" Type="http://schemas.openxmlformats.org/officeDocument/2006/relationships/hyperlink" Target="https://www.climatecentral.org/" TargetMode="External"/><Relationship Id="rId145" Type="http://schemas.openxmlformats.org/officeDocument/2006/relationships/hyperlink" Target="https://leginfo.legislature.ca.gov/faces/billNavClient.xhtml?bill_id=202520260SB429" TargetMode="External"/><Relationship Id="rId166" Type="http://schemas.openxmlformats.org/officeDocument/2006/relationships/hyperlink" Target="https://www.insurance.ca.gov/01-consumers/200-wrr/DataAnalysisOnWildfiresAndInsurance.cfm" TargetMode="External"/><Relationship Id="rId187" Type="http://schemas.openxmlformats.org/officeDocument/2006/relationships/hyperlink" Target="https://app.leg.wa.gov/billsummary/?BillNumber=5928&amp;Year=2025&amp;Initiative=false" TargetMode="External"/><Relationship Id="rId1" Type="http://schemas.openxmlformats.org/officeDocument/2006/relationships/customXml" Target="../customXml/item1.xml"/><Relationship Id="rId212" Type="http://schemas.openxmlformats.org/officeDocument/2006/relationships/hyperlink" Target="https://www.usf.edu/marine-science/research/florida-flood-hub-for-applied-research-and-innovation/" TargetMode="External"/><Relationship Id="rId233" Type="http://schemas.openxmlformats.org/officeDocument/2006/relationships/hyperlink" Target="https://www.nicb.org/news/news-releases/mississippi-acts-protect-buyers-flood-flooded-vehicles" TargetMode="External"/><Relationship Id="rId254" Type="http://schemas.openxmlformats.org/officeDocument/2006/relationships/hyperlink" Target="https://oehha.ca.gov/press-release/california-announces-tool-protect-risk-communities-dangerous-heat-waves-ahead-triple-digit" TargetMode="External"/><Relationship Id="rId28" Type="http://schemas.openxmlformats.org/officeDocument/2006/relationships/hyperlink" Target="https://www.insurancejournal.com/app/uploads/2024/06/Rating-the-States-report.pdf" TargetMode="External"/><Relationship Id="rId49" Type="http://schemas.openxmlformats.org/officeDocument/2006/relationships/hyperlink" Target="https://www.citizensfla.com/es/" TargetMode="External"/><Relationship Id="rId114" Type="http://schemas.openxmlformats.org/officeDocument/2006/relationships/hyperlink" Target="https://www.oid.ok.gov/regulated-entities/financial/market-conduct-regulation/data-call-submission/pre-and-post-disaster-faq/" TargetMode="External"/><Relationship Id="rId275" Type="http://schemas.openxmlformats.org/officeDocument/2006/relationships/hyperlink" Target="https://billstatus.ls.state.ms.us/documents/2022/pdf/HB/1100-1199/HB1163SG.pdf" TargetMode="External"/><Relationship Id="rId60" Type="http://schemas.openxmlformats.org/officeDocument/2006/relationships/hyperlink" Target="https://www.wlox.com/2024/05/23/state-leaders-discuss-hurricane-mitigation-program-during-extreme-wind-conference/" TargetMode="External"/><Relationship Id="rId81" Type="http://schemas.openxmlformats.org/officeDocument/2006/relationships/hyperlink" Target="https://mn.gov/commerce-stat/pdfs/2024_disaster-information-inventory.pdf" TargetMode="External"/><Relationship Id="rId135"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56" Type="http://schemas.openxmlformats.org/officeDocument/2006/relationships/hyperlink" Target="https://leginfo.legislature.ca.gov/faces/codes_displaySection.xhtml?sectionNum=3333.8&amp;lawCode=CIV" TargetMode="External"/><Relationship Id="rId177" Type="http://schemas.openxmlformats.org/officeDocument/2006/relationships/hyperlink" Target="https://leg.colorado.gov/bills/sb22-206" TargetMode="External"/><Relationship Id="rId198" Type="http://schemas.openxmlformats.org/officeDocument/2006/relationships/hyperlink" Target="https://www.crmp.org/our-seismic-retrofit-programs/the-retrofits/ebb-retrofit" TargetMode="External"/><Relationship Id="rId202" Type="http://schemas.openxmlformats.org/officeDocument/2006/relationships/hyperlink" Target="https://www.crmp.org/do-i-need-a-retrofit" TargetMode="External"/><Relationship Id="rId223" Type="http://schemas.openxmlformats.org/officeDocument/2006/relationships/hyperlink" Target="https://www.minnpost.com/other-nonprofit-media/2024/12/mississippi-river-towns-pilot-new-insurance-model-to-help-with-flooding/" TargetMode="External"/><Relationship Id="rId244" Type="http://schemas.openxmlformats.org/officeDocument/2006/relationships/hyperlink" Target="https://www.insurance.ca.gov/01-consumers/105-type/95-guides/upload/Climate-Action-Guide-Full-10-pg.pdf" TargetMode="External"/><Relationship Id="rId18" Type="http://schemas.openxmlformats.org/officeDocument/2006/relationships/hyperlink" Target="https://www.insurance.ca.gov/01-consumers/180-climate-change/DetermineProcedure.cfm" TargetMode="External"/><Relationship Id="rId39" Type="http://schemas.openxmlformats.org/officeDocument/2006/relationships/hyperlink" Target="https://myfloridacfo.com/mysafeflhome/mysafefloridacondo" TargetMode="External"/><Relationship Id="rId265" Type="http://schemas.openxmlformats.org/officeDocument/2006/relationships/hyperlink" Target="https://www.insurance.ca.gov/0400-news/0100-press-releases/2024/release035-2024.cfm" TargetMode="External"/><Relationship Id="rId286" Type="http://schemas.openxmlformats.org/officeDocument/2006/relationships/hyperlink" Target="https://regulations.justia.com/states/mississippi/title-19/part-5/chapter-3/" TargetMode="External"/><Relationship Id="rId50" Type="http://schemas.openxmlformats.org/officeDocument/2006/relationships/hyperlink" Target="https://www.citizensfla.com/depopulation" TargetMode="External"/><Relationship Id="rId104" Type="http://schemas.openxmlformats.org/officeDocument/2006/relationships/hyperlink" Target="https://www.mid.ms.gov/mississippi-insurance-department/preparedness/weather-disaster/" TargetMode="External"/><Relationship Id="rId125"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146" Type="http://schemas.openxmlformats.org/officeDocument/2006/relationships/hyperlink" Target="https://leginfo.legislature.ca.gov/faces/billNavClient.xhtml?bill_id=202520260SB495" TargetMode="External"/><Relationship Id="rId167" Type="http://schemas.openxmlformats.org/officeDocument/2006/relationships/hyperlink" Target="https://www.insurance.ca.gov/01-consumers/105-type/95-guides/03-res/upload/FAQ-Safer-from-Wildfire-Regulation.pdf" TargetMode="External"/><Relationship Id="rId188" Type="http://schemas.openxmlformats.org/officeDocument/2006/relationships/hyperlink" Target="https://app.leg.wa.gov/BillSummary/?BillNumber=6079&amp;Year=2025&amp;Initiative=false" TargetMode="External"/><Relationship Id="rId71" Type="http://schemas.openxmlformats.org/officeDocument/2006/relationships/hyperlink" Target="https://windnetwork.com/" TargetMode="External"/><Relationship Id="rId92" Type="http://schemas.openxmlformats.org/officeDocument/2006/relationships/hyperlink" Target="https://www.mid.ms.gov/mississippi-insurance-department/preparedness/mitigation/smh/" TargetMode="External"/><Relationship Id="rId213" Type="http://schemas.openxmlformats.org/officeDocument/2006/relationships/hyperlink" Target="https://floridadep.gov/rcp/resilient-florida-program/content/resilient-florida-program-slip" TargetMode="External"/><Relationship Id="rId234"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 Type="http://schemas.openxmlformats.org/officeDocument/2006/relationships/customXml" Target="../customXml/item2.xml"/><Relationship Id="rId29" Type="http://schemas.openxmlformats.org/officeDocument/2006/relationships/hyperlink" Target="https://floir.gov/tools-and-data/residential-market-share-reports" TargetMode="External"/><Relationship Id="rId255" Type="http://schemas.openxmlformats.org/officeDocument/2006/relationships/hyperlink" Target="https://leginfo.legislature.ca.gov/faces/billNavClient.xhtml?bill_id=201720180SB30" TargetMode="External"/><Relationship Id="rId276" Type="http://schemas.openxmlformats.org/officeDocument/2006/relationships/hyperlink" Target="https://www.mid.ms.gov/wp-content/uploads/2023/04/20071reg.pdf" TargetMode="External"/><Relationship Id="rId40" Type="http://schemas.openxmlformats.org/officeDocument/2006/relationships/hyperlink" Target="https://www.leg.state.fl.us/Statutes/index.cfm?App_mode=Display_Statute&amp;Search_String=&amp;URL=0200-0299/0215/Sections/0215.55871.html" TargetMode="External"/><Relationship Id="rId115" Type="http://schemas.openxmlformats.org/officeDocument/2006/relationships/hyperlink" Target="https://oklahoma.gov/oem/programs-and-services/soonersafe-safe-room-rebate-program/rules-and-regulations.html" TargetMode="External"/><Relationship Id="rId136"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57" Type="http://schemas.openxmlformats.org/officeDocument/2006/relationships/hyperlink" Target="https://leginfo.legislature.ca.gov/faces/codes_displaySection.xhtml?sectionNum=4002.4&amp;lawCode=PRC" TargetMode="External"/><Relationship Id="rId178" Type="http://schemas.openxmlformats.org/officeDocument/2006/relationships/hyperlink" Target="https://doi.colorado.gov/homeowners-hoainsurancetoolkit" TargetMode="External"/><Relationship Id="rId61" Type="http://schemas.openxmlformats.org/officeDocument/2006/relationships/hyperlink" Target="https://www.wlox.com/2025/11/13/gulf-coast-states-joining-stand-against-insurance-rate-hikes/" TargetMode="External"/><Relationship Id="rId82" Type="http://schemas.openxmlformats.org/officeDocument/2006/relationships/hyperlink" Target="https://www.youtube.com/watch?v=4fjwn0KsgeE" TargetMode="External"/><Relationship Id="rId199" Type="http://schemas.openxmlformats.org/officeDocument/2006/relationships/hyperlink" Target="https://www.crmp.org/" TargetMode="External"/><Relationship Id="rId203" Type="http://schemas.openxmlformats.org/officeDocument/2006/relationships/hyperlink" Target="https://www.earthquakecountry.org/step1/" TargetMode="External"/><Relationship Id="rId19" Type="http://schemas.openxmlformats.org/officeDocument/2006/relationships/hyperlink" Target="https://aldoi.gov/PDF/News/PerformanceIBHSFortifiedHomeConstructionHurricaneSally.pdf" TargetMode="External"/><Relationship Id="rId224" Type="http://schemas.openxmlformats.org/officeDocument/2006/relationships/hyperlink" Target="https://tinyurl.com/mr4yckrc" TargetMode="External"/><Relationship Id="rId245" Type="http://schemas.openxmlformats.org/officeDocument/2006/relationships/hyperlink" Target="https://www.insurance.ca.gov/0400-news/0100-press-releases/release051-2024.cfm" TargetMode="External"/><Relationship Id="rId266" Type="http://schemas.openxmlformats.org/officeDocument/2006/relationships/hyperlink" Target="https://www.insurance.ca.gov/0400-news/0100-press-releases/2024/release062-2024.cfm" TargetMode="External"/><Relationship Id="rId287" Type="http://schemas.openxmlformats.org/officeDocument/2006/relationships/header" Target="header1.xml"/><Relationship Id="rId30" Type="http://schemas.openxmlformats.org/officeDocument/2006/relationships/hyperlink" Target="https://floir.com/tools-and-data/catastrophe-reporting" TargetMode="External"/><Relationship Id="rId105" Type="http://schemas.openxmlformats.org/officeDocument/2006/relationships/hyperlink" Target="https://www.msema.org/" TargetMode="External"/><Relationship Id="rId126" Type="http://schemas.openxmlformats.org/officeDocument/2006/relationships/hyperlink" Target="https://www.insurance.ca.gov/01-consumers/180-climate-change/Sustainable-Insurance-Strategy.cfm" TargetMode="External"/><Relationship Id="rId147" Type="http://schemas.openxmlformats.org/officeDocument/2006/relationships/hyperlink" Target="https://leginfo.legislature.ca.gov/faces/billNavClient.xhtml?bill_id=201720180SB824" TargetMode="External"/><Relationship Id="rId168" Type="http://schemas.openxmlformats.org/officeDocument/2006/relationships/hyperlink" Target="https://interactive.web.insurance.ca.gov/apex_extprd/f?p=400:50" TargetMode="External"/><Relationship Id="rId51" Type="http://schemas.openxmlformats.org/officeDocument/2006/relationships/hyperlink" Target="https://floir.gov/property-casualty/take-out-companies" TargetMode="External"/><Relationship Id="rId72" Type="http://schemas.openxmlformats.org/officeDocument/2006/relationships/hyperlink" Target="https://www.colodnyfass.com/blog/alabama-governor-bentley-releases-affordable-homeowners-insurance-commission-report/" TargetMode="External"/><Relationship Id="rId93" Type="http://schemas.openxmlformats.org/officeDocument/2006/relationships/hyperlink" Target="https://billstatus.ls.state.ms.us/documents/2026/html/SB/2400-2499/SB2409SG.htm" TargetMode="External"/><Relationship Id="rId189" Type="http://schemas.openxmlformats.org/officeDocument/2006/relationships/hyperlink" Target="https://www.insurance.wa.gov/insurance-resources/home-insurance/insurance-natural-disasters/wildfires-and-homeowner-insurance" TargetMode="External"/><Relationship Id="rId3" Type="http://schemas.openxmlformats.org/officeDocument/2006/relationships/customXml" Target="../customXml/item3.xml"/><Relationship Id="rId214" Type="http://schemas.openxmlformats.org/officeDocument/2006/relationships/hyperlink" Target="https://www.floridadisaster.org/dem/mitigation/flood-mitigation-assistance-program/" TargetMode="External"/><Relationship Id="rId235"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56" Type="http://schemas.openxmlformats.org/officeDocument/2006/relationships/hyperlink" Target="https://www.insurance.ca.gov/01-consumers/180-climate-change/Climate-Insurance-Working-Group-Members.cfm" TargetMode="External"/><Relationship Id="rId277" Type="http://schemas.openxmlformats.org/officeDocument/2006/relationships/hyperlink" Target="https://www.mid.ms.gov/mississippi-insurance-department/preparedness/mitigation/the-comprehensive-hurricane-damage-mitigation-program/" TargetMode="External"/><Relationship Id="rId116" Type="http://schemas.openxmlformats.org/officeDocument/2006/relationships/hyperlink" Target="https://mapsprogram.com/" TargetMode="External"/><Relationship Id="rId137"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158" Type="http://schemas.openxmlformats.org/officeDocument/2006/relationships/hyperlink" Target="https://leginfo.legislature.ca.gov/faces/codes_displaySection.xhtml?sectionNum=4002.6&amp;lawCode=PRC" TargetMode="External"/><Relationship Id="rId20" Type="http://schemas.openxmlformats.org/officeDocument/2006/relationships/hyperlink" Target="https://www.aldoi.gov/currentnewsitem.aspx?ID=1321" TargetMode="External"/><Relationship Id="rId41" Type="http://schemas.openxmlformats.org/officeDocument/2006/relationships/hyperlink" Target="https://floir.gov/docs-sf/property-casualty-libraries/product-review/all-forms/form-oir-1802-adopted-version-(no-watermark).pdf?Status=Master" TargetMode="External"/><Relationship Id="rId62" Type="http://schemas.openxmlformats.org/officeDocument/2006/relationships/hyperlink" Target="https://www.wxxv25.com/local-leaders-discuss-response-plans-at-annual-disaster-leadership-conference/" TargetMode="External"/><Relationship Id="rId83" Type="http://schemas.openxmlformats.org/officeDocument/2006/relationships/hyperlink" Target="https://www.youtube.com/watch?v=NS-Oty7LUjw" TargetMode="External"/><Relationship Id="rId179" Type="http://schemas.openxmlformats.org/officeDocument/2006/relationships/hyperlink" Target="https://www.insurance.wa.gov/laws-rules/legislation-and-rulemaking/legislative-committees-and-work-groups/wildfire-mitigation-and-resiliency-standards-work-group" TargetMode="External"/><Relationship Id="rId190" Type="http://schemas.openxmlformats.org/officeDocument/2006/relationships/hyperlink" Target="https://laist.com/news/kpcc-archive/what-does-it-take-to-map-an-earthquake-fault" TargetMode="External"/><Relationship Id="rId204" Type="http://schemas.openxmlformats.org/officeDocument/2006/relationships/hyperlink" Target="https://www.scec.org/" TargetMode="External"/><Relationship Id="rId225" Type="http://schemas.openxmlformats.org/officeDocument/2006/relationships/hyperlink" Target="https://www.wxxv25.com/local-leaders-discuss-response-plans-at-annual-disaster-leadership-conference/" TargetMode="External"/><Relationship Id="rId246" Type="http://schemas.openxmlformats.org/officeDocument/2006/relationships/hyperlink" Target="https://www.insurance.ca.gov/0400-news/0100-press-releases/2024/release020-2024.cfm" TargetMode="External"/><Relationship Id="rId267" Type="http://schemas.openxmlformats.org/officeDocument/2006/relationships/hyperlink" Target="https://www.insurance.ca.gov/0400-news/0100-press-releases/2024/release065-2024.cfm" TargetMode="External"/><Relationship Id="rId288" Type="http://schemas.openxmlformats.org/officeDocument/2006/relationships/header" Target="header2.xml"/><Relationship Id="rId106" Type="http://schemas.openxmlformats.org/officeDocument/2006/relationships/hyperlink" Target="https://www.fema.gov/grants/mitigation/learn/hazard-mitigation" TargetMode="External"/><Relationship Id="rId127"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0" Type="http://schemas.openxmlformats.org/officeDocument/2006/relationships/endnotes" Target="endnotes.xml"/><Relationship Id="rId31" Type="http://schemas.openxmlformats.org/officeDocument/2006/relationships/hyperlink" Target="https://floir.gov/tools-and-data/data-call-reporting" TargetMode="External"/><Relationship Id="rId52" Type="http://schemas.openxmlformats.org/officeDocument/2006/relationships/hyperlink" Target="https://ldi.la.gov/fortifyhomes" TargetMode="External"/><Relationship Id="rId73" Type="http://schemas.openxmlformats.org/officeDocument/2006/relationships/hyperlink" Target="https://crir.culverhouse.ua.edu/" TargetMode="External"/><Relationship Id="rId94" Type="http://schemas.openxmlformats.org/officeDocument/2006/relationships/hyperlink" Target="https://www.msema.org/about/about-mema/mitigation/grant-funding/statewide-residential-safe-room-grant-program" TargetMode="External"/><Relationship Id="rId148" Type="http://schemas.openxmlformats.org/officeDocument/2006/relationships/hyperlink" Target="https://leginfo.legislature.ca.gov/faces/billNavClient.xhtml?bill_id=201720180SB824" TargetMode="External"/><Relationship Id="rId169" Type="http://schemas.openxmlformats.org/officeDocument/2006/relationships/hyperlink" Target="https://www.insurance.ca.gov/01-consumers/180-climate-change/catmodelgroup.cfm" TargetMode="External"/><Relationship Id="rId4" Type="http://schemas.openxmlformats.org/officeDocument/2006/relationships/customXml" Target="../customXml/item4.xml"/><Relationship Id="rId180" Type="http://schemas.openxmlformats.org/officeDocument/2006/relationships/hyperlink" Target="https://app.leg.wa.gov/billsummary/?BillNumber=1539&amp;Year=2025&amp;Initiative=false" TargetMode="External"/><Relationship Id="rId215" Type="http://schemas.openxmlformats.org/officeDocument/2006/relationships/hyperlink" Target="https://dcp.ufl.edu/fiber/resources/" TargetMode="External"/><Relationship Id="rId236"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57" Type="http://schemas.openxmlformats.org/officeDocument/2006/relationships/hyperlink" Target="http://www.insurance.ca.gov/cci/" TargetMode="External"/><Relationship Id="rId278" Type="http://schemas.openxmlformats.org/officeDocument/2006/relationships/hyperlink" Target="https://billstatus.ls.state.ms.us/documents/2024/pdf/SB/2100-2199/SB2130SG.pdf" TargetMode="External"/><Relationship Id="rId42" Type="http://schemas.openxmlformats.org/officeDocument/2006/relationships/hyperlink" Target="https://floir.gov/consumers/wind-mitigation-resources" TargetMode="External"/><Relationship Id="rId84" Type="http://schemas.openxmlformats.org/officeDocument/2006/relationships/hyperlink" Target="https://www.revisor.mn.gov/statutes/cite/65A.299" TargetMode="External"/><Relationship Id="rId138"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91" Type="http://schemas.openxmlformats.org/officeDocument/2006/relationships/hyperlink" Target="https://wgcep.org/UCERF3.html" TargetMode="External"/><Relationship Id="rId205" Type="http://schemas.openxmlformats.org/officeDocument/2006/relationships/hyperlink" Target="https://www.flsenate.gov/Laws/Statutes/2021/0161.551" TargetMode="External"/><Relationship Id="rId247" Type="http://schemas.openxmlformats.org/officeDocument/2006/relationships/hyperlink" Target="https://www.insurance.ca.gov/01-consumers/105-type/95-guides/Climate-Change-Portal.cfm" TargetMode="External"/><Relationship Id="rId107" Type="http://schemas.openxmlformats.org/officeDocument/2006/relationships/hyperlink" Target="https://www.mid.ms.gov/" TargetMode="External"/><Relationship Id="rId289" Type="http://schemas.openxmlformats.org/officeDocument/2006/relationships/footer" Target="footer1.xml"/><Relationship Id="rId11" Type="http://schemas.openxmlformats.org/officeDocument/2006/relationships/hyperlink" Target="https://www.iii.org/article/insurance-101" TargetMode="External"/><Relationship Id="rId53" Type="http://schemas.openxmlformats.org/officeDocument/2006/relationships/hyperlink" Target="https://acrobat.adobe.com/id/urn:aaid:sc:us:f8a83780-7c24-432d-b043-50d0dce8d098" TargetMode="External"/><Relationship Id="rId149" Type="http://schemas.openxmlformats.org/officeDocument/2006/relationships/hyperlink" Target="https://leginfo.legislature.ca.gov/faces/billNavClient.xhtml?bill_id=201920200SB190" TargetMode="External"/><Relationship Id="rId95" Type="http://schemas.openxmlformats.org/officeDocument/2006/relationships/hyperlink" Target="https://www.mid.ms.gov/wp-content/uploads/2023/04/Pressrel041723.pdf" TargetMode="External"/><Relationship Id="rId160" Type="http://schemas.openxmlformats.org/officeDocument/2006/relationships/hyperlink" Target="https://leginfo.legislature.ca.gov/faces/billNavClient.xhtml?bill_id=201720180SB30" TargetMode="External"/><Relationship Id="rId216" Type="http://schemas.openxmlformats.org/officeDocument/2006/relationships/hyperlink" Target="https://climate.state.mn.us/minnesotas-climate-action-framework" TargetMode="External"/><Relationship Id="rId258" Type="http://schemas.openxmlformats.org/officeDocument/2006/relationships/hyperlink" Target="https://www.insurance.ca.gov/01-consumers/180-climate-change/upload/CA-Sustainable-Insurance-Roadmap-2022.pdf" TargetMode="External"/><Relationship Id="rId22" Type="http://schemas.openxmlformats.org/officeDocument/2006/relationships/hyperlink" Target="https://aei.culverhouse.ua.edu/wp-content/uploads/sites/45/2018/12/AL_CIWG_final_report.pdf" TargetMode="External"/><Relationship Id="rId64" Type="http://schemas.openxmlformats.org/officeDocument/2006/relationships/hyperlink" Target="https://acrobat.adobe.com/id/urn:aaid:sc:US:15b427b8-57f9-4ad7-8120-%094f00b4b80e24" TargetMode="External"/><Relationship Id="rId118" Type="http://schemas.openxmlformats.org/officeDocument/2006/relationships/hyperlink" Target="https://www.oid.ok.gov/release_022019/" TargetMode="External"/><Relationship Id="rId171" Type="http://schemas.openxmlformats.org/officeDocument/2006/relationships/hyperlink" Target="https://content.naic.org/committees/ex/climate-resiliency-tf" TargetMode="External"/><Relationship Id="rId227" Type="http://schemas.openxmlformats.org/officeDocument/2006/relationships/hyperlink" Target="https://www.mvd.usace.army.mil/About/Mississippi-River-Commission-MRC/" TargetMode="External"/><Relationship Id="rId269" Type="http://schemas.openxmlformats.org/officeDocument/2006/relationships/hyperlink" Target="https://www.cawildfirefund.com/sb-254-natural-catastrophe-resilience-stud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fhcf.sbafla.com/media/kfuhfqjv/2024-sba-catf-annual-report-final.pdf" TargetMode="External"/><Relationship Id="rId21" Type="http://schemas.openxmlformats.org/officeDocument/2006/relationships/hyperlink" Target="https://www.floodsmart.gov/flood-zones-and-maps/what-is-my-flood-risk" TargetMode="External"/><Relationship Id="rId42" Type="http://schemas.openxmlformats.org/officeDocument/2006/relationships/hyperlink" Target="https://yieldpro.com/2025/12/construction-materials-prices-rise-despite-lumber-price-drop/" TargetMode="External"/><Relationship Id="rId63" Type="http://schemas.openxmlformats.org/officeDocument/2006/relationships/hyperlink" Target="https://floir.gov/docs-sf/default-source/property-and-casualty/assignmentbenefitsdatacallreport02082016.pdf" TargetMode="External"/><Relationship Id="rId84" Type="http://schemas.openxmlformats.org/officeDocument/2006/relationships/hyperlink" Target="https://content.naic.org/sites/default/files/climate-resiliency-resource-report-adaptable-emerging-climate-related-risk-resiliency_2021.pdf" TargetMode="External"/><Relationship Id="rId138" Type="http://schemas.openxmlformats.org/officeDocument/2006/relationships/hyperlink" Target="https://iee.psu.edu/news/blog/californias-wildfire-crisis-expert-insights-causes-spread-and-solutions" TargetMode="External"/><Relationship Id="rId107" Type="http://schemas.openxmlformats.org/officeDocument/2006/relationships/hyperlink" Target="https://www.insurance.ca.gov/0400-news/0100-press-releases/2025/release079-2025.cfm" TargetMode="External"/><Relationship Id="rId11" Type="http://schemas.openxmlformats.org/officeDocument/2006/relationships/hyperlink" Target="https://www.climate.gov/news-features/understanding-climate/climate-change-global-sea-level" TargetMode="External"/><Relationship Id="rId32" Type="http://schemas.openxmlformats.org/officeDocument/2006/relationships/hyperlink" Target="http://dx.doi.org/10.2139/ssrn.5120347" TargetMode="External"/><Relationship Id="rId53" Type="http://schemas.openxmlformats.org/officeDocument/2006/relationships/hyperlink" Target="https://doi.org/10.1061/AJRUA6.0000947" TargetMode="External"/><Relationship Id="rId74" Type="http://schemas.openxmlformats.org/officeDocument/2006/relationships/hyperlink" Target="https://content.naic.org/sites/default/files/publication-hmr-zu-homeowners-report.pdf" TargetMode="External"/><Relationship Id="rId128" Type="http://schemas.openxmlformats.org/officeDocument/2006/relationships/hyperlink" Target="https://www.safestrongal.com/" TargetMode="External"/><Relationship Id="rId149" Type="http://schemas.openxmlformats.org/officeDocument/2006/relationships/hyperlink" Target="https://doi.org/10.1029/2024EF005435"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content.naic.org/sites/default/files/national_meeting/Mtg%20Materials_Consumer_120221_0.pdf" TargetMode="External"/><Relationship Id="rId22" Type="http://schemas.openxmlformats.org/officeDocument/2006/relationships/hyperlink" Target="https://www.fema.gov/flood-insurance" TargetMode="External"/><Relationship Id="rId27" Type="http://schemas.openxmlformats.org/officeDocument/2006/relationships/hyperlink" Target="https://www.prnewswire.com/news-releases/lexisnexis-risk-solutions-releases-new-study-on-us-homeowner-insurance-preferences-and-behaviors-302260017.html" TargetMode="External"/><Relationship Id="rId43" Type="http://schemas.openxmlformats.org/officeDocument/2006/relationships/hyperlink" Target="https://www.nahb.org/advocacy/top-priorities/building-materials-trade-policy/how-tariffs-impact-home-building" TargetMode="External"/><Relationship Id="rId48" Type="http://schemas.openxmlformats.org/officeDocument/2006/relationships/hyperlink" Target="https://www.cushmanwakefield.com/en/united-states/insights/commodities-volatility" TargetMode="External"/><Relationship Id="rId64" Type="http://schemas.openxmlformats.org/officeDocument/2006/relationships/hyperlink" Target="https://floir.gov/docs-sf/default-source/property-and-casualty/assignmentbenefitsdatacallreport02082017.pdf" TargetMode="External"/><Relationship Id="rId69" Type="http://schemas.openxmlformats.org/officeDocument/2006/relationships/hyperlink" Target="https://www.hawaiibusiness.com/hawaii-condo-insurance-market-challenges-crisis/" TargetMode="External"/><Relationship Id="rId113" Type="http://schemas.openxmlformats.org/officeDocument/2006/relationships/hyperlink" Target="https://www.coloradofairplan.com/" TargetMode="External"/><Relationship Id="rId118" Type="http://schemas.openxmlformats.org/officeDocument/2006/relationships/hyperlink" Target="https://www.earthquakeauthority.com/about-cea/cea-history" TargetMode="External"/><Relationship Id="rId134" Type="http://schemas.openxmlformats.org/officeDocument/2006/relationships/hyperlink" Target="https://www.insurance.ca.gov/01-consumers/180-climate-change/catmodelgroup.cfm" TargetMode="External"/><Relationship Id="rId139" Type="http://schemas.openxmlformats.org/officeDocument/2006/relationships/hyperlink" Target="https://iee.psu.edu/news/blog/californias-wildfire-crisis-expert-insights-causes-spread-and-solutions" TargetMode="External"/><Relationship Id="rId80" Type="http://schemas.openxmlformats.org/officeDocument/2006/relationships/hyperlink" Target="https://content.naic.org/sites/default/files/2024-annual-property-casualty-and-title-insurance-industries-analysis-report.pdf" TargetMode="External"/><Relationship Id="rId85" Type="http://schemas.openxmlformats.org/officeDocument/2006/relationships/hyperlink" Target="https://content.naic.org/sites/default/files/2023-annual-property-and-casualty-insurance-industries-analysis-report.pdf" TargetMode="External"/><Relationship Id="rId150" Type="http://schemas.openxmlformats.org/officeDocument/2006/relationships/hyperlink" Target="https://www.fslso.com/hurricane-milton-insurance-village-information" TargetMode="External"/><Relationship Id="rId155" Type="http://schemas.openxmlformats.org/officeDocument/2006/relationships/hyperlink" Target="https://content.naic.org/sites/default/files/national_meeting/Life%20Workstream%20financial%20literacy%20course%20endorsement_Final.pdf" TargetMode="External"/><Relationship Id="rId12" Type="http://schemas.openxmlformats.org/officeDocument/2006/relationships/hyperlink" Target="https://consumerfed.org/media/legacy/post_30876/OverburdenedReport.pdf" TargetMode="External"/><Relationship Id="rId17" Type="http://schemas.openxmlformats.org/officeDocument/2006/relationships/hyperlink" Target="https://doi.org/10.1126/science.ade9223" TargetMode="External"/><Relationship Id="rId33" Type="http://schemas.openxmlformats.org/officeDocument/2006/relationships/hyperlink" Target="https://documents1.worldbank.org/curated/en/290301468159328458/pdf/528390PUB0safe101Official0Use0Only1.pdf" TargetMode="External"/><Relationship Id="rId38" Type="http://schemas.openxmlformats.org/officeDocument/2006/relationships/hyperlink" Target="https://www.richmondfed.org/region_communities/regional_data_analysis/regional_matters/2024/rm_08_15_24_labor_shortages_rural_urban" TargetMode="External"/><Relationship Id="rId59" Type="http://schemas.openxmlformats.org/officeDocument/2006/relationships/hyperlink" Target="https://www.insurancejournal.com/blogs/iat/2025/03/21/813836.htm" TargetMode="External"/><Relationship Id="rId103" Type="http://schemas.openxmlformats.org/officeDocument/2006/relationships/hyperlink" Target="https://doi.org/10.1038/s44168-025-00231-8" TargetMode="External"/><Relationship Id="rId108" Type="http://schemas.openxmlformats.org/officeDocument/2006/relationships/hyperlink" Target="https://trinitymedia.ai/player/share/8080a4be27dd6829bb68db14e49dc9bf9a1d" TargetMode="External"/><Relationship Id="rId124" Type="http://schemas.openxmlformats.org/officeDocument/2006/relationships/hyperlink" Target="https://www.forbes.com/sites/jamiegold/2025/06/03/wildfire-prepared-neighborhood-offers-resilience-insurance-benefits/" TargetMode="External"/><Relationship Id="rId129" Type="http://schemas.openxmlformats.org/officeDocument/2006/relationships/hyperlink" Target="https://portal.ct.gov/cid/ct-severe-weather-resiliency-council?language=en_US" TargetMode="External"/><Relationship Id="rId54" Type="http://schemas.openxmlformats.org/officeDocument/2006/relationships/hyperlink" Target="https://nibs.org/wp-content/uploads/2025/04/NIBS_MMC_MitigationSaves_2019.pdf" TargetMode="External"/><Relationship Id="rId70" Type="http://schemas.openxmlformats.org/officeDocument/2006/relationships/hyperlink" Target="https://hoaresources.caionline.org/hoas-report-big-challenges-with-rising-insurance-premiums/" TargetMode="External"/><Relationship Id="rId75" Type="http://schemas.openxmlformats.org/officeDocument/2006/relationships/hyperlink" Target="https://www.aon.com/en/insights/reports/climate-and-catastrophe-report?collection=afba4ec7-ef9e-48e1-a5b0-7a8f9d6abfce&amp;parentUrl=/en/insights/articles/2026-salary-increase-planning-tips" TargetMode="External"/><Relationship Id="rId91" Type="http://schemas.openxmlformats.org/officeDocument/2006/relationships/hyperlink" Target="https://content.naic.org/sites/default/files/industy-snapshot-2024-q3.pdf" TargetMode="External"/><Relationship Id="rId96" Type="http://schemas.openxmlformats.org/officeDocument/2006/relationships/hyperlink" Target="https://scholarlycommons.law.cwsl.edu/fs/440/" TargetMode="External"/><Relationship Id="rId140" Type="http://schemas.openxmlformats.org/officeDocument/2006/relationships/hyperlink" Target="https://doi.org/10.1038/s44304-025-00067-6" TargetMode="External"/><Relationship Id="rId145" Type="http://schemas.openxmlformats.org/officeDocument/2006/relationships/hyperlink" Target="https://www.rstreet.org/commentary/colorado-homeowners-insurance-on-the-right-path/"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doi.org/10.1038/s41598-025-95120-9" TargetMode="External"/><Relationship Id="rId28" Type="http://schemas.openxmlformats.org/officeDocument/2006/relationships/hyperlink" Target="https://ulw.guardianservice.com/home-insurance/2025-consumer-insights-report/" TargetMode="External"/><Relationship Id="rId49" Type="http://schemas.openxmlformats.org/officeDocument/2006/relationships/hyperlink" Target="https://doi.org/10.1108/JFMPC-07-2019-0063" TargetMode="External"/><Relationship Id="rId114" Type="http://schemas.openxmlformats.org/officeDocument/2006/relationships/hyperlink" Target="https://coloradosun.com/2025/07/14/colorado-fair-plan-applications-launch/" TargetMode="External"/><Relationship Id="rId119" Type="http://schemas.openxmlformats.org/officeDocument/2006/relationships/hyperlink" Target="https://www.house.mn.gov/hrd/pubs/ss/sscontfund.pdf" TargetMode="External"/><Relationship Id="rId44" Type="http://schemas.openxmlformats.org/officeDocument/2006/relationships/hyperlink" Target="https://economics.princeton.edu/wp-content/uploads/2022/06/cox_steel_20220601.pdf" TargetMode="External"/><Relationship Id="rId60" Type="http://schemas.openxmlformats.org/officeDocument/2006/relationships/hyperlink" Target="https://www.insurancebusinessmag.com/us/news/breaking-news/excessive-lawsuits-driving-up-insurance-premiums-for-us-policyholders-558342.aspx" TargetMode="External"/><Relationship Id="rId65" Type="http://schemas.openxmlformats.org/officeDocument/2006/relationships/hyperlink" Target="https://naic.soutronglobal.net/Portal/Public/en-us/RecordView/Index/26576" TargetMode="External"/><Relationship Id="rId81" Type="http://schemas.openxmlformats.org/officeDocument/2006/relationships/hyperlink" Target="https://content.naic.org/article/back-basics-residual-property-markets" TargetMode="External"/><Relationship Id="rId86" Type="http://schemas.openxmlformats.org/officeDocument/2006/relationships/hyperlink" Target="https://content.naic.org/sites/default/files/annual-report-2025.pdf" TargetMode="External"/><Relationship Id="rId130" Type="http://schemas.openxmlformats.org/officeDocument/2006/relationships/hyperlink" Target="https://portal.ct.gov/cid/-/media/cid/1_consumerresources/resiliency-advisory-council-commissioner-report-feb-2025.pdf" TargetMode="External"/><Relationship Id="rId135" Type="http://schemas.openxmlformats.org/officeDocument/2006/relationships/hyperlink" Target="https://content.naic.org/research/catastrophe-modeling-center-of-excellence" TargetMode="External"/><Relationship Id="rId151" Type="http://schemas.openxmlformats.org/officeDocument/2006/relationships/hyperlink" Target="https://www.nicb.org/news/regional-news/dfs-continues-hurricane-ian-insurance-villages-southwest-florida" TargetMode="External"/><Relationship Id="rId156" Type="http://schemas.openxmlformats.org/officeDocument/2006/relationships/hyperlink" Target="https://www.financialeducatorscouncil.org/wp-content/uploads/Educational-Methodologies-of-Personal-Finance.pdf" TargetMode="External"/><Relationship Id="rId13" Type="http://schemas.openxmlformats.org/officeDocument/2006/relationships/hyperlink" Target="https://www.bozemandailychronicle.com/news/tough-insurance-market-has-homeowners-scared-to-file-claims/article_d3bb3544-f3da-51e8-bf35-57a5f2851efb.html" TargetMode="External"/><Relationship Id="rId18" Type="http://schemas.openxmlformats.org/officeDocument/2006/relationships/hyperlink" Target="https://doi.org/10.1038/s44168-025-00231-8" TargetMode="External"/><Relationship Id="rId39" Type="http://schemas.openxmlformats.org/officeDocument/2006/relationships/hyperlink" Target="https://law.pepperdine.edu/surf-report/posts/effect-inflation-supply-chain-disruption-labor-shortages-real-estate-development-justin-wong.htm" TargetMode="External"/><Relationship Id="rId109" Type="http://schemas.openxmlformats.org/officeDocument/2006/relationships/hyperlink" Target="https://mgaleg.maryland.gov/mgawebsite/Legislation/Details/sb0095?ys=2026RS" TargetMode="External"/><Relationship Id="rId34" Type="http://schemas.openxmlformats.org/officeDocument/2006/relationships/hyperlink" Target="https://www.rsmeans.com/resources/how-does-location-affect-cost-of-construction-projects" TargetMode="External"/><Relationship Id="rId50" Type="http://schemas.openxmlformats.org/officeDocument/2006/relationships/hyperlink" Target="https://www.nahb.org/-/media/NAHB/advocacy/docs/top-priorities/codes/code-adoption/estimated-costs-of-2024-irc-changes.pdf" TargetMode="External"/><Relationship Id="rId55" Type="http://schemas.openxmlformats.org/officeDocument/2006/relationships/hyperlink" Target="https://ibhs1.wpenginepowered.com/wp-content/uploads/RTS_2024_v2.pdf" TargetMode="External"/><Relationship Id="rId76" Type="http://schemas.openxmlformats.org/officeDocument/2006/relationships/hyperlink" Target="https://storymaps.arcgis.com/stories/6b2050a0ded0498c863ce30d73460c9e" TargetMode="External"/><Relationship Id="rId97" Type="http://schemas.openxmlformats.org/officeDocument/2006/relationships/hyperlink" Target="https://www.preventionweb.net/publication/documents-and-publications/2025-climate-and-catastrophe-insight" TargetMode="External"/><Relationship Id="rId104" Type="http://schemas.openxmlformats.org/officeDocument/2006/relationships/hyperlink" Target="https://www.milliman.com/en/insight/how-tort-reforms-shaping-insurance-claims-florida-georgia" TargetMode="External"/><Relationship Id="rId120" Type="http://schemas.openxmlformats.org/officeDocument/2006/relationships/hyperlink" Target="https://www.lrl.mn.gov/docs/2025/mandated/250224.pdf" TargetMode="External"/><Relationship Id="rId125" Type="http://schemas.openxmlformats.org/officeDocument/2006/relationships/hyperlink" Target="https://www.forbes.com/sites/jamiegold/2025/06/03/wildfire-prepared-neighborhood-offers-resilience-insurance-benefits" TargetMode="External"/><Relationship Id="rId141" Type="http://schemas.openxmlformats.org/officeDocument/2006/relationships/hyperlink" Target="https://research.fs.usda.gov/nrs/articles/between-nature-and-neighborhoods-mapping-dynamics-wildland-urban-interface-and-growing" TargetMode="External"/><Relationship Id="rId146" Type="http://schemas.openxmlformats.org/officeDocument/2006/relationships/hyperlink" Target="https://www.conservation.ca.gov/cgs/earthquakes/loma-prieta"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www.reservestudy.com/resources/article/three-quarters-of-association-governed-communities-are-underfunded/" TargetMode="External"/><Relationship Id="rId92" Type="http://schemas.openxmlformats.org/officeDocument/2006/relationships/hyperlink" Target="https://content.naic.org/article/measuring-and-assessing-homeowner-insurance-affordability"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www.consumerfinance.gov/ask-cfpb/what-is-homeowners-insurance-why-is-homeowners-insurance-required-en-162/" TargetMode="External"/><Relationship Id="rId24" Type="http://schemas.openxmlformats.org/officeDocument/2006/relationships/hyperlink" Target="https://lailluminator.com/2025/12/04/trump-climate-insurance/" TargetMode="External"/><Relationship Id="rId40" Type="http://schemas.openxmlformats.org/officeDocument/2006/relationships/hyperlink" Target="https://www.nahb.org/blog/2024/07/how-soaring-prices-building-materials-impact-housing" TargetMode="External"/><Relationship Id="rId45" Type="http://schemas.openxmlformats.org/officeDocument/2006/relationships/hyperlink" Target="https://www.insurancethoughtleadership.com/personal-lines/tariffs-drive-homeowners-insurance-costs" TargetMode="External"/><Relationship Id="rId66" Type="http://schemas.openxmlformats.org/officeDocument/2006/relationships/hyperlink" Target="https://programbusiness.com/news/minnesota-hoa-communities-grapple-with-soaring-property-insurance-costs/" TargetMode="External"/><Relationship Id="rId87" Type="http://schemas.openxmlformats.org/officeDocument/2006/relationships/hyperlink" Target="https://content.naic.org/sites/default/files/2023-annual-property-and-casualty-insurance-industries-analysis-report.pdf" TargetMode="External"/><Relationship Id="rId110" Type="http://schemas.openxmlformats.org/officeDocument/2006/relationships/hyperlink" Target="https://mgaleg.maryland.gov/2026RS/fnotes/bil_0005/sb0095.pdf" TargetMode="External"/><Relationship Id="rId115" Type="http://schemas.openxmlformats.org/officeDocument/2006/relationships/hyperlink" Target="https://strengthenyourroof.com/Home/NCIUA" TargetMode="External"/><Relationship Id="rId131" Type="http://schemas.openxmlformats.org/officeDocument/2006/relationships/hyperlink" Target="https://fphlm.cs.fiu.edu/" TargetMode="External"/><Relationship Id="rId136" Type="http://schemas.openxmlformats.org/officeDocument/2006/relationships/hyperlink" Target="https://www.fema.gov/flood-maps/products-tools/national-risk-index" TargetMode="External"/><Relationship Id="rId61" Type="http://schemas.openxmlformats.org/officeDocument/2006/relationships/hyperlink" Target="https://www.milliman.com/en/insight/how-tort-reforms-shaping-insurance-claims-florida-georgia" TargetMode="External"/><Relationship Id="rId82" Type="http://schemas.openxmlformats.org/officeDocument/2006/relationships/hyperlink" Target="https://www.insurancejournal.com/news/midwest/2024/03/22/766186.htm" TargetMode="External"/><Relationship Id="rId152" Type="http://schemas.openxmlformats.org/officeDocument/2006/relationships/hyperlink" Target="https://cal-heat.org/" TargetMode="External"/><Relationship Id="rId19" Type="http://schemas.openxmlformats.org/officeDocument/2006/relationships/hyperlink" Target="https://doi.org/10.3386/w32625" TargetMode="External"/><Relationship Id="rId14" Type="http://schemas.openxmlformats.org/officeDocument/2006/relationships/hyperlink" Target="https://www.deloitte.com/us/en/insights/industry/financial-services/financial-services-industry-outlooks/insurance-industry-outlook.html" TargetMode="External"/><Relationship Id="rId30" Type="http://schemas.openxmlformats.org/officeDocument/2006/relationships/hyperlink" Target="https://content.naic.org/article/consumer-insight-understanding-your-homeowners-or-renters-policy" TargetMode="External"/><Relationship Id="rId35" Type="http://schemas.openxmlformats.org/officeDocument/2006/relationships/hyperlink" Target="https://doi.org/10.3390/su16104235" TargetMode="External"/><Relationship Id="rId56" Type="http://schemas.openxmlformats.org/officeDocument/2006/relationships/hyperlink" Target="https://files.hudexchange.info/resources/documents/Resilient-Building-Codes-Narrative.pdf" TargetMode="External"/><Relationship Id="rId77" Type="http://schemas.openxmlformats.org/officeDocument/2006/relationships/hyperlink" Target="https://content.naic.org/article/measuring-and-assessing-homeowner-insurance-affordability" TargetMode="External"/><Relationship Id="rId100" Type="http://schemas.openxmlformats.org/officeDocument/2006/relationships/hyperlink" Target="https://www.insurance.ca.gov/01-consumers/200-wrr/upload/CDI-Fact-Sheet-Summary-on-Residential-Insurance-Policies-and-the-FAIR-Plan-v-011325-2.pdf" TargetMode="External"/><Relationship Id="rId105" Type="http://schemas.openxmlformats.org/officeDocument/2006/relationships/hyperlink" Target="https://www.milliman.com/en/insight/how-tort-reforms-shaping-insurance-claims-florida-georgia" TargetMode="External"/><Relationship Id="rId126" Type="http://schemas.openxmlformats.org/officeDocument/2006/relationships/hyperlink" Target="https://www.smarthomeamerica.org/our-work/research-and-projects" TargetMode="External"/><Relationship Id="rId147" Type="http://schemas.openxmlformats.org/officeDocument/2006/relationships/hyperlink" Target="https://www.ssc.ca.gov/wp-content/uploads/sites/5/2020/08/cssc95-01e-ch3.pdf"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www.nahb.org/advocacy/top-priorities/building-codes/construction-codes-standards-research/estimated-costs-of-building-code-changes" TargetMode="External"/><Relationship Id="rId72" Type="http://schemas.openxmlformats.org/officeDocument/2006/relationships/hyperlink" Target="https://content.naic.org/sites/default/files/MSR-PB%202021.pdf" TargetMode="External"/><Relationship Id="rId93" Type="http://schemas.openxmlformats.org/officeDocument/2006/relationships/hyperlink" Target="https://uphelp.org/wp-content/uploads/2022/03/2020-CA-One-Year-Survey-Report.pdf" TargetMode="External"/><Relationship Id="rId98" Type="http://schemas.openxmlformats.org/officeDocument/2006/relationships/hyperlink" Target="https://uphelp.org/roof-insurance-acv-versus-replacement-cost/" TargetMode="External"/><Relationship Id="rId121" Type="http://schemas.openxmlformats.org/officeDocument/2006/relationships/hyperlink" Target="https://uphelp.org/buying-tips/" TargetMode="External"/><Relationship Id="rId142" Type="http://schemas.openxmlformats.org/officeDocument/2006/relationships/hyperlink" Target="https://papers.ssrn.com/sol3/papers.cfm?abstract_id=5057551" TargetMode="External"/><Relationship Id="rId3" Type="http://schemas.openxmlformats.org/officeDocument/2006/relationships/hyperlink" Target="https://www.nber.org/papers/w32579" TargetMode="External"/><Relationship Id="rId25" Type="http://schemas.openxmlformats.org/officeDocument/2006/relationships/hyperlink" Target="https://www.fema.gov/flood-maps/products-tools/hazus" TargetMode="External"/><Relationship Id="rId46" Type="http://schemas.openxmlformats.org/officeDocument/2006/relationships/hyperlink" Target="https://doi.org/10.1007/s10479-023-05782-9" TargetMode="External"/><Relationship Id="rId67"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116" Type="http://schemas.openxmlformats.org/officeDocument/2006/relationships/hyperlink" Target="https://www.artemis.bm/news/nciuas-recent-catastrophe-bond-included-integrated-disaster-resilience-feature/" TargetMode="External"/><Relationship Id="rId137" Type="http://schemas.openxmlformats.org/officeDocument/2006/relationships/hyperlink" Target="https://www.undrr.org/news/invisible-costs-wildfire-disasters-2025" TargetMode="External"/><Relationship Id="rId20" Type="http://schemas.openxmlformats.org/officeDocument/2006/relationships/hyperlink" Target="https://agents.floodsmart.gov/articles/brief-history-nfip" TargetMode="External"/><Relationship Id="rId41" Type="http://schemas.openxmlformats.org/officeDocument/2006/relationships/hyperlink" Target="https://www.nahb.org/blog/2024/07/how-soaring-prices-building-materials-impact-housing" TargetMode="External"/><Relationship Id="rId62" Type="http://schemas.openxmlformats.org/officeDocument/2006/relationships/hyperlink" Target="https://www.iii.org/sites/default/files/docs/pdf/aobfl_wp_031319.pdf" TargetMode="External"/><Relationship Id="rId83" Type="http://schemas.openxmlformats.org/officeDocument/2006/relationships/hyperlink" Target="https://content.naic.org/sites/default/files/annual-report-2024-advancing-insurance-regulation.pdf" TargetMode="External"/><Relationship Id="rId88" Type="http://schemas.openxmlformats.org/officeDocument/2006/relationships/hyperlink" Target="https://content.naic.org/sites/default/files/annual-report-2025.pdf" TargetMode="External"/><Relationship Id="rId111" Type="http://schemas.openxmlformats.org/officeDocument/2006/relationships/hyperlink" Target="https://content.naic.org/sites/default/files/inline-files/2025%20SpNM_CIPR_residual_property_markets%20to%20post.pdf" TargetMode="External"/><Relationship Id="rId132" Type="http://schemas.openxmlformats.org/officeDocument/2006/relationships/hyperlink" Target="https://fphlm.cs.fiu.edu/docs/FPHLM_05_02_2014.pdf" TargetMode="External"/><Relationship Id="rId153" Type="http://schemas.openxmlformats.org/officeDocument/2006/relationships/hyperlink" Target="https://papers.ssrn.com/sol3/papers.cfm?abstract_id=5120347" TargetMode="External"/><Relationship Id="rId15" Type="http://schemas.openxmlformats.org/officeDocument/2006/relationships/hyperlink" Target="https://www.redfin.com/news/homes-built-disaster-prone-areas/" TargetMode="External"/><Relationship Id="rId36" Type="http://schemas.openxmlformats.org/officeDocument/2006/relationships/hyperlink" Target="https://www.agc.org/news/2022/08/31/construction-workforce-shortages-risk-undermining-infrastructure-projects-most-contractors-struggle-0" TargetMode="External"/><Relationship Id="rId57" Type="http://schemas.openxmlformats.org/officeDocument/2006/relationships/hyperlink" Target="https://aldoi.gov/PDF/News/PerformanceIBHSFortifiedHomeConstructionHurricaneSally.pdf" TargetMode="External"/><Relationship Id="rId106" Type="http://schemas.openxmlformats.org/officeDocument/2006/relationships/hyperlink" Target="https://www.insurance.ca.gov/0400-news/0100-press-releases/2025/release034-2025.cfm" TargetMode="External"/><Relationship Id="rId127" Type="http://schemas.openxmlformats.org/officeDocument/2006/relationships/hyperlink" Target="https://governor.alabama.gov/newsroom/2023/05/governor-ivey-signs-executive-order-to-establish-the-alabama-resilience-council/" TargetMode="External"/><Relationship Id="rId10" Type="http://schemas.openxmlformats.org/officeDocument/2006/relationships/hyperlink" Target="https://www.climate.gov/news-features/blogs/beyond-data/2024-active-year-us-billion-dollar-weather-and-climate-disasters" TargetMode="External"/><Relationship Id="rId31" Type="http://schemas.openxmlformats.org/officeDocument/2006/relationships/hyperlink" Target="https://ssrn.com/abstract=5120347" TargetMode="External"/><Relationship Id="rId52" Type="http://schemas.openxmlformats.org/officeDocument/2006/relationships/hyperlink" Target="https://www.fema.gov/emergency-managers/risk-management/building-science/building-codes-save-study" TargetMode="External"/><Relationship Id="rId73" Type="http://schemas.openxmlformats.org/officeDocument/2006/relationships/hyperlink" Target="https://content.naic.org/sites/default/files/publication-msr-pb-property-casualty.pdf" TargetMode="External"/><Relationship Id="rId78" Type="http://schemas.openxmlformats.org/officeDocument/2006/relationships/hyperlink" Target="https://content.naic.org/article/back-basics-residual-property-markets" TargetMode="External"/><Relationship Id="rId94" Type="http://schemas.openxmlformats.org/officeDocument/2006/relationships/hyperlink" Target="https://www.rand.org/content/dam/rand/pubs/external_publications/EP60000/EP67670/RAND_EP67670.pdf" TargetMode="External"/><Relationship Id="rId99" Type="http://schemas.openxmlformats.org/officeDocument/2006/relationships/hyperlink" Target="https://content.naic.org/insurance-topics/fair-access-to-insurance-requirements-plans" TargetMode="External"/><Relationship Id="rId101" Type="http://schemas.openxmlformats.org/officeDocument/2006/relationships/hyperlink" Target="https://content.naic.org/sites/default/files/committee_related_documents/2022%2520SL%2520Industry%2520Report.pdf" TargetMode="External"/><Relationship Id="rId122" Type="http://schemas.openxmlformats.org/officeDocument/2006/relationships/hyperlink" Target="https://flash.org/wp-content/uploads/1/2024/03/2-20-24-Resilience-Playbook.pdf" TargetMode="External"/><Relationship Id="rId143" Type="http://schemas.openxmlformats.org/officeDocument/2006/relationships/hyperlink" Target="https://doi.colorado.gov/announcements/homeowners-insurance-availability-study-now-available-sb22-206" TargetMode="External"/><Relationship Id="rId148" Type="http://schemas.openxmlformats.org/officeDocument/2006/relationships/hyperlink" Target="https://www.fema.gov/emergency-managers/risk-management/earthquake/insurance"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financialresearch.gov/the-ofr-blog/2023/12/14/property-insurance-market/" TargetMode="External"/><Relationship Id="rId26" Type="http://schemas.openxmlformats.org/officeDocument/2006/relationships/hyperlink" Target="https://risk.lexisnexis.com/insights-resources/white-paper/home-consumer-research-study?trmid=INSHME24.MrktRsrch.HmeConsStd.WSLN-1318612" TargetMode="External"/><Relationship Id="rId47" Type="http://schemas.openxmlformats.org/officeDocument/2006/relationships/hyperlink" Target="https://www.cbre.com/insights/books/2022-us-construction-cost-trends/03-supply-chain-disruption" TargetMode="External"/><Relationship Id="rId68" Type="http://schemas.openxmlformats.org/officeDocument/2006/relationships/hyperlink" Target="https://www.summitdaily.com/news/summit-county-colorado-hoa-fees-increase-homeowner-insurance/" TargetMode="External"/><Relationship Id="rId89" Type="http://schemas.openxmlformats.org/officeDocument/2006/relationships/hyperlink" Target="https://content.naic.org/sites/default/files/2024-annual-property-casualty-and-title-insurance-industries-analysis-report.pdf" TargetMode="External"/><Relationship Id="rId112" Type="http://schemas.openxmlformats.org/officeDocument/2006/relationships/hyperlink" Target="https://climateandcommunity.org/research/insurers-of-last-resort" TargetMode="External"/><Relationship Id="rId133" Type="http://schemas.openxmlformats.org/officeDocument/2006/relationships/hyperlink" Target="https://leginfo.legislature.ca.gov/faces/billNavClient.xhtml?bill_id=202520260SB429" TargetMode="External"/><Relationship Id="rId154" Type="http://schemas.openxmlformats.org/officeDocument/2006/relationships/hyperlink" Target="https://www.councilforeconed.org/survey-of-the-states/" TargetMode="External"/><Relationship Id="rId16" Type="http://schemas.openxmlformats.org/officeDocument/2006/relationships/hyperlink" Target="https://www.theguardian.com/news/datablog/2025/feb/15/california-wildfire-building-risk" TargetMode="External"/><Relationship Id="rId37" Type="http://schemas.openxmlformats.org/officeDocument/2006/relationships/hyperlink" Target="https://hbi.org/wp-content/uploads/2025/05/HBI-Denver-Study.pdf" TargetMode="External"/><Relationship Id="rId58" Type="http://schemas.openxmlformats.org/officeDocument/2006/relationships/hyperlink" Target="https://www.isomitigation.com/newsletter/summer-2014/the-role-of-building-codes-in-reducing-natural-disaster-property-losses-hailstorms-in-missouri/" TargetMode="External"/><Relationship Id="rId79" Type="http://schemas.openxmlformats.org/officeDocument/2006/relationships/hyperlink" Target="https://content.naic.org/sites/default/files/2023-annual-property-and-casualty-insurance-industries-analysis-report.pdf" TargetMode="External"/><Relationship Id="rId102" Type="http://schemas.openxmlformats.org/officeDocument/2006/relationships/hyperlink" Target="https://cdola.colorado.gov/prop123" TargetMode="External"/><Relationship Id="rId123" Type="http://schemas.openxmlformats.org/officeDocument/2006/relationships/hyperlink" Target="https://www.postbulletin.com/news/local/new-minnesota-law-incentivizes-construction-that-stands-up-to-climate-change" TargetMode="External"/><Relationship Id="rId144" Type="http://schemas.openxmlformats.org/officeDocument/2006/relationships/hyperlink" Target="https://www.rstreet.org/issues/catastrophe-insurance/" TargetMode="External"/><Relationship Id="rId90" Type="http://schemas.openxmlformats.org/officeDocument/2006/relationships/hyperlink" Target="https://content.naic.org/sites/default/files/2023-annual-property-and-casualty-insurance-industries-analysis-repor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2026-06-30T19:05:24+00:00</_EndDate>
    <StartDate xmlns="http://schemas.microsoft.com/sharepoint/v3">2026-06-30T19:05:24+00:00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2.xml><?xml version="1.0" encoding="utf-8"?>
<ds:datastoreItem xmlns:ds="http://schemas.openxmlformats.org/officeDocument/2006/customXml" ds:itemID="{33E4B1D9-4F61-4F7C-8CC5-0CCEB958937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3C40FA92-0325-432C-9D1B-BDA495A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9FF4D-62A5-472E-B647-A82E4339E2EB}">
  <ds:schemaRefs>
    <ds:schemaRef ds:uri="http://schemas.microsoft.com/sharepoint/v3/contenttype/forms"/>
  </ds:schemaRefs>
</ds:datastoreItem>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Template>
  <TotalTime>3</TotalTime>
  <Pages>126</Pages>
  <Words>49327</Words>
  <Characters>300406</Characters>
  <Application>Microsoft Office Word</Application>
  <DocSecurity>0</DocSecurity>
  <Lines>5270</Lines>
  <Paragraphs>1987</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Executive Summary</vt:lpstr>
      <vt:lpstr>Part 1: Direct Consumer Impact, Macro Trends, and Factors Increasing Existing Ri</vt:lpstr>
      <vt:lpstr>    Section A: Overview</vt:lpstr>
      <vt:lpstr>    Section B: Macro-Factors and Emerging Risks Impacting Availability and Affordabi</vt:lpstr>
      <vt:lpstr>        How Insurance Market Regulatory Structure Shapes Insurance Solutions</vt:lpstr>
      <vt:lpstr>        Reinsurance</vt:lpstr>
      <vt:lpstr>        Natural Catastrophes and Their Impact on Affordability and Availability</vt:lpstr>
      <vt:lpstr>        Data Transparency and Its Impact on Availability and Affordability</vt:lpstr>
      <vt:lpstr>        Communication and Education Gaps</vt:lpstr>
      <vt:lpstr>        Influence of Adjacent Industries</vt:lpstr>
      <vt:lpstr>    Section C: Homeowners Insurance Availability and Affordability—Direct Consumer I</vt:lpstr>
      <vt:lpstr>        Increased Rate Trends, Therefore, Higher Policyholder Premiums</vt:lpstr>
      <vt:lpstr>        Policyholder Impact and Availability</vt:lpstr>
      <vt:lpstr>Part 2: Cross-Peril Strategies </vt:lpstr>
      <vt:lpstr>    Section A: Overview</vt:lpstr>
      <vt:lpstr>    Section B: Tort Reform</vt:lpstr>
      <vt:lpstr>    Section C: Parametric Insurance</vt:lpstr>
      <vt:lpstr>    Section D: Risk Mitigation and Incentives</vt:lpstr>
      <vt:lpstr>        Risk Transfer Programs</vt:lpstr>
      <vt:lpstr>        Incentives</vt:lpstr>
      <vt:lpstr>        The Future of Mitigation</vt:lpstr>
      <vt:lpstr>    Section E: Public and Private Sector Collaboration</vt:lpstr>
      <vt:lpstr>        State-Led Risk Pools</vt:lpstr>
      <vt:lpstr>        State Programs to Backstop Risk</vt:lpstr>
      <vt:lpstr>        Education Campaigns with Nonprofits and Local Partners</vt:lpstr>
      <vt:lpstr>        Collaboration with Emergency Management and State Agencies for Disaster Response</vt:lpstr>
    </vt:vector>
  </TitlesOfParts>
  <Company/>
  <LinksUpToDate>false</LinksUpToDate>
  <CharactersWithSpaces>347746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Counihan</dc:creator>
  <cp:lastModifiedBy>Beydler, Nancy</cp:lastModifiedBy>
  <cp:revision>2</cp:revision>
  <dcterms:created xsi:type="dcterms:W3CDTF">2026-07-27T21:01:00Z</dcterms:created>
  <dcterms:modified xsi:type="dcterms:W3CDTF">2026-07-27T21:01:00Z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df9e5af2-8cf0-4baa-9632-208718b370fe</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docLang">
    <vt:lpwstr>en</vt:lpwstr>
  </property>
  <property fmtid="{D5CDD505-2E9C-101B-9397-08002B2CF9AE}" pid="6" name="Order">
    <vt:lpwstr>300</vt:lpwstr>
  </property>
  <property fmtid="{D5CDD505-2E9C-101B-9397-08002B2CF9AE}" pid="7" name="xd_Signature">
    <vt:lpwstr>false</vt:lpwstr>
  </property>
  <property fmtid="{D5CDD505-2E9C-101B-9397-08002B2CF9AE}" pid="8" name="xd_ProgID">
    <vt:lpwstr>xd_ProgID</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