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2B47D" w14:textId="11B2CA7F" w:rsidR="00900220" w:rsidRDefault="006F7317" w:rsidP="00B07620">
      <w:pPr>
        <w:pStyle w:val="BodyText"/>
        <w:spacing w:before="39"/>
        <w:ind w:left="450" w:firstLine="0"/>
        <w:jc w:val="left"/>
      </w:pPr>
      <w:bookmarkStart w:id="0" w:name="017-AFTF"/>
      <w:bookmarkStart w:id="1" w:name="Draft:_10/30/24"/>
      <w:bookmarkEnd w:id="0"/>
      <w:bookmarkEnd w:id="1"/>
      <w:r>
        <w:t>Draft:</w:t>
      </w:r>
      <w:r>
        <w:rPr>
          <w:spacing w:val="-6"/>
        </w:rPr>
        <w:t xml:space="preserve"> </w:t>
      </w:r>
      <w:r>
        <w:rPr>
          <w:spacing w:val="-2"/>
        </w:rPr>
        <w:t>10/</w:t>
      </w:r>
      <w:r w:rsidR="00B07620">
        <w:rPr>
          <w:spacing w:val="-2"/>
        </w:rPr>
        <w:t>15</w:t>
      </w:r>
      <w:r>
        <w:rPr>
          <w:spacing w:val="-2"/>
        </w:rPr>
        <w:t>/2</w:t>
      </w:r>
      <w:r w:rsidR="00B07620">
        <w:rPr>
          <w:spacing w:val="-2"/>
        </w:rPr>
        <w:t>6</w:t>
      </w:r>
    </w:p>
    <w:p w14:paraId="4BCEDFD6" w14:textId="77777777" w:rsidR="00256476" w:rsidRPr="00CC7F05" w:rsidRDefault="00256476" w:rsidP="00256476">
      <w:pPr>
        <w:ind w:left="450"/>
        <w:contextualSpacing/>
        <w:rPr>
          <w:rFonts w:asciiTheme="minorHAnsi" w:eastAsiaTheme="minorHAnsi" w:hAnsiTheme="minorHAnsi" w:cstheme="minorBidi"/>
          <w:i/>
          <w:iCs/>
          <w:kern w:val="2"/>
          <w14:ligatures w14:val="standardContextual"/>
        </w:rPr>
      </w:pPr>
      <w:r w:rsidRPr="00CC7F05">
        <w:rPr>
          <w:rFonts w:asciiTheme="minorHAnsi" w:eastAsiaTheme="minorHAnsi" w:hAnsiTheme="minorHAnsi" w:cstheme="minorBidi"/>
          <w:i/>
          <w:iCs/>
          <w:kern w:val="2"/>
          <w14:ligatures w14:val="standardContextual"/>
        </w:rPr>
        <w:t xml:space="preserve">Adopted by the Executive (EX) Committee and Plenary, </w:t>
      </w:r>
      <w:r>
        <w:rPr>
          <w:rFonts w:asciiTheme="minorHAnsi" w:eastAsiaTheme="minorHAnsi" w:hAnsiTheme="minorHAnsi" w:cstheme="minorBidi"/>
          <w:i/>
          <w:iCs/>
          <w:kern w:val="2"/>
          <w14:ligatures w14:val="standardContextual"/>
        </w:rPr>
        <w:t>XX, 2026</w:t>
      </w:r>
    </w:p>
    <w:p w14:paraId="5A6DF493" w14:textId="77777777" w:rsidR="00256476" w:rsidRPr="007934CF" w:rsidRDefault="00256476" w:rsidP="0038019E">
      <w:pPr>
        <w:ind w:left="450"/>
        <w:outlineLvl w:val="4"/>
        <w:rPr>
          <w:i/>
          <w:iCs/>
          <w:color w:val="000000" w:themeColor="text1"/>
        </w:rPr>
      </w:pPr>
      <w:r w:rsidRPr="007934CF">
        <w:rPr>
          <w:i/>
          <w:iCs/>
          <w:color w:val="000000" w:themeColor="text1"/>
        </w:rPr>
        <w:t>Adopted by the Market Regulation and Consumer Affairs (D) Committee,</w:t>
      </w:r>
      <w:r>
        <w:rPr>
          <w:i/>
          <w:iCs/>
          <w:color w:val="000000" w:themeColor="text1"/>
        </w:rPr>
        <w:t xml:space="preserve"> XX, 2026</w:t>
      </w:r>
    </w:p>
    <w:p w14:paraId="474C9174" w14:textId="38E6FBAE" w:rsidR="00256476" w:rsidRPr="007934CF" w:rsidRDefault="00256476" w:rsidP="00886A3F">
      <w:pPr>
        <w:ind w:left="450"/>
        <w:outlineLvl w:val="4"/>
        <w:rPr>
          <w:i/>
          <w:iCs/>
          <w:color w:val="000000" w:themeColor="text1"/>
        </w:rPr>
      </w:pPr>
      <w:r w:rsidRPr="007934CF">
        <w:rPr>
          <w:i/>
          <w:iCs/>
          <w:color w:val="000000" w:themeColor="text1"/>
        </w:rPr>
        <w:t xml:space="preserve">Adopted by the </w:t>
      </w:r>
      <w:r w:rsidR="00071729">
        <w:rPr>
          <w:i/>
          <w:iCs/>
          <w:color w:val="000000" w:themeColor="text1"/>
        </w:rPr>
        <w:t>Antifraud (D) Task Force</w:t>
      </w:r>
      <w:r w:rsidRPr="007934CF">
        <w:rPr>
          <w:i/>
          <w:iCs/>
          <w:color w:val="000000" w:themeColor="text1"/>
        </w:rPr>
        <w:t xml:space="preserve">, </w:t>
      </w:r>
      <w:r w:rsidR="00071729">
        <w:rPr>
          <w:i/>
          <w:iCs/>
          <w:color w:val="000000" w:themeColor="text1"/>
        </w:rPr>
        <w:t>Oct</w:t>
      </w:r>
      <w:r>
        <w:rPr>
          <w:i/>
          <w:iCs/>
          <w:color w:val="000000" w:themeColor="text1"/>
        </w:rPr>
        <w:t>. XX, 2026</w:t>
      </w:r>
    </w:p>
    <w:p w14:paraId="00E2B480" w14:textId="25D6B951" w:rsidR="00900220" w:rsidRDefault="006F7317" w:rsidP="006F7317">
      <w:pPr>
        <w:pStyle w:val="Heading1"/>
        <w:spacing w:line="480" w:lineRule="auto"/>
        <w:ind w:left="4050" w:right="4143" w:firstLine="180"/>
      </w:pPr>
      <w:bookmarkStart w:id="2" w:name="Adopted_by_the_Market_Regulation_and_Con"/>
      <w:bookmarkStart w:id="3" w:name="Adopted_by_the_Antifraud_(D)_Task_Force,"/>
      <w:bookmarkEnd w:id="2"/>
      <w:bookmarkEnd w:id="3"/>
      <w:r w:rsidRPr="00795E26">
        <w:t>202</w:t>
      </w:r>
      <w:r w:rsidR="00A30403" w:rsidRPr="00795E26">
        <w:t>7</w:t>
      </w:r>
      <w:r w:rsidRPr="00157273">
        <w:rPr>
          <w:color w:val="0000FF"/>
        </w:rPr>
        <w:t xml:space="preserve"> </w:t>
      </w:r>
      <w:r>
        <w:t xml:space="preserve">Proposed Charges </w:t>
      </w:r>
      <w:bookmarkStart w:id="4" w:name="ANTIFRAUD_(D)_TASK_FORCE"/>
      <w:bookmarkEnd w:id="4"/>
      <w:r>
        <w:rPr>
          <w:spacing w:val="-2"/>
        </w:rPr>
        <w:t>ANTIFRAUD</w:t>
      </w:r>
      <w:r>
        <w:rPr>
          <w:spacing w:val="-17"/>
        </w:rPr>
        <w:t xml:space="preserve"> </w:t>
      </w:r>
      <w:r>
        <w:rPr>
          <w:spacing w:val="-2"/>
        </w:rPr>
        <w:t>(D)</w:t>
      </w:r>
      <w:r>
        <w:rPr>
          <w:spacing w:val="-14"/>
        </w:rPr>
        <w:t xml:space="preserve"> </w:t>
      </w:r>
      <w:r>
        <w:rPr>
          <w:spacing w:val="-2"/>
        </w:rPr>
        <w:t>TASK</w:t>
      </w:r>
      <w:r>
        <w:rPr>
          <w:spacing w:val="-15"/>
        </w:rPr>
        <w:t xml:space="preserve"> </w:t>
      </w:r>
      <w:r>
        <w:rPr>
          <w:spacing w:val="-2"/>
        </w:rPr>
        <w:t>FORCE</w:t>
      </w:r>
    </w:p>
    <w:p w14:paraId="00E2B481" w14:textId="77777777" w:rsidR="00900220" w:rsidRDefault="006F7317">
      <w:pPr>
        <w:pStyle w:val="BodyText"/>
        <w:spacing w:before="1"/>
        <w:ind w:left="359" w:right="353" w:firstLine="0"/>
      </w:pPr>
      <w:r>
        <w:rPr>
          <w:spacing w:val="-2"/>
        </w:rPr>
        <w:t>The</w:t>
      </w:r>
      <w:r>
        <w:rPr>
          <w:spacing w:val="-11"/>
        </w:rPr>
        <w:t xml:space="preserve"> </w:t>
      </w:r>
      <w:r>
        <w:rPr>
          <w:spacing w:val="-2"/>
        </w:rPr>
        <w:t>mission</w:t>
      </w:r>
      <w:r>
        <w:rPr>
          <w:spacing w:val="-10"/>
        </w:rPr>
        <w:t xml:space="preserve"> </w:t>
      </w:r>
      <w:r>
        <w:rPr>
          <w:spacing w:val="-2"/>
        </w:rPr>
        <w:t>of</w:t>
      </w:r>
      <w:r>
        <w:rPr>
          <w:spacing w:val="-11"/>
        </w:rPr>
        <w:t xml:space="preserve"> </w:t>
      </w:r>
      <w:r>
        <w:rPr>
          <w:spacing w:val="-2"/>
        </w:rPr>
        <w:t>the</w:t>
      </w:r>
      <w:r>
        <w:rPr>
          <w:spacing w:val="-10"/>
        </w:rPr>
        <w:t xml:space="preserve"> </w:t>
      </w:r>
      <w:r>
        <w:rPr>
          <w:spacing w:val="-2"/>
        </w:rPr>
        <w:t>Antifraud</w:t>
      </w:r>
      <w:r>
        <w:rPr>
          <w:spacing w:val="-11"/>
        </w:rPr>
        <w:t xml:space="preserve"> </w:t>
      </w:r>
      <w:r>
        <w:rPr>
          <w:spacing w:val="-2"/>
        </w:rPr>
        <w:t>(D)</w:t>
      </w:r>
      <w:r>
        <w:rPr>
          <w:spacing w:val="-10"/>
        </w:rPr>
        <w:t xml:space="preserve"> </w:t>
      </w:r>
      <w:r>
        <w:rPr>
          <w:spacing w:val="-2"/>
        </w:rPr>
        <w:t>Task</w:t>
      </w:r>
      <w:r>
        <w:rPr>
          <w:spacing w:val="-10"/>
        </w:rPr>
        <w:t xml:space="preserve"> </w:t>
      </w:r>
      <w:r>
        <w:rPr>
          <w:spacing w:val="-2"/>
        </w:rPr>
        <w:t>Force</w:t>
      </w:r>
      <w:r>
        <w:rPr>
          <w:spacing w:val="-10"/>
        </w:rPr>
        <w:t xml:space="preserve"> </w:t>
      </w:r>
      <w:r>
        <w:rPr>
          <w:spacing w:val="-2"/>
        </w:rPr>
        <w:t>is</w:t>
      </w:r>
      <w:r>
        <w:rPr>
          <w:spacing w:val="-9"/>
        </w:rPr>
        <w:t xml:space="preserve"> </w:t>
      </w:r>
      <w:r>
        <w:rPr>
          <w:spacing w:val="-2"/>
        </w:rPr>
        <w:t>to</w:t>
      </w:r>
      <w:r>
        <w:rPr>
          <w:spacing w:val="-6"/>
        </w:rPr>
        <w:t xml:space="preserve"> </w:t>
      </w:r>
      <w:r>
        <w:rPr>
          <w:spacing w:val="-2"/>
        </w:rPr>
        <w:t>serve</w:t>
      </w:r>
      <w:r>
        <w:rPr>
          <w:spacing w:val="-11"/>
        </w:rPr>
        <w:t xml:space="preserve"> </w:t>
      </w:r>
      <w:r>
        <w:rPr>
          <w:spacing w:val="-2"/>
        </w:rPr>
        <w:t>the</w:t>
      </w:r>
      <w:r>
        <w:rPr>
          <w:spacing w:val="-9"/>
        </w:rPr>
        <w:t xml:space="preserve"> </w:t>
      </w:r>
      <w:r>
        <w:rPr>
          <w:spacing w:val="-2"/>
        </w:rPr>
        <w:t>public</w:t>
      </w:r>
      <w:r>
        <w:rPr>
          <w:spacing w:val="-9"/>
        </w:rPr>
        <w:t xml:space="preserve"> </w:t>
      </w:r>
      <w:r>
        <w:rPr>
          <w:spacing w:val="-2"/>
        </w:rPr>
        <w:t>interest</w:t>
      </w:r>
      <w:r>
        <w:rPr>
          <w:spacing w:val="-4"/>
        </w:rPr>
        <w:t xml:space="preserve"> </w:t>
      </w:r>
      <w:r>
        <w:rPr>
          <w:spacing w:val="-2"/>
        </w:rPr>
        <w:t>by</w:t>
      </w:r>
      <w:r>
        <w:rPr>
          <w:spacing w:val="-11"/>
        </w:rPr>
        <w:t xml:space="preserve"> </w:t>
      </w:r>
      <w:r>
        <w:rPr>
          <w:spacing w:val="-2"/>
        </w:rPr>
        <w:t>assisting</w:t>
      </w:r>
      <w:r>
        <w:rPr>
          <w:spacing w:val="-5"/>
        </w:rPr>
        <w:t xml:space="preserve"> </w:t>
      </w:r>
      <w:r>
        <w:rPr>
          <w:spacing w:val="-2"/>
        </w:rPr>
        <w:t>the</w:t>
      </w:r>
      <w:r>
        <w:rPr>
          <w:spacing w:val="-11"/>
        </w:rPr>
        <w:t xml:space="preserve"> </w:t>
      </w:r>
      <w:r>
        <w:rPr>
          <w:spacing w:val="-2"/>
        </w:rPr>
        <w:t>state insurance</w:t>
      </w:r>
      <w:r>
        <w:rPr>
          <w:spacing w:val="-5"/>
        </w:rPr>
        <w:t xml:space="preserve"> </w:t>
      </w:r>
      <w:r>
        <w:rPr>
          <w:spacing w:val="-2"/>
        </w:rPr>
        <w:t xml:space="preserve">supervisory </w:t>
      </w:r>
      <w:r>
        <w:t>officials, individually and collectively, through the detection, monitoring, and appropriate referral for the investigation of insurance crime, both by and against consumers. The Task Force will assist the insurance regulatory community by conducting the following activities: 1) maintaining and improving electronic databases regarding fraudulent</w:t>
      </w:r>
      <w:r>
        <w:rPr>
          <w:spacing w:val="-1"/>
        </w:rPr>
        <w:t xml:space="preserve"> </w:t>
      </w:r>
      <w:r>
        <w:t>insurance activities;</w:t>
      </w:r>
      <w:r>
        <w:rPr>
          <w:spacing w:val="-3"/>
        </w:rPr>
        <w:t xml:space="preserve"> </w:t>
      </w:r>
      <w:r>
        <w:t>2)</w:t>
      </w:r>
      <w:r>
        <w:rPr>
          <w:spacing w:val="-2"/>
        </w:rPr>
        <w:t xml:space="preserve"> </w:t>
      </w:r>
      <w:r>
        <w:t>disseminating the results</w:t>
      </w:r>
      <w:r>
        <w:rPr>
          <w:spacing w:val="-4"/>
        </w:rPr>
        <w:t xml:space="preserve"> </w:t>
      </w:r>
      <w:r>
        <w:t>of</w:t>
      </w:r>
      <w:r>
        <w:rPr>
          <w:spacing w:val="-2"/>
        </w:rPr>
        <w:t xml:space="preserve"> </w:t>
      </w:r>
      <w:r>
        <w:t>research</w:t>
      </w:r>
      <w:r>
        <w:rPr>
          <w:spacing w:val="-5"/>
        </w:rPr>
        <w:t xml:space="preserve"> </w:t>
      </w:r>
      <w:r>
        <w:t>and analysis</w:t>
      </w:r>
      <w:r>
        <w:rPr>
          <w:spacing w:val="-2"/>
        </w:rPr>
        <w:t xml:space="preserve"> </w:t>
      </w:r>
      <w:r>
        <w:t>of insurance fraud trends,</w:t>
      </w:r>
      <w:r>
        <w:rPr>
          <w:spacing w:val="-12"/>
        </w:rPr>
        <w:t xml:space="preserve"> </w:t>
      </w:r>
      <w:r>
        <w:t>as</w:t>
      </w:r>
      <w:r>
        <w:rPr>
          <w:spacing w:val="-10"/>
        </w:rPr>
        <w:t xml:space="preserve"> </w:t>
      </w:r>
      <w:r>
        <w:t>well</w:t>
      </w:r>
      <w:r>
        <w:rPr>
          <w:spacing w:val="-9"/>
        </w:rPr>
        <w:t xml:space="preserve"> </w:t>
      </w:r>
      <w:r>
        <w:t>as</w:t>
      </w:r>
      <w:r>
        <w:rPr>
          <w:spacing w:val="-13"/>
        </w:rPr>
        <w:t xml:space="preserve"> </w:t>
      </w:r>
      <w:r>
        <w:t>case-specific</w:t>
      </w:r>
      <w:r>
        <w:rPr>
          <w:spacing w:val="-10"/>
        </w:rPr>
        <w:t xml:space="preserve"> </w:t>
      </w:r>
      <w:r>
        <w:t>analysis,</w:t>
      </w:r>
      <w:r>
        <w:rPr>
          <w:spacing w:val="-9"/>
        </w:rPr>
        <w:t xml:space="preserve"> </w:t>
      </w:r>
      <w:r>
        <w:t>to</w:t>
      </w:r>
      <w:r>
        <w:rPr>
          <w:spacing w:val="-8"/>
        </w:rPr>
        <w:t xml:space="preserve"> </w:t>
      </w:r>
      <w:r>
        <w:t>the</w:t>
      </w:r>
      <w:r>
        <w:rPr>
          <w:spacing w:val="-6"/>
        </w:rPr>
        <w:t xml:space="preserve"> </w:t>
      </w:r>
      <w:r>
        <w:t>insurance</w:t>
      </w:r>
      <w:r>
        <w:rPr>
          <w:spacing w:val="-11"/>
        </w:rPr>
        <w:t xml:space="preserve"> </w:t>
      </w:r>
      <w:r>
        <w:t>regulatory</w:t>
      </w:r>
      <w:r>
        <w:rPr>
          <w:spacing w:val="-6"/>
        </w:rPr>
        <w:t xml:space="preserve"> </w:t>
      </w:r>
      <w:r>
        <w:t>community;</w:t>
      </w:r>
      <w:r>
        <w:rPr>
          <w:spacing w:val="-8"/>
        </w:rPr>
        <w:t xml:space="preserve"> </w:t>
      </w:r>
      <w:r>
        <w:t>and</w:t>
      </w:r>
      <w:r>
        <w:rPr>
          <w:spacing w:val="-12"/>
        </w:rPr>
        <w:t xml:space="preserve"> </w:t>
      </w:r>
      <w:r>
        <w:t>3)</w:t>
      </w:r>
      <w:r>
        <w:rPr>
          <w:spacing w:val="-11"/>
        </w:rPr>
        <w:t xml:space="preserve"> </w:t>
      </w:r>
      <w:r>
        <w:t>providing</w:t>
      </w:r>
      <w:r>
        <w:rPr>
          <w:spacing w:val="-10"/>
        </w:rPr>
        <w:t xml:space="preserve"> </w:t>
      </w:r>
      <w:r>
        <w:t>a</w:t>
      </w:r>
      <w:r>
        <w:rPr>
          <w:spacing w:val="-12"/>
        </w:rPr>
        <w:t xml:space="preserve"> </w:t>
      </w:r>
      <w:r>
        <w:t>liaison</w:t>
      </w:r>
      <w:r>
        <w:rPr>
          <w:spacing w:val="-13"/>
        </w:rPr>
        <w:t xml:space="preserve"> </w:t>
      </w:r>
      <w:r>
        <w:t>function between state insurance regulators, law enforcement—i.e., federal, state, local, and international—and other specific antifraud organizations. The Task Force will also serve as a liaison with the NAIC Information Technology Group</w:t>
      </w:r>
      <w:r>
        <w:rPr>
          <w:spacing w:val="-13"/>
        </w:rPr>
        <w:t xml:space="preserve"> </w:t>
      </w:r>
      <w:r>
        <w:t>(ITG)</w:t>
      </w:r>
      <w:r>
        <w:rPr>
          <w:spacing w:val="-12"/>
        </w:rPr>
        <w:t xml:space="preserve"> </w:t>
      </w:r>
      <w:r>
        <w:t>and</w:t>
      </w:r>
      <w:r>
        <w:rPr>
          <w:spacing w:val="-13"/>
        </w:rPr>
        <w:t xml:space="preserve"> </w:t>
      </w:r>
      <w:r>
        <w:t>other</w:t>
      </w:r>
      <w:r>
        <w:rPr>
          <w:spacing w:val="-11"/>
        </w:rPr>
        <w:t xml:space="preserve"> </w:t>
      </w:r>
      <w:r>
        <w:t>NAIC</w:t>
      </w:r>
      <w:r>
        <w:rPr>
          <w:spacing w:val="-13"/>
        </w:rPr>
        <w:t xml:space="preserve"> </w:t>
      </w:r>
      <w:r>
        <w:t>committees,</w:t>
      </w:r>
      <w:r>
        <w:rPr>
          <w:spacing w:val="-10"/>
        </w:rPr>
        <w:t xml:space="preserve"> </w:t>
      </w:r>
      <w:r>
        <w:t>task</w:t>
      </w:r>
      <w:r>
        <w:rPr>
          <w:spacing w:val="-11"/>
        </w:rPr>
        <w:t xml:space="preserve"> </w:t>
      </w:r>
      <w:r>
        <w:t>forces,</w:t>
      </w:r>
      <w:r>
        <w:rPr>
          <w:spacing w:val="-9"/>
        </w:rPr>
        <w:t xml:space="preserve"> </w:t>
      </w:r>
      <w:r>
        <w:t>and/or</w:t>
      </w:r>
      <w:r>
        <w:rPr>
          <w:spacing w:val="-13"/>
        </w:rPr>
        <w:t xml:space="preserve"> </w:t>
      </w:r>
      <w:r>
        <w:t>working</w:t>
      </w:r>
      <w:r>
        <w:rPr>
          <w:spacing w:val="-12"/>
        </w:rPr>
        <w:t xml:space="preserve"> </w:t>
      </w:r>
      <w:r>
        <w:t>groups</w:t>
      </w:r>
      <w:r>
        <w:rPr>
          <w:spacing w:val="-13"/>
        </w:rPr>
        <w:t xml:space="preserve"> </w:t>
      </w:r>
      <w:r>
        <w:t>to</w:t>
      </w:r>
      <w:r>
        <w:rPr>
          <w:spacing w:val="-9"/>
        </w:rPr>
        <w:t xml:space="preserve"> </w:t>
      </w:r>
      <w:r>
        <w:t>develop</w:t>
      </w:r>
      <w:r>
        <w:rPr>
          <w:spacing w:val="-10"/>
        </w:rPr>
        <w:t xml:space="preserve"> </w:t>
      </w:r>
      <w:r>
        <w:t>technological</w:t>
      </w:r>
      <w:r>
        <w:rPr>
          <w:spacing w:val="-11"/>
        </w:rPr>
        <w:t xml:space="preserve"> </w:t>
      </w:r>
      <w:r>
        <w:t>solutions</w:t>
      </w:r>
      <w:r>
        <w:rPr>
          <w:spacing w:val="-11"/>
        </w:rPr>
        <w:t xml:space="preserve"> </w:t>
      </w:r>
      <w:r>
        <w:t>for data collection and information sharing. The Task Force will monitor all aspects of antifraud activities by its working groups on the following charges.</w:t>
      </w:r>
    </w:p>
    <w:p w14:paraId="00E2B482" w14:textId="77777777" w:rsidR="00900220" w:rsidRDefault="006F7317">
      <w:pPr>
        <w:pStyle w:val="Heading1"/>
        <w:spacing w:before="268"/>
        <w:ind w:left="361" w:firstLine="0"/>
      </w:pPr>
      <w:bookmarkStart w:id="5" w:name="Ongoing_Support_of_NAIC_Programs,_Produc"/>
      <w:bookmarkEnd w:id="5"/>
      <w:r>
        <w:rPr>
          <w:spacing w:val="-2"/>
        </w:rPr>
        <w:t>Ongoing</w:t>
      </w:r>
      <w:r>
        <w:rPr>
          <w:spacing w:val="-7"/>
        </w:rPr>
        <w:t xml:space="preserve"> </w:t>
      </w:r>
      <w:r>
        <w:rPr>
          <w:spacing w:val="-2"/>
        </w:rPr>
        <w:t>Support</w:t>
      </w:r>
      <w:r>
        <w:rPr>
          <w:spacing w:val="-5"/>
        </w:rPr>
        <w:t xml:space="preserve"> </w:t>
      </w:r>
      <w:r>
        <w:rPr>
          <w:spacing w:val="-2"/>
        </w:rPr>
        <w:t>of</w:t>
      </w:r>
      <w:r>
        <w:rPr>
          <w:spacing w:val="-7"/>
        </w:rPr>
        <w:t xml:space="preserve"> </w:t>
      </w:r>
      <w:r>
        <w:rPr>
          <w:spacing w:val="-2"/>
        </w:rPr>
        <w:t>NAIC</w:t>
      </w:r>
      <w:r>
        <w:rPr>
          <w:spacing w:val="-7"/>
        </w:rPr>
        <w:t xml:space="preserve"> </w:t>
      </w:r>
      <w:r>
        <w:rPr>
          <w:spacing w:val="-2"/>
        </w:rPr>
        <w:t>Programs, Products,</w:t>
      </w:r>
      <w:r>
        <w:rPr>
          <w:spacing w:val="-4"/>
        </w:rPr>
        <w:t xml:space="preserve"> </w:t>
      </w:r>
      <w:r>
        <w:rPr>
          <w:spacing w:val="-2"/>
        </w:rPr>
        <w:t>or</w:t>
      </w:r>
      <w:r>
        <w:rPr>
          <w:spacing w:val="-3"/>
        </w:rPr>
        <w:t xml:space="preserve"> </w:t>
      </w:r>
      <w:r>
        <w:rPr>
          <w:spacing w:val="-2"/>
        </w:rPr>
        <w:t>Services</w:t>
      </w:r>
    </w:p>
    <w:p w14:paraId="00E2B483" w14:textId="77777777" w:rsidR="00900220" w:rsidRDefault="00900220">
      <w:pPr>
        <w:pStyle w:val="BodyText"/>
        <w:ind w:left="0" w:firstLine="0"/>
        <w:jc w:val="left"/>
        <w:rPr>
          <w:b/>
        </w:rPr>
      </w:pPr>
    </w:p>
    <w:p w14:paraId="00E2B484" w14:textId="77777777" w:rsidR="00900220" w:rsidRDefault="006F7317">
      <w:pPr>
        <w:pStyle w:val="ListParagraph"/>
        <w:numPr>
          <w:ilvl w:val="0"/>
          <w:numId w:val="1"/>
        </w:numPr>
        <w:tabs>
          <w:tab w:val="left" w:pos="719"/>
        </w:tabs>
        <w:spacing w:line="268" w:lineRule="exact"/>
        <w:ind w:left="719" w:hanging="358"/>
        <w:jc w:val="both"/>
      </w:pPr>
      <w:r>
        <w:rPr>
          <w:spacing w:val="-2"/>
        </w:rPr>
        <w:t>The</w:t>
      </w:r>
      <w:r>
        <w:rPr>
          <w:spacing w:val="-8"/>
        </w:rPr>
        <w:t xml:space="preserve"> </w:t>
      </w:r>
      <w:r>
        <w:rPr>
          <w:b/>
          <w:spacing w:val="-2"/>
        </w:rPr>
        <w:t>Antifraud</w:t>
      </w:r>
      <w:r>
        <w:rPr>
          <w:b/>
          <w:spacing w:val="-6"/>
        </w:rPr>
        <w:t xml:space="preserve"> </w:t>
      </w:r>
      <w:r>
        <w:rPr>
          <w:b/>
          <w:spacing w:val="-2"/>
        </w:rPr>
        <w:t>(D)</w:t>
      </w:r>
      <w:r>
        <w:rPr>
          <w:b/>
          <w:spacing w:val="-9"/>
        </w:rPr>
        <w:t xml:space="preserve"> </w:t>
      </w:r>
      <w:r>
        <w:rPr>
          <w:b/>
          <w:spacing w:val="-2"/>
        </w:rPr>
        <w:t>Task</w:t>
      </w:r>
      <w:r>
        <w:rPr>
          <w:b/>
          <w:spacing w:val="-3"/>
        </w:rPr>
        <w:t xml:space="preserve"> </w:t>
      </w:r>
      <w:r>
        <w:rPr>
          <w:b/>
          <w:spacing w:val="-2"/>
        </w:rPr>
        <w:t>Force</w:t>
      </w:r>
      <w:r>
        <w:rPr>
          <w:b/>
          <w:spacing w:val="-10"/>
        </w:rPr>
        <w:t xml:space="preserve"> </w:t>
      </w:r>
      <w:r>
        <w:rPr>
          <w:spacing w:val="-2"/>
        </w:rPr>
        <w:t>will:</w:t>
      </w:r>
    </w:p>
    <w:p w14:paraId="00E2B485" w14:textId="73E638D0" w:rsidR="00900220" w:rsidRDefault="006F7317">
      <w:pPr>
        <w:pStyle w:val="ListParagraph"/>
        <w:numPr>
          <w:ilvl w:val="1"/>
          <w:numId w:val="1"/>
        </w:numPr>
        <w:tabs>
          <w:tab w:val="left" w:pos="1203"/>
        </w:tabs>
        <w:ind w:right="355"/>
        <w:jc w:val="both"/>
      </w:pPr>
      <w:r>
        <w:t xml:space="preserve">Work with NAIC committees, task forces, and working groups (e.g., Title Insurance (C) </w:t>
      </w:r>
      <w:r w:rsidR="007063AC">
        <w:t xml:space="preserve">Working Group </w:t>
      </w:r>
      <w:r>
        <w:t>Force, etc.) to review issues and concerns related to fraud activities and schemes related to insurance fraud.</w:t>
      </w:r>
    </w:p>
    <w:p w14:paraId="00E2B486" w14:textId="77777777" w:rsidR="00900220" w:rsidRDefault="006F7317">
      <w:pPr>
        <w:pStyle w:val="ListParagraph"/>
        <w:numPr>
          <w:ilvl w:val="1"/>
          <w:numId w:val="1"/>
        </w:numPr>
        <w:tabs>
          <w:tab w:val="left" w:pos="1199"/>
          <w:tab w:val="left" w:pos="1203"/>
        </w:tabs>
        <w:ind w:right="351"/>
        <w:jc w:val="both"/>
      </w:pPr>
      <w:r>
        <w:t>Coordinate efforts to address national concerns related to agent</w:t>
      </w:r>
      <w:r>
        <w:rPr>
          <w:spacing w:val="-5"/>
        </w:rPr>
        <w:t xml:space="preserve"> </w:t>
      </w:r>
      <w:r>
        <w:t>fraud and activities of unauthorized agents related to insurance sales.</w:t>
      </w:r>
    </w:p>
    <w:p w14:paraId="00E2B487" w14:textId="77777777" w:rsidR="00900220" w:rsidRDefault="006F7317">
      <w:pPr>
        <w:pStyle w:val="ListParagraph"/>
        <w:numPr>
          <w:ilvl w:val="1"/>
          <w:numId w:val="1"/>
        </w:numPr>
        <w:tabs>
          <w:tab w:val="left" w:pos="1199"/>
          <w:tab w:val="left" w:pos="1204"/>
        </w:tabs>
        <w:ind w:left="1204" w:right="354" w:hanging="361"/>
        <w:jc w:val="both"/>
      </w:pPr>
      <w:r>
        <w:t>Coordinate the enforcement and investigation efforts of state and federal securities regulators with state insurance fraud bureaus.</w:t>
      </w:r>
    </w:p>
    <w:p w14:paraId="00E2B488" w14:textId="77777777" w:rsidR="00900220" w:rsidRDefault="006F7317">
      <w:pPr>
        <w:pStyle w:val="ListParagraph"/>
        <w:numPr>
          <w:ilvl w:val="1"/>
          <w:numId w:val="1"/>
        </w:numPr>
        <w:tabs>
          <w:tab w:val="left" w:pos="1200"/>
          <w:tab w:val="left" w:pos="1207"/>
        </w:tabs>
        <w:ind w:left="1207" w:right="353" w:hanging="365"/>
        <w:jc w:val="both"/>
      </w:pPr>
      <w:r>
        <w:rPr>
          <w:spacing w:val="-2"/>
        </w:rPr>
        <w:t>Coordinate with</w:t>
      </w:r>
      <w:r>
        <w:rPr>
          <w:spacing w:val="-9"/>
        </w:rPr>
        <w:t xml:space="preserve"> </w:t>
      </w:r>
      <w:r>
        <w:rPr>
          <w:spacing w:val="-2"/>
        </w:rPr>
        <w:t>state, federal, and</w:t>
      </w:r>
      <w:r>
        <w:rPr>
          <w:spacing w:val="-4"/>
        </w:rPr>
        <w:t xml:space="preserve"> </w:t>
      </w:r>
      <w:r>
        <w:rPr>
          <w:spacing w:val="-2"/>
        </w:rPr>
        <w:t>international law</w:t>
      </w:r>
      <w:r>
        <w:rPr>
          <w:spacing w:val="-3"/>
        </w:rPr>
        <w:t xml:space="preserve"> </w:t>
      </w:r>
      <w:r>
        <w:rPr>
          <w:spacing w:val="-2"/>
        </w:rPr>
        <w:t>enforcement</w:t>
      </w:r>
      <w:r>
        <w:rPr>
          <w:spacing w:val="-7"/>
        </w:rPr>
        <w:t xml:space="preserve"> </w:t>
      </w:r>
      <w:r>
        <w:rPr>
          <w:spacing w:val="-2"/>
        </w:rPr>
        <w:t>agencies in</w:t>
      </w:r>
      <w:r>
        <w:rPr>
          <w:spacing w:val="-4"/>
        </w:rPr>
        <w:t xml:space="preserve"> </w:t>
      </w:r>
      <w:r>
        <w:rPr>
          <w:spacing w:val="-2"/>
        </w:rPr>
        <w:t>addressing antifraud</w:t>
      </w:r>
      <w:r>
        <w:rPr>
          <w:spacing w:val="-4"/>
        </w:rPr>
        <w:t xml:space="preserve"> </w:t>
      </w:r>
      <w:r>
        <w:rPr>
          <w:spacing w:val="-2"/>
        </w:rPr>
        <w:t xml:space="preserve">issues </w:t>
      </w:r>
      <w:r>
        <w:t>relating to the insurance industry.</w:t>
      </w:r>
    </w:p>
    <w:p w14:paraId="00E2B489" w14:textId="77777777" w:rsidR="00900220" w:rsidRDefault="006F7317">
      <w:pPr>
        <w:pStyle w:val="ListParagraph"/>
        <w:numPr>
          <w:ilvl w:val="1"/>
          <w:numId w:val="1"/>
        </w:numPr>
        <w:tabs>
          <w:tab w:val="left" w:pos="1202"/>
          <w:tab w:val="left" w:pos="1207"/>
        </w:tabs>
        <w:spacing w:before="1"/>
        <w:ind w:left="1207" w:right="352" w:hanging="366"/>
        <w:jc w:val="both"/>
      </w:pPr>
      <w:r>
        <w:t>Review and provide comments to the International Association of Insurance Supervisors (IAIS) on its Insurance Core Principles (ICPs) related to insurance fraud.</w:t>
      </w:r>
    </w:p>
    <w:p w14:paraId="00E2B48A" w14:textId="1E551EF8" w:rsidR="00900220" w:rsidRDefault="006F7317">
      <w:pPr>
        <w:pStyle w:val="ListParagraph"/>
        <w:numPr>
          <w:ilvl w:val="1"/>
          <w:numId w:val="1"/>
        </w:numPr>
        <w:tabs>
          <w:tab w:val="left" w:pos="1207"/>
        </w:tabs>
        <w:ind w:left="1207" w:right="352" w:hanging="365"/>
        <w:jc w:val="both"/>
      </w:pPr>
      <w:r>
        <w:t>Coordinate activities and information from national antifraud organizations, and provide information</w:t>
      </w:r>
      <w:r>
        <w:rPr>
          <w:spacing w:val="40"/>
        </w:rPr>
        <w:t xml:space="preserve"> </w:t>
      </w:r>
      <w:r>
        <w:t>to state insurance fraud bureaus.</w:t>
      </w:r>
    </w:p>
    <w:p w14:paraId="00E2B48B" w14:textId="77777777" w:rsidR="00900220" w:rsidRDefault="006F7317">
      <w:pPr>
        <w:pStyle w:val="ListParagraph"/>
        <w:numPr>
          <w:ilvl w:val="1"/>
          <w:numId w:val="1"/>
        </w:numPr>
        <w:tabs>
          <w:tab w:val="left" w:pos="1202"/>
          <w:tab w:val="left" w:pos="1207"/>
        </w:tabs>
        <w:ind w:left="1207" w:right="353" w:hanging="361"/>
        <w:jc w:val="both"/>
      </w:pPr>
      <w:r>
        <w:t>Coordinate</w:t>
      </w:r>
      <w:r>
        <w:rPr>
          <w:spacing w:val="-7"/>
        </w:rPr>
        <w:t xml:space="preserve"> </w:t>
      </w:r>
      <w:r>
        <w:t>activities</w:t>
      </w:r>
      <w:r>
        <w:rPr>
          <w:spacing w:val="-8"/>
        </w:rPr>
        <w:t xml:space="preserve"> </w:t>
      </w:r>
      <w:r>
        <w:t>and</w:t>
      </w:r>
      <w:r>
        <w:rPr>
          <w:spacing w:val="-8"/>
        </w:rPr>
        <w:t xml:space="preserve"> </w:t>
      </w:r>
      <w:r>
        <w:t>information</w:t>
      </w:r>
      <w:r>
        <w:rPr>
          <w:spacing w:val="-11"/>
        </w:rPr>
        <w:t xml:space="preserve"> </w:t>
      </w:r>
      <w:r>
        <w:t>with</w:t>
      </w:r>
      <w:r>
        <w:rPr>
          <w:spacing w:val="-8"/>
        </w:rPr>
        <w:t xml:space="preserve"> </w:t>
      </w:r>
      <w:r>
        <w:t>state</w:t>
      </w:r>
      <w:r>
        <w:rPr>
          <w:spacing w:val="-9"/>
        </w:rPr>
        <w:t xml:space="preserve"> </w:t>
      </w:r>
      <w:r>
        <w:t>and</w:t>
      </w:r>
      <w:r>
        <w:rPr>
          <w:spacing w:val="-8"/>
        </w:rPr>
        <w:t xml:space="preserve"> </w:t>
      </w:r>
      <w:r>
        <w:t>federal</w:t>
      </w:r>
      <w:r>
        <w:rPr>
          <w:spacing w:val="-8"/>
        </w:rPr>
        <w:t xml:space="preserve"> </w:t>
      </w:r>
      <w:r>
        <w:t>fraud</w:t>
      </w:r>
      <w:r>
        <w:rPr>
          <w:spacing w:val="-8"/>
        </w:rPr>
        <w:t xml:space="preserve"> </w:t>
      </w:r>
      <w:r>
        <w:t>divisions</w:t>
      </w:r>
      <w:r>
        <w:rPr>
          <w:spacing w:val="-7"/>
        </w:rPr>
        <w:t xml:space="preserve"> </w:t>
      </w:r>
      <w:r>
        <w:t>to</w:t>
      </w:r>
      <w:r>
        <w:rPr>
          <w:spacing w:val="-6"/>
        </w:rPr>
        <w:t xml:space="preserve"> </w:t>
      </w:r>
      <w:r>
        <w:t>determine</w:t>
      </w:r>
      <w:r>
        <w:rPr>
          <w:spacing w:val="-9"/>
        </w:rPr>
        <w:t xml:space="preserve"> </w:t>
      </w:r>
      <w:r>
        <w:t>guidelines</w:t>
      </w:r>
      <w:r>
        <w:rPr>
          <w:spacing w:val="-7"/>
        </w:rPr>
        <w:t xml:space="preserve"> </w:t>
      </w:r>
      <w:r>
        <w:t>that will</w:t>
      </w:r>
      <w:r>
        <w:rPr>
          <w:spacing w:val="40"/>
        </w:rPr>
        <w:t xml:space="preserve"> </w:t>
      </w:r>
      <w:r>
        <w:t xml:space="preserve">assist with reciprocal involvement concerning antifraud issues resulting from natural disasters and </w:t>
      </w:r>
      <w:r>
        <w:rPr>
          <w:spacing w:val="-2"/>
        </w:rPr>
        <w:t>catastrophes.</w:t>
      </w:r>
    </w:p>
    <w:p w14:paraId="00E2B48C" w14:textId="77777777" w:rsidR="00900220" w:rsidRDefault="006F7317">
      <w:pPr>
        <w:pStyle w:val="ListParagraph"/>
        <w:numPr>
          <w:ilvl w:val="1"/>
          <w:numId w:val="1"/>
        </w:numPr>
        <w:tabs>
          <w:tab w:val="left" w:pos="1200"/>
        </w:tabs>
        <w:spacing w:before="1"/>
        <w:ind w:left="1200" w:hanging="356"/>
        <w:jc w:val="both"/>
      </w:pPr>
      <w:r>
        <w:rPr>
          <w:spacing w:val="-2"/>
        </w:rPr>
        <w:t>Coordinate</w:t>
      </w:r>
      <w:r>
        <w:rPr>
          <w:spacing w:val="-11"/>
        </w:rPr>
        <w:t xml:space="preserve"> </w:t>
      </w:r>
      <w:r>
        <w:rPr>
          <w:spacing w:val="-2"/>
        </w:rPr>
        <w:t>efforts</w:t>
      </w:r>
      <w:r>
        <w:rPr>
          <w:spacing w:val="-7"/>
        </w:rPr>
        <w:t xml:space="preserve"> </w:t>
      </w:r>
      <w:r>
        <w:rPr>
          <w:spacing w:val="-2"/>
        </w:rPr>
        <w:t>with</w:t>
      </w:r>
      <w:r>
        <w:rPr>
          <w:spacing w:val="-7"/>
        </w:rPr>
        <w:t xml:space="preserve"> </w:t>
      </w:r>
      <w:r>
        <w:rPr>
          <w:spacing w:val="-2"/>
        </w:rPr>
        <w:t>the</w:t>
      </w:r>
      <w:r>
        <w:rPr>
          <w:spacing w:val="-6"/>
        </w:rPr>
        <w:t xml:space="preserve"> </w:t>
      </w:r>
      <w:r>
        <w:rPr>
          <w:spacing w:val="-2"/>
        </w:rPr>
        <w:t>insurance</w:t>
      </w:r>
      <w:r>
        <w:rPr>
          <w:spacing w:val="-3"/>
        </w:rPr>
        <w:t xml:space="preserve"> </w:t>
      </w:r>
      <w:r>
        <w:rPr>
          <w:spacing w:val="-2"/>
        </w:rPr>
        <w:t>industry</w:t>
      </w:r>
      <w:r>
        <w:rPr>
          <w:spacing w:val="-3"/>
        </w:rPr>
        <w:t xml:space="preserve"> </w:t>
      </w:r>
      <w:r>
        <w:rPr>
          <w:spacing w:val="-2"/>
        </w:rPr>
        <w:t>to</w:t>
      </w:r>
      <w:r>
        <w:rPr>
          <w:spacing w:val="-1"/>
        </w:rPr>
        <w:t xml:space="preserve"> </w:t>
      </w:r>
      <w:r>
        <w:rPr>
          <w:spacing w:val="-2"/>
        </w:rPr>
        <w:t>address</w:t>
      </w:r>
      <w:r>
        <w:rPr>
          <w:spacing w:val="-4"/>
        </w:rPr>
        <w:t xml:space="preserve"> </w:t>
      </w:r>
      <w:r>
        <w:rPr>
          <w:spacing w:val="-2"/>
        </w:rPr>
        <w:t>antifraud</w:t>
      </w:r>
      <w:r>
        <w:rPr>
          <w:spacing w:val="-4"/>
        </w:rPr>
        <w:t xml:space="preserve"> </w:t>
      </w:r>
      <w:r>
        <w:rPr>
          <w:spacing w:val="-2"/>
        </w:rPr>
        <w:t>issues</w:t>
      </w:r>
      <w:r>
        <w:rPr>
          <w:spacing w:val="-6"/>
        </w:rPr>
        <w:t xml:space="preserve"> </w:t>
      </w:r>
      <w:r>
        <w:rPr>
          <w:spacing w:val="-2"/>
        </w:rPr>
        <w:t>and</w:t>
      </w:r>
      <w:r>
        <w:rPr>
          <w:spacing w:val="-1"/>
        </w:rPr>
        <w:t xml:space="preserve"> </w:t>
      </w:r>
      <w:r>
        <w:rPr>
          <w:spacing w:val="-2"/>
        </w:rPr>
        <w:t>concerns.</w:t>
      </w:r>
    </w:p>
    <w:p w14:paraId="00E2B48D" w14:textId="77777777" w:rsidR="00900220" w:rsidRDefault="006F7317">
      <w:pPr>
        <w:pStyle w:val="ListParagraph"/>
        <w:numPr>
          <w:ilvl w:val="1"/>
          <w:numId w:val="1"/>
        </w:numPr>
        <w:tabs>
          <w:tab w:val="left" w:pos="1196"/>
        </w:tabs>
        <w:ind w:left="1196" w:hanging="356"/>
        <w:jc w:val="both"/>
      </w:pPr>
      <w:r>
        <w:t>Evaluate and</w:t>
      </w:r>
      <w:r>
        <w:rPr>
          <w:spacing w:val="8"/>
        </w:rPr>
        <w:t xml:space="preserve"> </w:t>
      </w:r>
      <w:r>
        <w:t>recommend</w:t>
      </w:r>
      <w:r>
        <w:rPr>
          <w:spacing w:val="7"/>
        </w:rPr>
        <w:t xml:space="preserve"> </w:t>
      </w:r>
      <w:r>
        <w:t>methods</w:t>
      </w:r>
      <w:r>
        <w:rPr>
          <w:spacing w:val="9"/>
        </w:rPr>
        <w:t xml:space="preserve"> </w:t>
      </w:r>
      <w:r>
        <w:t>to</w:t>
      </w:r>
      <w:r>
        <w:rPr>
          <w:spacing w:val="16"/>
        </w:rPr>
        <w:t xml:space="preserve"> </w:t>
      </w:r>
      <w:r>
        <w:t>track</w:t>
      </w:r>
      <w:r>
        <w:rPr>
          <w:spacing w:val="16"/>
        </w:rPr>
        <w:t xml:space="preserve"> </w:t>
      </w:r>
      <w:r>
        <w:t>national</w:t>
      </w:r>
      <w:r>
        <w:rPr>
          <w:spacing w:val="6"/>
        </w:rPr>
        <w:t xml:space="preserve"> </w:t>
      </w:r>
      <w:r>
        <w:t>fraud</w:t>
      </w:r>
      <w:r>
        <w:rPr>
          <w:spacing w:val="-12"/>
        </w:rPr>
        <w:t xml:space="preserve"> </w:t>
      </w:r>
      <w:r>
        <w:rPr>
          <w:spacing w:val="-2"/>
        </w:rPr>
        <w:t>trends.</w:t>
      </w:r>
    </w:p>
    <w:p w14:paraId="00E2B48F" w14:textId="4F1DA796" w:rsidR="00900220" w:rsidRDefault="006F7317" w:rsidP="00FC2827">
      <w:pPr>
        <w:pStyle w:val="ListParagraph"/>
        <w:numPr>
          <w:ilvl w:val="1"/>
          <w:numId w:val="1"/>
        </w:numPr>
        <w:tabs>
          <w:tab w:val="left" w:pos="1200"/>
        </w:tabs>
        <w:ind w:left="1200" w:right="354"/>
        <w:jc w:val="both"/>
        <w:sectPr w:rsidR="00900220">
          <w:type w:val="continuous"/>
          <w:pgSz w:w="12240" w:h="15840"/>
          <w:pgMar w:top="1400" w:right="720" w:bottom="280" w:left="720" w:header="720" w:footer="720" w:gutter="0"/>
          <w:cols w:space="720"/>
        </w:sectPr>
      </w:pPr>
      <w:r>
        <w:t xml:space="preserve">Develop seminars, trainings, and webinars regarding insurance fraud. </w:t>
      </w:r>
    </w:p>
    <w:p w14:paraId="00E2B490" w14:textId="77777777" w:rsidR="00900220" w:rsidRDefault="006F7317">
      <w:pPr>
        <w:spacing w:before="39"/>
        <w:ind w:left="1"/>
        <w:jc w:val="center"/>
        <w:rPr>
          <w:b/>
        </w:rPr>
      </w:pPr>
      <w:bookmarkStart w:id="6" w:name="ANTIFRAUD_(D)_TASK_FORCE_(Continued)"/>
      <w:bookmarkEnd w:id="6"/>
      <w:r>
        <w:rPr>
          <w:b/>
          <w:spacing w:val="-4"/>
        </w:rPr>
        <w:lastRenderedPageBreak/>
        <w:t>ANTIFRAUD</w:t>
      </w:r>
      <w:r>
        <w:rPr>
          <w:b/>
          <w:spacing w:val="-10"/>
        </w:rPr>
        <w:t xml:space="preserve"> </w:t>
      </w:r>
      <w:r>
        <w:rPr>
          <w:b/>
          <w:spacing w:val="-4"/>
        </w:rPr>
        <w:t>(D)</w:t>
      </w:r>
      <w:r>
        <w:rPr>
          <w:b/>
          <w:spacing w:val="-5"/>
        </w:rPr>
        <w:t xml:space="preserve"> </w:t>
      </w:r>
      <w:r>
        <w:rPr>
          <w:b/>
          <w:spacing w:val="-4"/>
        </w:rPr>
        <w:t>TASK</w:t>
      </w:r>
      <w:r>
        <w:rPr>
          <w:b/>
          <w:spacing w:val="-6"/>
        </w:rPr>
        <w:t xml:space="preserve"> </w:t>
      </w:r>
      <w:r>
        <w:rPr>
          <w:b/>
          <w:spacing w:val="-4"/>
        </w:rPr>
        <w:t>FORCE</w:t>
      </w:r>
      <w:r>
        <w:rPr>
          <w:b/>
          <w:spacing w:val="6"/>
        </w:rPr>
        <w:t xml:space="preserve"> </w:t>
      </w:r>
      <w:r>
        <w:rPr>
          <w:b/>
          <w:spacing w:val="-4"/>
        </w:rPr>
        <w:t>(</w:t>
      </w:r>
      <w:r>
        <w:rPr>
          <w:b/>
          <w:i/>
          <w:spacing w:val="-4"/>
        </w:rPr>
        <w:t>Continued</w:t>
      </w:r>
      <w:r>
        <w:rPr>
          <w:b/>
          <w:spacing w:val="-4"/>
        </w:rPr>
        <w:t>)</w:t>
      </w:r>
    </w:p>
    <w:p w14:paraId="00E2B491" w14:textId="77777777" w:rsidR="00900220" w:rsidRDefault="00900220">
      <w:pPr>
        <w:pStyle w:val="BodyText"/>
        <w:ind w:left="0" w:firstLine="0"/>
        <w:jc w:val="left"/>
        <w:rPr>
          <w:b/>
        </w:rPr>
      </w:pPr>
    </w:p>
    <w:p w14:paraId="00E2B492" w14:textId="77777777" w:rsidR="00900220" w:rsidRDefault="006F7317">
      <w:pPr>
        <w:pStyle w:val="Heading1"/>
        <w:numPr>
          <w:ilvl w:val="0"/>
          <w:numId w:val="1"/>
        </w:numPr>
        <w:tabs>
          <w:tab w:val="left" w:pos="717"/>
        </w:tabs>
        <w:spacing w:before="0"/>
        <w:ind w:left="717" w:hanging="358"/>
        <w:jc w:val="both"/>
        <w:rPr>
          <w:b w:val="0"/>
        </w:rPr>
      </w:pPr>
      <w:r>
        <w:rPr>
          <w:b w:val="0"/>
          <w:spacing w:val="-2"/>
        </w:rPr>
        <w:t>The</w:t>
      </w:r>
      <w:r>
        <w:rPr>
          <w:b w:val="0"/>
          <w:spacing w:val="-13"/>
        </w:rPr>
        <w:t xml:space="preserve"> </w:t>
      </w:r>
      <w:r>
        <w:rPr>
          <w:spacing w:val="-2"/>
        </w:rPr>
        <w:t>Antifraud</w:t>
      </w:r>
      <w:r>
        <w:rPr>
          <w:spacing w:val="-10"/>
        </w:rPr>
        <w:t xml:space="preserve"> </w:t>
      </w:r>
      <w:r>
        <w:rPr>
          <w:spacing w:val="-2"/>
        </w:rPr>
        <w:t>Technology</w:t>
      </w:r>
      <w:r>
        <w:rPr>
          <w:spacing w:val="-6"/>
        </w:rPr>
        <w:t xml:space="preserve"> </w:t>
      </w:r>
      <w:r>
        <w:rPr>
          <w:spacing w:val="-2"/>
        </w:rPr>
        <w:t>(D)</w:t>
      </w:r>
      <w:r>
        <w:rPr>
          <w:spacing w:val="-7"/>
        </w:rPr>
        <w:t xml:space="preserve"> </w:t>
      </w:r>
      <w:r>
        <w:rPr>
          <w:spacing w:val="-2"/>
        </w:rPr>
        <w:t>Working</w:t>
      </w:r>
      <w:r>
        <w:rPr>
          <w:spacing w:val="-4"/>
        </w:rPr>
        <w:t xml:space="preserve"> </w:t>
      </w:r>
      <w:r>
        <w:rPr>
          <w:spacing w:val="-2"/>
        </w:rPr>
        <w:t>Group</w:t>
      </w:r>
      <w:r>
        <w:rPr>
          <w:spacing w:val="-10"/>
        </w:rPr>
        <w:t xml:space="preserve"> </w:t>
      </w:r>
      <w:r>
        <w:rPr>
          <w:b w:val="0"/>
          <w:spacing w:val="-2"/>
        </w:rPr>
        <w:t>will:</w:t>
      </w:r>
    </w:p>
    <w:p w14:paraId="58AE4528" w14:textId="66908E9F" w:rsidR="003A5C0A" w:rsidRDefault="003A5C0A" w:rsidP="00157273">
      <w:pPr>
        <w:pStyle w:val="ListParagraph"/>
        <w:widowControl/>
        <w:numPr>
          <w:ilvl w:val="2"/>
          <w:numId w:val="7"/>
        </w:numPr>
        <w:tabs>
          <w:tab w:val="clear" w:pos="2160"/>
        </w:tabs>
        <w:ind w:left="1080" w:right="354" w:hanging="270"/>
        <w:rPr>
          <w:kern w:val="2"/>
          <w14:ligatures w14:val="standardContextual"/>
        </w:rPr>
      </w:pPr>
      <w:r>
        <w:t xml:space="preserve">Work with the NAIC to identify and refine business requirements for the further development and maintenance of the NAIC Antifraud Plan Repository to be used by insurers to create and store an electronic fraud plan for distribution among the states/jurisdictions. </w:t>
      </w:r>
    </w:p>
    <w:p w14:paraId="00E2B494" w14:textId="266F6CC3" w:rsidR="00900220" w:rsidRDefault="006F7317">
      <w:pPr>
        <w:pStyle w:val="ListParagraph"/>
        <w:numPr>
          <w:ilvl w:val="1"/>
          <w:numId w:val="1"/>
        </w:numPr>
        <w:tabs>
          <w:tab w:val="left" w:pos="1076"/>
          <w:tab w:val="left" w:pos="1079"/>
        </w:tabs>
        <w:ind w:left="1079" w:right="355" w:hanging="361"/>
        <w:jc w:val="both"/>
      </w:pPr>
      <w:r>
        <w:t xml:space="preserve">Evaluate sources of antifraud </w:t>
      </w:r>
      <w:r w:rsidR="00795E26">
        <w:t>data and</w:t>
      </w:r>
      <w:r w:rsidR="00E82CCB">
        <w:t xml:space="preserve"> </w:t>
      </w:r>
      <w:r>
        <w:t xml:space="preserve">propose methods for enhancing the utilization and exchange of information among state insurance regulators, fraud investigative divisions, law enforcement officials, insurers, and antifraud organizations. </w:t>
      </w:r>
    </w:p>
    <w:p w14:paraId="3C29898F" w14:textId="6C62F7DB" w:rsidR="009875BD" w:rsidRDefault="009875BD">
      <w:pPr>
        <w:pStyle w:val="ListParagraph"/>
        <w:numPr>
          <w:ilvl w:val="1"/>
          <w:numId w:val="1"/>
        </w:numPr>
        <w:tabs>
          <w:tab w:val="left" w:pos="1076"/>
          <w:tab w:val="left" w:pos="1079"/>
        </w:tabs>
        <w:ind w:left="1079" w:right="355" w:hanging="361"/>
        <w:jc w:val="both"/>
      </w:pPr>
      <w:r>
        <w:t xml:space="preserve">Work with NAIC and other vendors to enhance the effectiveness and usefulness of the </w:t>
      </w:r>
      <w:r w:rsidR="0077024F">
        <w:t xml:space="preserve"> N</w:t>
      </w:r>
      <w:r w:rsidR="00623653">
        <w:t xml:space="preserve">AIC </w:t>
      </w:r>
      <w:r>
        <w:t>Online Fraud Reporting System (OFRS).</w:t>
      </w:r>
    </w:p>
    <w:p w14:paraId="3FE9F57D" w14:textId="336CBBE4" w:rsidR="008D369F" w:rsidRDefault="008D369F" w:rsidP="0038019E">
      <w:pPr>
        <w:pStyle w:val="ListParagraph"/>
        <w:ind w:left="1080" w:right="355"/>
        <w:jc w:val="left"/>
        <w:rPr>
          <w:kern w:val="2"/>
          <w14:ligatures w14:val="standardContextual"/>
        </w:rPr>
      </w:pPr>
      <w:r>
        <w:t>D</w:t>
      </w:r>
      <w:r w:rsidRPr="004D6B09">
        <w:t xml:space="preserve">. </w:t>
      </w:r>
      <w:r w:rsidR="00886A3F" w:rsidRPr="00672CAE">
        <w:t xml:space="preserve">  </w:t>
      </w:r>
      <w:r w:rsidRPr="00672CAE">
        <w:t>Work with NAIC staff and the National Insurance Crime Bureau (NICB) to review and recommend updates to fraud scheme and insurance type categories in the NAIC Online Fraud Reporting System (OFRS) to simplify reporting and improve the quality of suspected insurance fraud data submitted to state insurance regulators. Submit recommended updates to the Antifraud (D) Task Force for consideration, and coordinate implementation following approval. Complete implementation by the second quarter of 2027.</w:t>
      </w:r>
    </w:p>
    <w:p w14:paraId="00E2B495" w14:textId="49F0C1C5" w:rsidR="00900220" w:rsidRDefault="006F7317">
      <w:pPr>
        <w:pStyle w:val="Heading1"/>
        <w:numPr>
          <w:ilvl w:val="0"/>
          <w:numId w:val="1"/>
        </w:numPr>
        <w:tabs>
          <w:tab w:val="left" w:pos="717"/>
        </w:tabs>
        <w:ind w:left="717" w:hanging="358"/>
        <w:jc w:val="both"/>
        <w:rPr>
          <w:b w:val="0"/>
        </w:rPr>
      </w:pPr>
      <w:r>
        <w:rPr>
          <w:b w:val="0"/>
          <w:spacing w:val="-2"/>
        </w:rPr>
        <w:t>The</w:t>
      </w:r>
      <w:r>
        <w:rPr>
          <w:b w:val="0"/>
          <w:spacing w:val="-6"/>
        </w:rPr>
        <w:t xml:space="preserve"> </w:t>
      </w:r>
      <w:r>
        <w:rPr>
          <w:spacing w:val="-2"/>
        </w:rPr>
        <w:t>Improper</w:t>
      </w:r>
      <w:r>
        <w:rPr>
          <w:spacing w:val="-5"/>
        </w:rPr>
        <w:t xml:space="preserve"> </w:t>
      </w:r>
      <w:r>
        <w:rPr>
          <w:spacing w:val="-2"/>
        </w:rPr>
        <w:t>Marketing</w:t>
      </w:r>
      <w:r>
        <w:rPr>
          <w:spacing w:val="-6"/>
        </w:rPr>
        <w:t xml:space="preserve"> </w:t>
      </w:r>
      <w:r>
        <w:rPr>
          <w:spacing w:val="-2"/>
        </w:rPr>
        <w:t>of</w:t>
      </w:r>
      <w:r>
        <w:rPr>
          <w:spacing w:val="-6"/>
        </w:rPr>
        <w:t xml:space="preserve"> </w:t>
      </w:r>
      <w:r>
        <w:rPr>
          <w:spacing w:val="-2"/>
        </w:rPr>
        <w:t>Health</w:t>
      </w:r>
      <w:r>
        <w:rPr>
          <w:spacing w:val="-5"/>
        </w:rPr>
        <w:t xml:space="preserve"> </w:t>
      </w:r>
      <w:r>
        <w:rPr>
          <w:spacing w:val="-2"/>
        </w:rPr>
        <w:t>Insurance</w:t>
      </w:r>
      <w:r>
        <w:rPr>
          <w:spacing w:val="-7"/>
        </w:rPr>
        <w:t xml:space="preserve"> </w:t>
      </w:r>
      <w:r>
        <w:rPr>
          <w:spacing w:val="-2"/>
        </w:rPr>
        <w:t>(D)</w:t>
      </w:r>
      <w:r>
        <w:rPr>
          <w:spacing w:val="-5"/>
        </w:rPr>
        <w:t xml:space="preserve"> </w:t>
      </w:r>
      <w:r>
        <w:rPr>
          <w:spacing w:val="-2"/>
        </w:rPr>
        <w:t>Working</w:t>
      </w:r>
      <w:r>
        <w:rPr>
          <w:spacing w:val="1"/>
        </w:rPr>
        <w:t xml:space="preserve"> </w:t>
      </w:r>
      <w:r>
        <w:rPr>
          <w:spacing w:val="-2"/>
        </w:rPr>
        <w:t>Group</w:t>
      </w:r>
      <w:r>
        <w:rPr>
          <w:spacing w:val="-4"/>
        </w:rPr>
        <w:t xml:space="preserve"> </w:t>
      </w:r>
      <w:r>
        <w:rPr>
          <w:b w:val="0"/>
          <w:spacing w:val="-2"/>
        </w:rPr>
        <w:t>will:</w:t>
      </w:r>
    </w:p>
    <w:p w14:paraId="00E2B496" w14:textId="77777777" w:rsidR="00900220" w:rsidRDefault="006F7317">
      <w:pPr>
        <w:pStyle w:val="ListParagraph"/>
        <w:numPr>
          <w:ilvl w:val="1"/>
          <w:numId w:val="1"/>
        </w:numPr>
        <w:tabs>
          <w:tab w:val="left" w:pos="1079"/>
        </w:tabs>
        <w:ind w:left="1079" w:right="356"/>
        <w:jc w:val="both"/>
      </w:pPr>
      <w:r>
        <w:t>Coordinate with state insurance regulators, both on a state and federal level, to provide assistance and guidance monitoring the improper marketing of health plans, and coordinate appropriate enforcement actions, as needed, with other NAIC committees, task forces, and working groups.</w:t>
      </w:r>
    </w:p>
    <w:p w14:paraId="5CAD9AE5" w14:textId="0E8BB2DF" w:rsidR="004D2636" w:rsidRPr="004D6B09" w:rsidRDefault="007B5EFF" w:rsidP="00157273">
      <w:pPr>
        <w:pStyle w:val="ListParagraph"/>
        <w:numPr>
          <w:ilvl w:val="1"/>
          <w:numId w:val="1"/>
        </w:numPr>
        <w:tabs>
          <w:tab w:val="left" w:pos="1077"/>
          <w:tab w:val="left" w:pos="1079"/>
        </w:tabs>
        <w:ind w:left="1079" w:right="357"/>
      </w:pPr>
      <w:r w:rsidRPr="00672CAE">
        <w:t>Review existing NAIC models and guidelines that address advertising of health insurance products, including Medicare supplement insurance, and identify models and guidelines that may warrant updating or development to address current marketplace activities.</w:t>
      </w:r>
      <w:r w:rsidR="004D2636" w:rsidRPr="00672CAE">
        <w:br/>
      </w:r>
    </w:p>
    <w:p w14:paraId="00E2B498" w14:textId="4A99BDCF" w:rsidR="00900220" w:rsidRDefault="006F7317">
      <w:pPr>
        <w:pStyle w:val="BodyText"/>
        <w:spacing w:before="268"/>
        <w:ind w:left="359" w:firstLine="0"/>
        <w:jc w:val="left"/>
      </w:pPr>
      <w:r>
        <w:rPr>
          <w:spacing w:val="-2"/>
        </w:rPr>
        <w:t>NAIC</w:t>
      </w:r>
      <w:r>
        <w:rPr>
          <w:spacing w:val="-5"/>
        </w:rPr>
        <w:t xml:space="preserve"> </w:t>
      </w:r>
      <w:r>
        <w:rPr>
          <w:spacing w:val="-2"/>
        </w:rPr>
        <w:t>Support</w:t>
      </w:r>
      <w:r>
        <w:rPr>
          <w:spacing w:val="-4"/>
        </w:rPr>
        <w:t xml:space="preserve"> </w:t>
      </w:r>
      <w:r>
        <w:rPr>
          <w:spacing w:val="-2"/>
        </w:rPr>
        <w:t>Staff:</w:t>
      </w:r>
      <w:r>
        <w:rPr>
          <w:spacing w:val="-4"/>
        </w:rPr>
        <w:t xml:space="preserve"> </w:t>
      </w:r>
      <w:r>
        <w:rPr>
          <w:spacing w:val="-2"/>
        </w:rPr>
        <w:t>Greg</w:t>
      </w:r>
      <w:r>
        <w:rPr>
          <w:spacing w:val="-3"/>
        </w:rPr>
        <w:t xml:space="preserve"> </w:t>
      </w:r>
      <w:r>
        <w:rPr>
          <w:spacing w:val="-2"/>
        </w:rPr>
        <w:t>Welker/</w:t>
      </w:r>
      <w:r w:rsidR="005A0E62">
        <w:rPr>
          <w:spacing w:val="-2"/>
        </w:rPr>
        <w:t>Tim Mullen</w:t>
      </w:r>
    </w:p>
    <w:sectPr w:rsidR="00900220">
      <w:pgSz w:w="12240" w:h="15840"/>
      <w:pgMar w:top="140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80321"/>
    <w:multiLevelType w:val="multilevel"/>
    <w:tmpl w:val="804EB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327E90"/>
    <w:multiLevelType w:val="hybridMultilevel"/>
    <w:tmpl w:val="9F96B51A"/>
    <w:lvl w:ilvl="0" w:tplc="46325CFC">
      <w:start w:val="1"/>
      <w:numFmt w:val="decimal"/>
      <w:lvlText w:val="%1."/>
      <w:lvlJc w:val="left"/>
      <w:pPr>
        <w:ind w:left="721" w:hanging="360"/>
        <w:jc w:val="left"/>
      </w:pPr>
      <w:rPr>
        <w:rFonts w:ascii="Calibri" w:eastAsia="Calibri" w:hAnsi="Calibri" w:cs="Calibri" w:hint="default"/>
        <w:b w:val="0"/>
        <w:bCs w:val="0"/>
        <w:i w:val="0"/>
        <w:iCs w:val="0"/>
        <w:spacing w:val="-2"/>
        <w:w w:val="100"/>
        <w:sz w:val="22"/>
        <w:szCs w:val="22"/>
        <w:lang w:val="en-US" w:eastAsia="en-US" w:bidi="ar-SA"/>
      </w:rPr>
    </w:lvl>
    <w:lvl w:ilvl="1" w:tplc="C802A338">
      <w:start w:val="1"/>
      <w:numFmt w:val="upperLetter"/>
      <w:lvlText w:val="%2."/>
      <w:lvlJc w:val="left"/>
      <w:pPr>
        <w:ind w:left="1203" w:hanging="360"/>
        <w:jc w:val="left"/>
      </w:pPr>
      <w:rPr>
        <w:rFonts w:ascii="Calibri" w:eastAsia="Calibri" w:hAnsi="Calibri" w:cs="Calibri" w:hint="default"/>
        <w:b w:val="0"/>
        <w:bCs w:val="0"/>
        <w:i w:val="0"/>
        <w:iCs w:val="0"/>
        <w:spacing w:val="-1"/>
        <w:w w:val="100"/>
        <w:sz w:val="22"/>
        <w:szCs w:val="22"/>
        <w:lang w:val="en-US" w:eastAsia="en-US" w:bidi="ar-SA"/>
      </w:rPr>
    </w:lvl>
    <w:lvl w:ilvl="2" w:tplc="1E0C25F8">
      <w:numFmt w:val="bullet"/>
      <w:lvlText w:val="•"/>
      <w:lvlJc w:val="left"/>
      <w:pPr>
        <w:ind w:left="1200" w:hanging="360"/>
      </w:pPr>
      <w:rPr>
        <w:rFonts w:hint="default"/>
        <w:lang w:val="en-US" w:eastAsia="en-US" w:bidi="ar-SA"/>
      </w:rPr>
    </w:lvl>
    <w:lvl w:ilvl="3" w:tplc="1B9ED34C">
      <w:numFmt w:val="bullet"/>
      <w:lvlText w:val="•"/>
      <w:lvlJc w:val="left"/>
      <w:pPr>
        <w:ind w:left="2400" w:hanging="360"/>
      </w:pPr>
      <w:rPr>
        <w:rFonts w:hint="default"/>
        <w:lang w:val="en-US" w:eastAsia="en-US" w:bidi="ar-SA"/>
      </w:rPr>
    </w:lvl>
    <w:lvl w:ilvl="4" w:tplc="872E897A">
      <w:numFmt w:val="bullet"/>
      <w:lvlText w:val="•"/>
      <w:lvlJc w:val="left"/>
      <w:pPr>
        <w:ind w:left="3600" w:hanging="360"/>
      </w:pPr>
      <w:rPr>
        <w:rFonts w:hint="default"/>
        <w:lang w:val="en-US" w:eastAsia="en-US" w:bidi="ar-SA"/>
      </w:rPr>
    </w:lvl>
    <w:lvl w:ilvl="5" w:tplc="B7E0A022">
      <w:numFmt w:val="bullet"/>
      <w:lvlText w:val="•"/>
      <w:lvlJc w:val="left"/>
      <w:pPr>
        <w:ind w:left="4800" w:hanging="360"/>
      </w:pPr>
      <w:rPr>
        <w:rFonts w:hint="default"/>
        <w:lang w:val="en-US" w:eastAsia="en-US" w:bidi="ar-SA"/>
      </w:rPr>
    </w:lvl>
    <w:lvl w:ilvl="6" w:tplc="CA1C091C">
      <w:numFmt w:val="bullet"/>
      <w:lvlText w:val="•"/>
      <w:lvlJc w:val="left"/>
      <w:pPr>
        <w:ind w:left="6000" w:hanging="360"/>
      </w:pPr>
      <w:rPr>
        <w:rFonts w:hint="default"/>
        <w:lang w:val="en-US" w:eastAsia="en-US" w:bidi="ar-SA"/>
      </w:rPr>
    </w:lvl>
    <w:lvl w:ilvl="7" w:tplc="F5F07EAC">
      <w:numFmt w:val="bullet"/>
      <w:lvlText w:val="•"/>
      <w:lvlJc w:val="left"/>
      <w:pPr>
        <w:ind w:left="7200" w:hanging="360"/>
      </w:pPr>
      <w:rPr>
        <w:rFonts w:hint="default"/>
        <w:lang w:val="en-US" w:eastAsia="en-US" w:bidi="ar-SA"/>
      </w:rPr>
    </w:lvl>
    <w:lvl w:ilvl="8" w:tplc="1E6C8748">
      <w:numFmt w:val="bullet"/>
      <w:lvlText w:val="•"/>
      <w:lvlJc w:val="left"/>
      <w:pPr>
        <w:ind w:left="8400" w:hanging="360"/>
      </w:pPr>
      <w:rPr>
        <w:rFonts w:hint="default"/>
        <w:lang w:val="en-US" w:eastAsia="en-US" w:bidi="ar-SA"/>
      </w:rPr>
    </w:lvl>
  </w:abstractNum>
  <w:abstractNum w:abstractNumId="2" w15:restartNumberingAfterBreak="0">
    <w:nsid w:val="30962707"/>
    <w:multiLevelType w:val="multilevel"/>
    <w:tmpl w:val="F1EC9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BE3B7E"/>
    <w:multiLevelType w:val="multilevel"/>
    <w:tmpl w:val="FCE6BA2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693601B3"/>
    <w:multiLevelType w:val="multilevel"/>
    <w:tmpl w:val="9DEA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BD7AF5"/>
    <w:multiLevelType w:val="multilevel"/>
    <w:tmpl w:val="924013E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741D5C04"/>
    <w:multiLevelType w:val="multilevel"/>
    <w:tmpl w:val="A6B0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031380">
    <w:abstractNumId w:val="1"/>
  </w:num>
  <w:num w:numId="2" w16cid:durableId="580453779">
    <w:abstractNumId w:val="2"/>
  </w:num>
  <w:num w:numId="3" w16cid:durableId="494954830">
    <w:abstractNumId w:val="6"/>
  </w:num>
  <w:num w:numId="4" w16cid:durableId="1268004572">
    <w:abstractNumId w:val="4"/>
  </w:num>
  <w:num w:numId="5" w16cid:durableId="1818106365">
    <w:abstractNumId w:val="0"/>
  </w:num>
  <w:num w:numId="6" w16cid:durableId="1643341948">
    <w:abstractNumId w:val="3"/>
  </w:num>
  <w:num w:numId="7" w16cid:durableId="13875344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220"/>
    <w:rsid w:val="00034CF9"/>
    <w:rsid w:val="00071729"/>
    <w:rsid w:val="00074026"/>
    <w:rsid w:val="00083384"/>
    <w:rsid w:val="00086BA8"/>
    <w:rsid w:val="000C7848"/>
    <w:rsid w:val="00151EF3"/>
    <w:rsid w:val="00157273"/>
    <w:rsid w:val="001650DB"/>
    <w:rsid w:val="001C330D"/>
    <w:rsid w:val="00213743"/>
    <w:rsid w:val="00234EBB"/>
    <w:rsid w:val="00256476"/>
    <w:rsid w:val="002A17CB"/>
    <w:rsid w:val="002E1ADA"/>
    <w:rsid w:val="0038019E"/>
    <w:rsid w:val="003918D9"/>
    <w:rsid w:val="003A5C0A"/>
    <w:rsid w:val="004D2636"/>
    <w:rsid w:val="004D6B09"/>
    <w:rsid w:val="004E5CEB"/>
    <w:rsid w:val="005A0E62"/>
    <w:rsid w:val="005A1362"/>
    <w:rsid w:val="005B1B5D"/>
    <w:rsid w:val="005E6348"/>
    <w:rsid w:val="00623653"/>
    <w:rsid w:val="00672CAE"/>
    <w:rsid w:val="006803D3"/>
    <w:rsid w:val="00686E2A"/>
    <w:rsid w:val="006A3699"/>
    <w:rsid w:val="006B30F5"/>
    <w:rsid w:val="006F7317"/>
    <w:rsid w:val="007063AC"/>
    <w:rsid w:val="0077024F"/>
    <w:rsid w:val="00795E26"/>
    <w:rsid w:val="007B5EFF"/>
    <w:rsid w:val="008077F7"/>
    <w:rsid w:val="00813B03"/>
    <w:rsid w:val="0082256D"/>
    <w:rsid w:val="00836066"/>
    <w:rsid w:val="00886A3F"/>
    <w:rsid w:val="008D01F7"/>
    <w:rsid w:val="008D369F"/>
    <w:rsid w:val="00900220"/>
    <w:rsid w:val="00910BC8"/>
    <w:rsid w:val="00936CEA"/>
    <w:rsid w:val="009448AF"/>
    <w:rsid w:val="009875BD"/>
    <w:rsid w:val="00A30403"/>
    <w:rsid w:val="00A70807"/>
    <w:rsid w:val="00AE2841"/>
    <w:rsid w:val="00AE3F8F"/>
    <w:rsid w:val="00AF1993"/>
    <w:rsid w:val="00AF2931"/>
    <w:rsid w:val="00B009BF"/>
    <w:rsid w:val="00B07620"/>
    <w:rsid w:val="00B721FE"/>
    <w:rsid w:val="00B90865"/>
    <w:rsid w:val="00CA00BC"/>
    <w:rsid w:val="00D10B81"/>
    <w:rsid w:val="00D221B4"/>
    <w:rsid w:val="00D44AEE"/>
    <w:rsid w:val="00DC03FB"/>
    <w:rsid w:val="00E462E3"/>
    <w:rsid w:val="00E6163C"/>
    <w:rsid w:val="00E82CCB"/>
    <w:rsid w:val="00F51FDB"/>
    <w:rsid w:val="00F60BDB"/>
    <w:rsid w:val="00F86529"/>
    <w:rsid w:val="00F9475C"/>
    <w:rsid w:val="00FC2827"/>
    <w:rsid w:val="00FD4A83"/>
    <w:rsid w:val="00FE6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2B47D"/>
  <w15:docId w15:val="{CA34E82F-1718-4924-81BA-83865087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67"/>
      <w:ind w:left="717" w:hanging="358"/>
      <w:outlineLvl w:val="0"/>
    </w:pPr>
    <w:rPr>
      <w:b/>
      <w:bCs/>
    </w:rPr>
  </w:style>
  <w:style w:type="paragraph" w:styleId="Heading2">
    <w:name w:val="heading 2"/>
    <w:basedOn w:val="Normal"/>
    <w:next w:val="Normal"/>
    <w:link w:val="Heading2Char"/>
    <w:uiPriority w:val="9"/>
    <w:semiHidden/>
    <w:unhideWhenUsed/>
    <w:qFormat/>
    <w:rsid w:val="00FE68F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E68F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E68F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E68FF"/>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E68F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E68FF"/>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E68F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68F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79" w:hanging="360"/>
      <w:jc w:val="both"/>
    </w:pPr>
  </w:style>
  <w:style w:type="paragraph" w:styleId="ListParagraph">
    <w:name w:val="List Paragraph"/>
    <w:basedOn w:val="Normal"/>
    <w:uiPriority w:val="1"/>
    <w:qFormat/>
    <w:pPr>
      <w:ind w:left="1079" w:hanging="360"/>
      <w:jc w:val="both"/>
    </w:pPr>
  </w:style>
  <w:style w:type="paragraph" w:customStyle="1" w:styleId="TableParagraph">
    <w:name w:val="Table Paragraph"/>
    <w:basedOn w:val="Normal"/>
    <w:uiPriority w:val="1"/>
    <w:qFormat/>
  </w:style>
  <w:style w:type="paragraph" w:styleId="Revision">
    <w:name w:val="Revision"/>
    <w:hidden/>
    <w:uiPriority w:val="99"/>
    <w:semiHidden/>
    <w:rsid w:val="00B721FE"/>
    <w:pPr>
      <w:widowControl/>
      <w:autoSpaceDE/>
      <w:autoSpaceDN/>
    </w:pPr>
    <w:rPr>
      <w:rFonts w:ascii="Calibri" w:eastAsia="Calibri" w:hAnsi="Calibri" w:cs="Calibri"/>
    </w:rPr>
  </w:style>
  <w:style w:type="character" w:styleId="BookTitle">
    <w:name w:val="Book Title"/>
    <w:basedOn w:val="DefaultParagraphFont"/>
    <w:uiPriority w:val="33"/>
    <w:qFormat/>
    <w:rsid w:val="00FE68FF"/>
    <w:rPr>
      <w:b/>
      <w:bCs/>
      <w:i/>
      <w:iCs/>
      <w:spacing w:val="5"/>
    </w:rPr>
  </w:style>
  <w:style w:type="paragraph" w:styleId="Caption">
    <w:name w:val="caption"/>
    <w:basedOn w:val="Normal"/>
    <w:next w:val="Normal"/>
    <w:uiPriority w:val="35"/>
    <w:semiHidden/>
    <w:unhideWhenUsed/>
    <w:qFormat/>
    <w:rsid w:val="00FE68FF"/>
    <w:pPr>
      <w:spacing w:after="200"/>
    </w:pPr>
    <w:rPr>
      <w:i/>
      <w:iCs/>
      <w:color w:val="1F497D" w:themeColor="text2"/>
      <w:sz w:val="18"/>
      <w:szCs w:val="18"/>
    </w:rPr>
  </w:style>
  <w:style w:type="character" w:styleId="Emphasis">
    <w:name w:val="Emphasis"/>
    <w:basedOn w:val="DefaultParagraphFont"/>
    <w:uiPriority w:val="20"/>
    <w:qFormat/>
    <w:rsid w:val="00FE68FF"/>
    <w:rPr>
      <w:i/>
      <w:iCs/>
    </w:rPr>
  </w:style>
  <w:style w:type="character" w:customStyle="1" w:styleId="Heading2Char">
    <w:name w:val="Heading 2 Char"/>
    <w:basedOn w:val="DefaultParagraphFont"/>
    <w:link w:val="Heading2"/>
    <w:uiPriority w:val="9"/>
    <w:semiHidden/>
    <w:rsid w:val="00FE68F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FE68F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FE68F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FE68FF"/>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FE68F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FE68FF"/>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FE68F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E68F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E68FF"/>
    <w:rPr>
      <w:i/>
      <w:iCs/>
      <w:color w:val="4F81BD" w:themeColor="accent1"/>
    </w:rPr>
  </w:style>
  <w:style w:type="paragraph" w:styleId="IntenseQuote">
    <w:name w:val="Intense Quote"/>
    <w:basedOn w:val="Normal"/>
    <w:next w:val="Normal"/>
    <w:link w:val="IntenseQuoteChar"/>
    <w:uiPriority w:val="30"/>
    <w:qFormat/>
    <w:rsid w:val="00FE68F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E68FF"/>
    <w:rPr>
      <w:rFonts w:ascii="Calibri" w:eastAsia="Calibri" w:hAnsi="Calibri" w:cs="Calibri"/>
      <w:i/>
      <w:iCs/>
      <w:color w:val="4F81BD" w:themeColor="accent1"/>
    </w:rPr>
  </w:style>
  <w:style w:type="character" w:styleId="IntenseReference">
    <w:name w:val="Intense Reference"/>
    <w:basedOn w:val="DefaultParagraphFont"/>
    <w:uiPriority w:val="32"/>
    <w:qFormat/>
    <w:rsid w:val="00FE68FF"/>
    <w:rPr>
      <w:b/>
      <w:bCs/>
      <w:smallCaps/>
      <w:color w:val="4F81BD" w:themeColor="accent1"/>
      <w:spacing w:val="5"/>
    </w:rPr>
  </w:style>
  <w:style w:type="paragraph" w:styleId="NoSpacing">
    <w:name w:val="No Spacing"/>
    <w:uiPriority w:val="1"/>
    <w:qFormat/>
    <w:rsid w:val="00FE68FF"/>
    <w:rPr>
      <w:rFonts w:ascii="Calibri" w:eastAsia="Calibri" w:hAnsi="Calibri" w:cs="Calibri"/>
    </w:rPr>
  </w:style>
  <w:style w:type="paragraph" w:styleId="Quote">
    <w:name w:val="Quote"/>
    <w:basedOn w:val="Normal"/>
    <w:next w:val="Normal"/>
    <w:link w:val="QuoteChar"/>
    <w:uiPriority w:val="29"/>
    <w:qFormat/>
    <w:rsid w:val="00FE68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E68FF"/>
    <w:rPr>
      <w:rFonts w:ascii="Calibri" w:eastAsia="Calibri" w:hAnsi="Calibri" w:cs="Calibri"/>
      <w:i/>
      <w:iCs/>
      <w:color w:val="404040" w:themeColor="text1" w:themeTint="BF"/>
    </w:rPr>
  </w:style>
  <w:style w:type="character" w:styleId="Strong">
    <w:name w:val="Strong"/>
    <w:basedOn w:val="DefaultParagraphFont"/>
    <w:uiPriority w:val="22"/>
    <w:qFormat/>
    <w:rsid w:val="00FE68FF"/>
    <w:rPr>
      <w:b/>
      <w:bCs/>
    </w:rPr>
  </w:style>
  <w:style w:type="paragraph" w:styleId="Subtitle">
    <w:name w:val="Subtitle"/>
    <w:basedOn w:val="Normal"/>
    <w:next w:val="Normal"/>
    <w:link w:val="SubtitleChar"/>
    <w:uiPriority w:val="11"/>
    <w:qFormat/>
    <w:rsid w:val="00FE68F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FE68FF"/>
    <w:rPr>
      <w:rFonts w:eastAsiaTheme="minorEastAsia"/>
      <w:color w:val="5A5A5A" w:themeColor="text1" w:themeTint="A5"/>
      <w:spacing w:val="15"/>
    </w:rPr>
  </w:style>
  <w:style w:type="character" w:styleId="SubtleEmphasis">
    <w:name w:val="Subtle Emphasis"/>
    <w:basedOn w:val="DefaultParagraphFont"/>
    <w:uiPriority w:val="19"/>
    <w:qFormat/>
    <w:rsid w:val="00FE68FF"/>
    <w:rPr>
      <w:i/>
      <w:iCs/>
      <w:color w:val="404040" w:themeColor="text1" w:themeTint="BF"/>
    </w:rPr>
  </w:style>
  <w:style w:type="character" w:styleId="SubtleReference">
    <w:name w:val="Subtle Reference"/>
    <w:basedOn w:val="DefaultParagraphFont"/>
    <w:uiPriority w:val="31"/>
    <w:qFormat/>
    <w:rsid w:val="00FE68FF"/>
    <w:rPr>
      <w:smallCaps/>
      <w:color w:val="5A5A5A" w:themeColor="text1" w:themeTint="A5"/>
    </w:rPr>
  </w:style>
  <w:style w:type="paragraph" w:styleId="Title">
    <w:name w:val="Title"/>
    <w:basedOn w:val="Normal"/>
    <w:next w:val="Normal"/>
    <w:link w:val="TitleChar"/>
    <w:uiPriority w:val="10"/>
    <w:qFormat/>
    <w:rsid w:val="00FE68F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68F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E68FF"/>
    <w:pPr>
      <w:keepNext/>
      <w:keepLines/>
      <w:spacing w:before="240"/>
      <w:ind w:left="0" w:firstLine="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2025-10-23T00:06:13+00:00</_EndDate>
    <StartDate xmlns="http://schemas.microsoft.com/sharepoint/v3">2025-10-23T00:06:13+00:00</StartDate>
    <Date xmlns="55eb7663-75cc-4f64-9609-52561375e7a6" xsi:nil="true"/>
    <Location xmlns="http://schemas.microsoft.com/sharepoint/v3/fields" xsi:nil="true"/>
    <Meeting_x0020_Type xmlns="734dc620-9a3c-4363-b6b2-552d0a5c0ad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3DA3C1-E2CD-445D-98A9-CC9653635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F965D7-F11F-4352-86A5-3F5FBF73917D}">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3.xml><?xml version="1.0" encoding="utf-8"?>
<ds:datastoreItem xmlns:ds="http://schemas.openxmlformats.org/officeDocument/2006/customXml" ds:itemID="{1E840868-157E-4AF0-9184-B1929DC9E72F}">
  <ds:schemaRefs>
    <ds:schemaRef ds:uri="http://schemas.microsoft.com/sharepoint/v3/contenttype/forms"/>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110</TotalTime>
  <Pages>2</Pages>
  <Words>675</Words>
  <Characters>4094</Characters>
  <Application>Microsoft Office Word</Application>
  <DocSecurity>0</DocSecurity>
  <Lines>68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NAIC</dc:creator>
  <cp:lastModifiedBy>Welker, Greg</cp:lastModifiedBy>
  <cp:revision>30</cp:revision>
  <dcterms:created xsi:type="dcterms:W3CDTF">2026-10-20T18:40:00Z</dcterms:created>
  <dcterms:modified xsi:type="dcterms:W3CDTF">2026-10-22T18:13:00Z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0x010100376674D47D81254AAE898D727025BAAD</vt:lpwstr>
  </property>
  <property fmtid="{D5CDD505-2E9C-101B-9397-08002B2CF9AE}" pid="3" name="Created">
    <vt:filetime>2025-08-28T00:00:00Z</vt:filetime>
  </property>
  <property fmtid="{D5CDD505-2E9C-101B-9397-08002B2CF9AE}" pid="4" name="Creator">
    <vt:lpwstr>Acrobat PDFMaker 25 for Word</vt:lpwstr>
  </property>
  <property fmtid="{D5CDD505-2E9C-101B-9397-08002B2CF9AE}" pid="5" name="LastSaved">
    <vt:filetime>2025-10-23T00:00:00Z</vt:filetime>
  </property>
  <property fmtid="{D5CDD505-2E9C-101B-9397-08002B2CF9AE}" pid="6" name="Producer">
    <vt:lpwstr>Adobe PDF Library 25.1.163</vt:lpwstr>
  </property>
  <property fmtid="{D5CDD505-2E9C-101B-9397-08002B2CF9AE}" pid="7" name="SourceModified">
    <vt:lpwstr/>
  </property>
  <property fmtid="{D5CDD505-2E9C-101B-9397-08002B2CF9AE}" pid="8" name="MediaServiceImageTags">
    <vt:lpwstr/>
  </property>
  <property fmtid="{D5CDD505-2E9C-101B-9397-08002B2CF9AE}" pid="9" name="docLang">
    <vt:lpwstr>en</vt:lpwstr>
  </property>
</Properties>
</file>