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219C3" w14:textId="77777777" w:rsidR="002352C8" w:rsidRPr="00B23917" w:rsidRDefault="002352C8" w:rsidP="002352C8">
      <w:pPr>
        <w:rPr>
          <w:b/>
          <w:bCs/>
          <w:caps/>
          <w:szCs w:val="24"/>
        </w:rPr>
      </w:pPr>
      <w:r w:rsidRPr="00B23917">
        <w:rPr>
          <w:b/>
          <w:bCs/>
          <w:caps/>
          <w:szCs w:val="24"/>
        </w:rPr>
        <w:t>Medicare Secondary Payer (MSP) Responsibilities, Issues and Best Practices in Receivership</w:t>
      </w:r>
    </w:p>
    <w:p w14:paraId="5EFA92A3" w14:textId="77777777" w:rsidR="005775A0" w:rsidRPr="00B23917" w:rsidRDefault="005775A0" w:rsidP="002352C8">
      <w:pPr>
        <w:rPr>
          <w:b/>
          <w:bCs/>
          <w:caps/>
          <w:szCs w:val="24"/>
        </w:rPr>
      </w:pPr>
    </w:p>
    <w:p w14:paraId="4323E8CC" w14:textId="77777777" w:rsidR="00026408" w:rsidRPr="00222909" w:rsidRDefault="00026408" w:rsidP="00026408">
      <w:pPr>
        <w:pStyle w:val="ListParagraph"/>
        <w:numPr>
          <w:ilvl w:val="0"/>
          <w:numId w:val="5"/>
        </w:numPr>
        <w:rPr>
          <w:b/>
          <w:bCs/>
          <w:szCs w:val="24"/>
        </w:rPr>
      </w:pPr>
      <w:r w:rsidRPr="00B23917">
        <w:rPr>
          <w:b/>
          <w:bCs/>
          <w:caps/>
          <w:szCs w:val="24"/>
        </w:rPr>
        <w:t xml:space="preserve">General description  </w:t>
      </w:r>
    </w:p>
    <w:p w14:paraId="2367B329" w14:textId="77777777" w:rsidR="00026408" w:rsidRPr="00222909" w:rsidRDefault="00026408" w:rsidP="005775A0">
      <w:pPr>
        <w:rPr>
          <w:b/>
          <w:bCs/>
          <w:szCs w:val="24"/>
          <w:u w:val="single"/>
        </w:rPr>
      </w:pPr>
    </w:p>
    <w:p w14:paraId="427C597A" w14:textId="6062218C" w:rsidR="005775A0" w:rsidRPr="00222909" w:rsidRDefault="005775A0" w:rsidP="00FD1BEF">
      <w:pPr>
        <w:pStyle w:val="ListParagraph"/>
        <w:numPr>
          <w:ilvl w:val="0"/>
          <w:numId w:val="25"/>
        </w:numPr>
        <w:ind w:left="1080"/>
        <w:rPr>
          <w:b/>
          <w:bCs/>
          <w:szCs w:val="24"/>
        </w:rPr>
      </w:pPr>
      <w:r w:rsidRPr="00222909">
        <w:rPr>
          <w:b/>
          <w:bCs/>
          <w:szCs w:val="24"/>
        </w:rPr>
        <w:t>Executive Summary</w:t>
      </w:r>
    </w:p>
    <w:p w14:paraId="37817729" w14:textId="77777777" w:rsidR="005775A0" w:rsidRPr="00222909" w:rsidRDefault="005775A0" w:rsidP="005775A0">
      <w:pPr>
        <w:jc w:val="center"/>
        <w:rPr>
          <w:b/>
          <w:bCs/>
          <w:szCs w:val="24"/>
          <w:u w:val="single"/>
        </w:rPr>
      </w:pPr>
    </w:p>
    <w:p w14:paraId="705E0726" w14:textId="202098F4" w:rsidR="00771D08" w:rsidRPr="00222909" w:rsidRDefault="00771D08" w:rsidP="00771D08">
      <w:pPr>
        <w:keepNext/>
        <w:jc w:val="both"/>
        <w:rPr>
          <w:szCs w:val="24"/>
        </w:rPr>
      </w:pPr>
      <w:r w:rsidRPr="00222909">
        <w:rPr>
          <w:szCs w:val="24"/>
        </w:rPr>
        <w:t xml:space="preserve">Federal law requires certain </w:t>
      </w:r>
      <w:proofErr w:type="gramStart"/>
      <w:r w:rsidRPr="00222909">
        <w:rPr>
          <w:szCs w:val="24"/>
        </w:rPr>
        <w:t>persons</w:t>
      </w:r>
      <w:proofErr w:type="gramEnd"/>
      <w:r w:rsidRPr="00222909">
        <w:rPr>
          <w:szCs w:val="24"/>
        </w:rPr>
        <w:t xml:space="preserve"> and entities to report specified information to Centers for Medicare &amp; Medicaid Services (CMS) concerning Medicare beneficiaries and to reimburse Medicare when it has made conditional or mistaken payments for which a primary payer, such as an insurer, has or had responsibility. Whether these obligations apply depends on the type of insurance involved, the nature of the claim, the persons or entities involved, the responsibilities of those administering the claim or coverage, and the nature of the receivership.</w:t>
      </w:r>
    </w:p>
    <w:p w14:paraId="354A3C9F" w14:textId="77777777" w:rsidR="00771D08" w:rsidRPr="00222909" w:rsidRDefault="00771D08" w:rsidP="00F41AD4">
      <w:pPr>
        <w:jc w:val="both"/>
        <w:rPr>
          <w:szCs w:val="24"/>
        </w:rPr>
      </w:pPr>
    </w:p>
    <w:p w14:paraId="18B1C74F" w14:textId="11DDE79C" w:rsidR="00457D34" w:rsidRPr="00222909" w:rsidRDefault="005775A0" w:rsidP="00F41AD4">
      <w:pPr>
        <w:jc w:val="both"/>
        <w:rPr>
          <w:szCs w:val="24"/>
        </w:rPr>
      </w:pPr>
      <w:r w:rsidRPr="00222909">
        <w:rPr>
          <w:szCs w:val="24"/>
        </w:rPr>
        <w:t xml:space="preserve">Section </w:t>
      </w:r>
      <w:proofErr w:type="gramStart"/>
      <w:r w:rsidRPr="00222909">
        <w:rPr>
          <w:szCs w:val="24"/>
        </w:rPr>
        <w:t>111 of the</w:t>
      </w:r>
      <w:proofErr w:type="gramEnd"/>
      <w:r w:rsidRPr="00222909">
        <w:rPr>
          <w:szCs w:val="24"/>
        </w:rPr>
        <w:t xml:space="preserve"> </w:t>
      </w:r>
      <w:r w:rsidR="00EB602E" w:rsidRPr="00222909">
        <w:rPr>
          <w:szCs w:val="24"/>
        </w:rPr>
        <w:t xml:space="preserve">of the Medicare, Medicaid, and SCHIP Extension Act of 2007 established reporting requirements under the </w:t>
      </w:r>
      <w:r w:rsidRPr="00222909">
        <w:rPr>
          <w:szCs w:val="24"/>
        </w:rPr>
        <w:t xml:space="preserve">Medicare Secondary Payer Act (MSP) </w:t>
      </w:r>
      <w:r w:rsidR="00EB602E" w:rsidRPr="00222909">
        <w:rPr>
          <w:szCs w:val="24"/>
        </w:rPr>
        <w:t xml:space="preserve">for certain </w:t>
      </w:r>
      <w:r w:rsidRPr="00222909">
        <w:rPr>
          <w:szCs w:val="24"/>
        </w:rPr>
        <w:t>Group Health Plans and Non-Group Health Plans, the la</w:t>
      </w:r>
      <w:r w:rsidR="00EB602E" w:rsidRPr="00222909">
        <w:rPr>
          <w:szCs w:val="24"/>
        </w:rPr>
        <w:t>t</w:t>
      </w:r>
      <w:r w:rsidRPr="00222909">
        <w:rPr>
          <w:szCs w:val="24"/>
        </w:rPr>
        <w:t>ter including liability</w:t>
      </w:r>
      <w:r w:rsidR="00EB602E" w:rsidRPr="00222909">
        <w:rPr>
          <w:szCs w:val="24"/>
        </w:rPr>
        <w:t xml:space="preserve"> insurance (including self-insurance)</w:t>
      </w:r>
      <w:r w:rsidRPr="00222909">
        <w:rPr>
          <w:szCs w:val="24"/>
        </w:rPr>
        <w:t>, no-fault</w:t>
      </w:r>
      <w:r w:rsidR="00EB602E" w:rsidRPr="00222909">
        <w:rPr>
          <w:szCs w:val="24"/>
        </w:rPr>
        <w:t xml:space="preserve"> insurance</w:t>
      </w:r>
      <w:r w:rsidRPr="00222909">
        <w:rPr>
          <w:szCs w:val="24"/>
        </w:rPr>
        <w:t>, and workers</w:t>
      </w:r>
      <w:r w:rsidR="00EB602E" w:rsidRPr="00222909">
        <w:rPr>
          <w:szCs w:val="24"/>
        </w:rPr>
        <w:t>’</w:t>
      </w:r>
      <w:r w:rsidRPr="00222909">
        <w:rPr>
          <w:szCs w:val="24"/>
        </w:rPr>
        <w:t xml:space="preserve"> compensation </w:t>
      </w:r>
      <w:r w:rsidR="00EB602E" w:rsidRPr="00222909">
        <w:rPr>
          <w:szCs w:val="24"/>
        </w:rPr>
        <w:t>insurance.</w:t>
      </w:r>
      <w:r w:rsidRPr="00222909">
        <w:rPr>
          <w:szCs w:val="24"/>
        </w:rPr>
        <w:t xml:space="preserve"> </w:t>
      </w:r>
      <w:r w:rsidR="00EB602E" w:rsidRPr="00222909">
        <w:rPr>
          <w:szCs w:val="24"/>
        </w:rPr>
        <w:t xml:space="preserve"> These requirements obligate responsible reporting entities </w:t>
      </w:r>
      <w:r w:rsidRPr="00222909">
        <w:rPr>
          <w:szCs w:val="24"/>
        </w:rPr>
        <w:t xml:space="preserve">to register </w:t>
      </w:r>
      <w:r w:rsidR="00EB602E" w:rsidRPr="00222909">
        <w:rPr>
          <w:szCs w:val="24"/>
        </w:rPr>
        <w:t xml:space="preserve">with CMS </w:t>
      </w:r>
      <w:r w:rsidRPr="00222909">
        <w:rPr>
          <w:szCs w:val="24"/>
        </w:rPr>
        <w:t xml:space="preserve">and report </w:t>
      </w:r>
      <w:r w:rsidR="00EB602E" w:rsidRPr="00222909">
        <w:rPr>
          <w:szCs w:val="24"/>
        </w:rPr>
        <w:t xml:space="preserve">information concerning </w:t>
      </w:r>
      <w:r w:rsidRPr="00222909">
        <w:rPr>
          <w:szCs w:val="24"/>
        </w:rPr>
        <w:t xml:space="preserve">their responsibility for </w:t>
      </w:r>
      <w:r w:rsidR="00EB602E" w:rsidRPr="00222909">
        <w:rPr>
          <w:szCs w:val="24"/>
        </w:rPr>
        <w:t xml:space="preserve">coverage or </w:t>
      </w:r>
      <w:r w:rsidRPr="00222909">
        <w:rPr>
          <w:szCs w:val="24"/>
        </w:rPr>
        <w:t xml:space="preserve">medically related claim payment obligations </w:t>
      </w:r>
      <w:r w:rsidR="00EB602E" w:rsidRPr="00222909">
        <w:rPr>
          <w:szCs w:val="24"/>
        </w:rPr>
        <w:t xml:space="preserve">involving </w:t>
      </w:r>
      <w:r w:rsidRPr="00222909">
        <w:rPr>
          <w:szCs w:val="24"/>
        </w:rPr>
        <w:t xml:space="preserve">Medicare eligible beneficiaries. </w:t>
      </w:r>
    </w:p>
    <w:p w14:paraId="38525EF9" w14:textId="77777777" w:rsidR="00457D34" w:rsidRPr="00222909" w:rsidRDefault="00457D34" w:rsidP="00F41AD4">
      <w:pPr>
        <w:jc w:val="both"/>
        <w:rPr>
          <w:szCs w:val="24"/>
        </w:rPr>
      </w:pPr>
    </w:p>
    <w:p w14:paraId="0B0DDF1A" w14:textId="19138901" w:rsidR="003E757E" w:rsidRPr="00222909" w:rsidRDefault="005775A0" w:rsidP="00F41AD4">
      <w:pPr>
        <w:jc w:val="both"/>
        <w:rPr>
          <w:szCs w:val="24"/>
        </w:rPr>
      </w:pPr>
      <w:r w:rsidRPr="00222909">
        <w:rPr>
          <w:szCs w:val="24"/>
        </w:rPr>
        <w:t xml:space="preserve">The MSP also includes penalties for non-compliance with its registration and reporting requirements. CMS </w:t>
      </w:r>
      <w:r w:rsidR="00ED53C7">
        <w:rPr>
          <w:szCs w:val="24"/>
        </w:rPr>
        <w:t xml:space="preserve">generally </w:t>
      </w:r>
      <w:r w:rsidRPr="00222909">
        <w:rPr>
          <w:szCs w:val="24"/>
        </w:rPr>
        <w:t xml:space="preserve">requires MSP registration and reporting for insurers undergoing rehabilitation or liquidation proceedings. </w:t>
      </w:r>
      <w:r w:rsidR="00F41AD4" w:rsidRPr="00222909">
        <w:rPr>
          <w:szCs w:val="24"/>
        </w:rPr>
        <w:t xml:space="preserve">There are two foundational obligations. The first is the duty to report (see further detail below). The second obligation is the duty to reimburse. Insurers with payment responsibility must reimburse Medicare when Medicare has made conditional payments or Medicare has mistakenly paid as primary when the insurer was primary. </w:t>
      </w:r>
      <w:r w:rsidR="00FE227D" w:rsidRPr="00222909">
        <w:rPr>
          <w:szCs w:val="24"/>
        </w:rPr>
        <w:t xml:space="preserve">Responsibility is established when a claim is resolved </w:t>
      </w:r>
      <w:proofErr w:type="gramStart"/>
      <w:r w:rsidR="00FE227D" w:rsidRPr="00222909">
        <w:rPr>
          <w:szCs w:val="24"/>
        </w:rPr>
        <w:t>in whole</w:t>
      </w:r>
      <w:proofErr w:type="gramEnd"/>
      <w:r w:rsidR="00FE227D" w:rsidRPr="00222909">
        <w:rPr>
          <w:szCs w:val="24"/>
        </w:rPr>
        <w:t xml:space="preserve"> or in part by judgment, payment conditioned on a compromise, waiver or release of claim, with or without admission of liability, or other means, including the policy obligation itself in the first instance.</w:t>
      </w:r>
    </w:p>
    <w:p w14:paraId="347F30B3" w14:textId="77777777" w:rsidR="003E757E" w:rsidRPr="00222909" w:rsidRDefault="003E757E" w:rsidP="00F41AD4">
      <w:pPr>
        <w:jc w:val="both"/>
        <w:rPr>
          <w:szCs w:val="24"/>
        </w:rPr>
      </w:pPr>
    </w:p>
    <w:p w14:paraId="25F380FB" w14:textId="28A78D9B" w:rsidR="00FE2806" w:rsidRPr="00222909" w:rsidRDefault="003E757E" w:rsidP="00FE2806">
      <w:pPr>
        <w:jc w:val="both"/>
        <w:rPr>
          <w:snapToGrid/>
          <w:szCs w:val="24"/>
        </w:rPr>
      </w:pPr>
      <w:r w:rsidRPr="00222909">
        <w:rPr>
          <w:szCs w:val="24"/>
        </w:rPr>
        <w:t xml:space="preserve">Although related, reporting and reimbursement obligations serve different purposes, may involve different responsible persons or entities, and should be evaluated independently.  </w:t>
      </w:r>
      <w:r w:rsidR="00FE2806" w:rsidRPr="00222909">
        <w:rPr>
          <w:szCs w:val="24"/>
        </w:rPr>
        <w:t>MSP reporting and reimbursement obligations can materially affect the administration of an insurance receivership.</w:t>
      </w:r>
      <w:r w:rsidR="00FE2806" w:rsidRPr="00222909">
        <w:rPr>
          <w:rStyle w:val="FootnoteReference"/>
          <w:szCs w:val="24"/>
        </w:rPr>
        <w:footnoteReference w:id="1"/>
      </w:r>
      <w:r w:rsidR="00FE2806" w:rsidRPr="00222909">
        <w:rPr>
          <w:szCs w:val="24"/>
        </w:rPr>
        <w:t xml:space="preserve"> </w:t>
      </w:r>
      <w:r w:rsidR="002D335A" w:rsidRPr="00222909">
        <w:rPr>
          <w:szCs w:val="24"/>
        </w:rPr>
        <w:t xml:space="preserve">Early identification of each obligation will assist the receiver in establishing appropriate administrative procedures, allocating responsibilities, and avoiding unnecessary delays and other administrative complications during the receivership. </w:t>
      </w:r>
      <w:r w:rsidR="00FE2806" w:rsidRPr="00222909">
        <w:rPr>
          <w:szCs w:val="24"/>
        </w:rPr>
        <w:t>Failure to identify and appropriately administer those obligations may complicate distributions, increase administrative expenses, delay the closing of the receivership estate, and potentially expose the estate or other responsible persons or entities to federal recovery or enforcement efforts.</w:t>
      </w:r>
    </w:p>
    <w:p w14:paraId="5F12F213" w14:textId="77777777" w:rsidR="00F41AD4" w:rsidRPr="00222909" w:rsidRDefault="00F41AD4" w:rsidP="005775A0">
      <w:pPr>
        <w:jc w:val="both"/>
        <w:rPr>
          <w:szCs w:val="24"/>
        </w:rPr>
      </w:pPr>
    </w:p>
    <w:p w14:paraId="7CC53190" w14:textId="06302360" w:rsidR="005775A0" w:rsidRPr="00222909" w:rsidRDefault="005775A0" w:rsidP="005775A0">
      <w:pPr>
        <w:jc w:val="both"/>
        <w:rPr>
          <w:szCs w:val="24"/>
        </w:rPr>
      </w:pPr>
      <w:r w:rsidRPr="00222909">
        <w:rPr>
          <w:szCs w:val="24"/>
        </w:rPr>
        <w:t xml:space="preserve">If a liquidation proceeding triggers one or more guaranty associations, it should be noted that many </w:t>
      </w:r>
      <w:r w:rsidR="004C714B" w:rsidRPr="00222909">
        <w:rPr>
          <w:szCs w:val="24"/>
        </w:rPr>
        <w:t xml:space="preserve">property and casualty </w:t>
      </w:r>
      <w:r w:rsidRPr="00222909">
        <w:rPr>
          <w:szCs w:val="24"/>
        </w:rPr>
        <w:t xml:space="preserve">guaranty associations have successfully argued that they are not “primary plans” </w:t>
      </w:r>
      <w:r w:rsidRPr="00222909">
        <w:rPr>
          <w:szCs w:val="24"/>
        </w:rPr>
        <w:lastRenderedPageBreak/>
        <w:t xml:space="preserve">under the MSP and therefore </w:t>
      </w:r>
      <w:r w:rsidR="009C110D" w:rsidRPr="00222909">
        <w:rPr>
          <w:szCs w:val="24"/>
        </w:rPr>
        <w:t>are not required</w:t>
      </w:r>
      <w:r w:rsidRPr="00222909">
        <w:rPr>
          <w:szCs w:val="24"/>
        </w:rPr>
        <w:t xml:space="preserve"> to reimburse CMS for </w:t>
      </w:r>
      <w:r w:rsidR="00524AD3" w:rsidRPr="00222909">
        <w:rPr>
          <w:szCs w:val="24"/>
        </w:rPr>
        <w:t xml:space="preserve">its </w:t>
      </w:r>
      <w:r w:rsidRPr="00222909">
        <w:rPr>
          <w:szCs w:val="24"/>
        </w:rPr>
        <w:t xml:space="preserve">conditional </w:t>
      </w:r>
      <w:r w:rsidR="009C110D" w:rsidRPr="00222909">
        <w:rPr>
          <w:szCs w:val="24"/>
        </w:rPr>
        <w:t xml:space="preserve">or mistaken </w:t>
      </w:r>
      <w:r w:rsidRPr="00222909">
        <w:rPr>
          <w:szCs w:val="24"/>
        </w:rPr>
        <w:t>payments</w:t>
      </w:r>
      <w:r w:rsidR="009C110D" w:rsidRPr="00222909">
        <w:rPr>
          <w:szCs w:val="24"/>
        </w:rPr>
        <w:t>,</w:t>
      </w:r>
      <w:r w:rsidRPr="00222909">
        <w:rPr>
          <w:szCs w:val="24"/>
        </w:rPr>
        <w:t xml:space="preserve"> and they </w:t>
      </w:r>
      <w:r w:rsidR="009C110D" w:rsidRPr="00222909">
        <w:rPr>
          <w:szCs w:val="24"/>
        </w:rPr>
        <w:t>have also successfully ar</w:t>
      </w:r>
      <w:r w:rsidR="00524AD3" w:rsidRPr="00222909">
        <w:rPr>
          <w:szCs w:val="24"/>
        </w:rPr>
        <w:t>gued</w:t>
      </w:r>
      <w:r w:rsidR="009C110D" w:rsidRPr="00222909">
        <w:rPr>
          <w:szCs w:val="24"/>
        </w:rPr>
        <w:t xml:space="preserve"> that they </w:t>
      </w:r>
      <w:r w:rsidRPr="00222909">
        <w:rPr>
          <w:szCs w:val="24"/>
        </w:rPr>
        <w:t xml:space="preserve">are not </w:t>
      </w:r>
      <w:r w:rsidR="009C110D" w:rsidRPr="00222909">
        <w:rPr>
          <w:szCs w:val="24"/>
        </w:rPr>
        <w:t xml:space="preserve">“applicable plans” </w:t>
      </w:r>
      <w:r w:rsidR="004C714B" w:rsidRPr="00222909">
        <w:rPr>
          <w:szCs w:val="24"/>
        </w:rPr>
        <w:t xml:space="preserve">under the MSP and therefore are not </w:t>
      </w:r>
      <w:r w:rsidRPr="00222909">
        <w:rPr>
          <w:szCs w:val="24"/>
        </w:rPr>
        <w:t>subject to reporting.</w:t>
      </w:r>
    </w:p>
    <w:p w14:paraId="340B6111" w14:textId="77777777" w:rsidR="005775A0" w:rsidRPr="00222909" w:rsidRDefault="005775A0" w:rsidP="007D318F">
      <w:pPr>
        <w:jc w:val="both"/>
        <w:rPr>
          <w:b/>
          <w:bCs/>
          <w:szCs w:val="24"/>
          <w:u w:val="single"/>
        </w:rPr>
      </w:pPr>
    </w:p>
    <w:p w14:paraId="18E5767E" w14:textId="006E9BB3" w:rsidR="00A271C4" w:rsidRPr="00222909" w:rsidRDefault="00A271C4" w:rsidP="00A271C4">
      <w:pPr>
        <w:jc w:val="both"/>
        <w:rPr>
          <w:szCs w:val="24"/>
        </w:rPr>
      </w:pPr>
      <w:r w:rsidRPr="00222909">
        <w:rPr>
          <w:szCs w:val="24"/>
        </w:rPr>
        <w:t>This chapter provides practical guidance for identifying, evaluating, and administering MSP issues commonly encountered in insurance receiverships.  It is intended as a practical resource rather than legal advice. Applicable obligations may vary depending on federal and state law, applicable regulations, CMS guidance, and the facts and circumstances of a particular receivership.  Receivers should consult legal counsel regarding the requirements applicable to their specific receivership.</w:t>
      </w:r>
    </w:p>
    <w:p w14:paraId="59CBDD28" w14:textId="77777777" w:rsidR="00A271C4" w:rsidRPr="00222909" w:rsidRDefault="00A271C4" w:rsidP="00A271C4">
      <w:pPr>
        <w:jc w:val="both"/>
        <w:rPr>
          <w:szCs w:val="24"/>
        </w:rPr>
      </w:pPr>
    </w:p>
    <w:p w14:paraId="599AF60A" w14:textId="12A09450" w:rsidR="005775A0" w:rsidRPr="00222909" w:rsidRDefault="005775A0" w:rsidP="00FD1BEF">
      <w:pPr>
        <w:pStyle w:val="ListParagraph"/>
        <w:numPr>
          <w:ilvl w:val="0"/>
          <w:numId w:val="25"/>
        </w:numPr>
        <w:ind w:left="1080"/>
        <w:jc w:val="both"/>
        <w:rPr>
          <w:b/>
          <w:bCs/>
          <w:szCs w:val="24"/>
        </w:rPr>
      </w:pPr>
      <w:r w:rsidRPr="00222909">
        <w:rPr>
          <w:b/>
          <w:bCs/>
          <w:szCs w:val="24"/>
        </w:rPr>
        <w:t>Glossary</w:t>
      </w:r>
    </w:p>
    <w:p w14:paraId="28DDCBDB" w14:textId="77777777" w:rsidR="005775A0" w:rsidRPr="00222909" w:rsidRDefault="005775A0" w:rsidP="005775A0">
      <w:pPr>
        <w:jc w:val="both"/>
        <w:rPr>
          <w:b/>
          <w:bCs/>
          <w:szCs w:val="24"/>
          <w:u w:val="single"/>
        </w:rPr>
      </w:pPr>
    </w:p>
    <w:p w14:paraId="5FE24B73" w14:textId="77777777" w:rsidR="005775A0" w:rsidRPr="00222909" w:rsidRDefault="005775A0" w:rsidP="00014B62">
      <w:pPr>
        <w:pStyle w:val="ListParagraph"/>
        <w:numPr>
          <w:ilvl w:val="0"/>
          <w:numId w:val="3"/>
        </w:numPr>
        <w:ind w:left="720"/>
        <w:jc w:val="both"/>
        <w:rPr>
          <w:szCs w:val="24"/>
        </w:rPr>
      </w:pPr>
      <w:r w:rsidRPr="00222909">
        <w:rPr>
          <w:szCs w:val="24"/>
        </w:rPr>
        <w:t>CMS = Federal Centers for Medicare and Medicaid Services</w:t>
      </w:r>
    </w:p>
    <w:p w14:paraId="07757224" w14:textId="77777777" w:rsidR="005775A0" w:rsidRPr="00222909" w:rsidRDefault="005775A0" w:rsidP="00014B62">
      <w:pPr>
        <w:pStyle w:val="ListParagraph"/>
        <w:numPr>
          <w:ilvl w:val="0"/>
          <w:numId w:val="3"/>
        </w:numPr>
        <w:ind w:left="720"/>
        <w:jc w:val="both"/>
        <w:rPr>
          <w:szCs w:val="24"/>
        </w:rPr>
      </w:pPr>
      <w:r w:rsidRPr="00222909">
        <w:rPr>
          <w:szCs w:val="24"/>
        </w:rPr>
        <w:t>EDI = Mandatory electronic reporting process where RREs submit GHP and NGHP data to CMS</w:t>
      </w:r>
    </w:p>
    <w:p w14:paraId="3FA8901E" w14:textId="77777777" w:rsidR="005775A0" w:rsidRPr="00222909" w:rsidRDefault="005775A0" w:rsidP="00014B62">
      <w:pPr>
        <w:pStyle w:val="ListParagraph"/>
        <w:numPr>
          <w:ilvl w:val="0"/>
          <w:numId w:val="3"/>
        </w:numPr>
        <w:ind w:left="720"/>
        <w:jc w:val="both"/>
        <w:rPr>
          <w:szCs w:val="24"/>
        </w:rPr>
      </w:pPr>
      <w:r w:rsidRPr="00222909">
        <w:rPr>
          <w:szCs w:val="24"/>
        </w:rPr>
        <w:t>Estate = Receivership Estate</w:t>
      </w:r>
    </w:p>
    <w:p w14:paraId="40AD9BDA" w14:textId="77777777" w:rsidR="005775A0" w:rsidRPr="00222909" w:rsidRDefault="005775A0" w:rsidP="00014B62">
      <w:pPr>
        <w:pStyle w:val="ListParagraph"/>
        <w:numPr>
          <w:ilvl w:val="0"/>
          <w:numId w:val="3"/>
        </w:numPr>
        <w:ind w:left="720"/>
        <w:jc w:val="both"/>
        <w:rPr>
          <w:szCs w:val="24"/>
        </w:rPr>
      </w:pPr>
      <w:r w:rsidRPr="00222909">
        <w:rPr>
          <w:szCs w:val="24"/>
        </w:rPr>
        <w:t xml:space="preserve">Guaranty Association = State based insurance guaranty association for insolvent insurers </w:t>
      </w:r>
    </w:p>
    <w:p w14:paraId="5F40C293" w14:textId="77777777" w:rsidR="005775A0" w:rsidRPr="00222909" w:rsidRDefault="005775A0" w:rsidP="00014B62">
      <w:pPr>
        <w:pStyle w:val="ListParagraph"/>
        <w:numPr>
          <w:ilvl w:val="0"/>
          <w:numId w:val="3"/>
        </w:numPr>
        <w:ind w:left="720"/>
        <w:jc w:val="both"/>
        <w:rPr>
          <w:szCs w:val="24"/>
        </w:rPr>
      </w:pPr>
      <w:r w:rsidRPr="00222909">
        <w:rPr>
          <w:szCs w:val="24"/>
        </w:rPr>
        <w:t>GHP = Group Health Plan</w:t>
      </w:r>
    </w:p>
    <w:p w14:paraId="52756D13" w14:textId="77777777" w:rsidR="005775A0" w:rsidRPr="00222909" w:rsidRDefault="005775A0" w:rsidP="00014B62">
      <w:pPr>
        <w:pStyle w:val="ListParagraph"/>
        <w:numPr>
          <w:ilvl w:val="0"/>
          <w:numId w:val="3"/>
        </w:numPr>
        <w:ind w:left="720"/>
        <w:jc w:val="both"/>
        <w:rPr>
          <w:szCs w:val="24"/>
        </w:rPr>
      </w:pPr>
      <w:r w:rsidRPr="00222909">
        <w:rPr>
          <w:szCs w:val="24"/>
        </w:rPr>
        <w:t>MSP = Medicare Secondary Payer Act</w:t>
      </w:r>
    </w:p>
    <w:p w14:paraId="7DE64C6A" w14:textId="77777777" w:rsidR="005775A0" w:rsidRPr="00222909" w:rsidRDefault="005775A0" w:rsidP="00014B62">
      <w:pPr>
        <w:pStyle w:val="ListParagraph"/>
        <w:numPr>
          <w:ilvl w:val="0"/>
          <w:numId w:val="3"/>
        </w:numPr>
        <w:ind w:left="720"/>
        <w:jc w:val="both"/>
        <w:rPr>
          <w:szCs w:val="24"/>
        </w:rPr>
      </w:pPr>
      <w:r w:rsidRPr="00222909">
        <w:rPr>
          <w:szCs w:val="24"/>
        </w:rPr>
        <w:t>NGHP = Non-Group Health Plan</w:t>
      </w:r>
    </w:p>
    <w:p w14:paraId="070E6889" w14:textId="7FC9DD15" w:rsidR="005775A0" w:rsidRPr="00222909" w:rsidRDefault="005775A0" w:rsidP="00014B62">
      <w:pPr>
        <w:pStyle w:val="ListParagraph"/>
        <w:numPr>
          <w:ilvl w:val="0"/>
          <w:numId w:val="3"/>
        </w:numPr>
        <w:ind w:left="720"/>
        <w:jc w:val="both"/>
        <w:rPr>
          <w:szCs w:val="24"/>
        </w:rPr>
      </w:pPr>
      <w:r w:rsidRPr="00222909">
        <w:rPr>
          <w:szCs w:val="24"/>
        </w:rPr>
        <w:t xml:space="preserve">ORM = Ongoing Responsibility </w:t>
      </w:r>
      <w:r w:rsidR="00524AD3" w:rsidRPr="00222909">
        <w:rPr>
          <w:szCs w:val="24"/>
        </w:rPr>
        <w:t xml:space="preserve">for Medicals </w:t>
      </w:r>
      <w:r w:rsidRPr="00222909">
        <w:rPr>
          <w:szCs w:val="24"/>
        </w:rPr>
        <w:t>for Medicare eligible beneficiary</w:t>
      </w:r>
    </w:p>
    <w:p w14:paraId="53384643" w14:textId="7E336C35" w:rsidR="005775A0" w:rsidRPr="00222909" w:rsidRDefault="005775A0" w:rsidP="00014B62">
      <w:pPr>
        <w:pStyle w:val="ListParagraph"/>
        <w:numPr>
          <w:ilvl w:val="0"/>
          <w:numId w:val="3"/>
        </w:numPr>
        <w:ind w:left="720"/>
        <w:jc w:val="both"/>
        <w:rPr>
          <w:szCs w:val="24"/>
        </w:rPr>
      </w:pPr>
      <w:r w:rsidRPr="00222909">
        <w:rPr>
          <w:szCs w:val="24"/>
        </w:rPr>
        <w:t>RRE = Responsible Reporting Entity</w:t>
      </w:r>
      <w:r w:rsidR="00524AD3" w:rsidRPr="00222909">
        <w:rPr>
          <w:szCs w:val="24"/>
        </w:rPr>
        <w:t xml:space="preserve"> </w:t>
      </w:r>
      <w:r w:rsidRPr="00222909">
        <w:rPr>
          <w:szCs w:val="24"/>
        </w:rPr>
        <w:t>- the person or entity responsible for submitting required information</w:t>
      </w:r>
      <w:r w:rsidR="00B95023" w:rsidRPr="00222909">
        <w:rPr>
          <w:szCs w:val="24"/>
        </w:rPr>
        <w:t xml:space="preserve"> (i.e.</w:t>
      </w:r>
      <w:r w:rsidR="00524AD3" w:rsidRPr="00222909">
        <w:rPr>
          <w:szCs w:val="24"/>
        </w:rPr>
        <w:t>,</w:t>
      </w:r>
      <w:r w:rsidR="00B95023" w:rsidRPr="00222909">
        <w:rPr>
          <w:szCs w:val="24"/>
        </w:rPr>
        <w:t xml:space="preserve"> </w:t>
      </w:r>
      <w:r w:rsidR="00524AD3" w:rsidRPr="00222909">
        <w:rPr>
          <w:szCs w:val="24"/>
        </w:rPr>
        <w:t xml:space="preserve">coverage or </w:t>
      </w:r>
      <w:r w:rsidR="00B95023" w:rsidRPr="00222909">
        <w:rPr>
          <w:szCs w:val="24"/>
        </w:rPr>
        <w:t>claim data)</w:t>
      </w:r>
      <w:r w:rsidRPr="00222909">
        <w:rPr>
          <w:szCs w:val="24"/>
        </w:rPr>
        <w:t xml:space="preserve"> to CMS</w:t>
      </w:r>
      <w:r w:rsidR="00B95023" w:rsidRPr="00222909">
        <w:rPr>
          <w:szCs w:val="24"/>
        </w:rPr>
        <w:t xml:space="preserve"> under Section 111</w:t>
      </w:r>
      <w:r w:rsidRPr="00222909">
        <w:rPr>
          <w:szCs w:val="24"/>
        </w:rPr>
        <w:t>.</w:t>
      </w:r>
      <w:r w:rsidRPr="00222909">
        <w:rPr>
          <w:rStyle w:val="FootnoteReference"/>
          <w:szCs w:val="24"/>
        </w:rPr>
        <w:footnoteReference w:id="2"/>
      </w:r>
      <w:r w:rsidRPr="00222909">
        <w:rPr>
          <w:szCs w:val="24"/>
        </w:rPr>
        <w:t xml:space="preserve">  The identity of the RRE depends on applicable law and CMS requirements and may be affected by the nature of the coverage, the type of claim, and the structure through which claims are administered and funded or coverage is administered and provided.</w:t>
      </w:r>
      <w:r w:rsidRPr="00222909">
        <w:rPr>
          <w:rStyle w:val="FootnoteReference"/>
          <w:szCs w:val="24"/>
        </w:rPr>
        <w:footnoteReference w:id="3"/>
      </w:r>
    </w:p>
    <w:p w14:paraId="30EC6690" w14:textId="77777777" w:rsidR="005775A0" w:rsidRPr="00222909" w:rsidRDefault="005775A0" w:rsidP="00014B62">
      <w:pPr>
        <w:pStyle w:val="ListParagraph"/>
        <w:jc w:val="both"/>
        <w:rPr>
          <w:szCs w:val="24"/>
        </w:rPr>
      </w:pPr>
    </w:p>
    <w:p w14:paraId="78275D34" w14:textId="4479779D" w:rsidR="005775A0" w:rsidRPr="00222909" w:rsidRDefault="005775A0" w:rsidP="00014B62">
      <w:pPr>
        <w:pStyle w:val="ListParagraph"/>
        <w:jc w:val="both"/>
        <w:rPr>
          <w:szCs w:val="24"/>
        </w:rPr>
      </w:pPr>
      <w:r w:rsidRPr="00222909">
        <w:rPr>
          <w:szCs w:val="24"/>
        </w:rPr>
        <w:t>Because operational responsibilities in receivership differ from those in the ordinary operation of an insurance company, the receiver should determine, in consultation with counsel and affected parties as appropriate, which persons or entities are legally responsible for required reporting, and which will perform the associated reporting functions. The receiver should seek agreement regarding the allocation of operational responsibilities, maintain documentation reflecting that allocation, and recognize that an operational agreement does not alter responsibilities imposed by applicable law or CMS guidance.</w:t>
      </w:r>
    </w:p>
    <w:p w14:paraId="4FFDFDBA" w14:textId="77777777" w:rsidR="005775A0" w:rsidRPr="00222909" w:rsidRDefault="005775A0" w:rsidP="00014B62">
      <w:pPr>
        <w:pStyle w:val="ListParagraph"/>
        <w:numPr>
          <w:ilvl w:val="0"/>
          <w:numId w:val="3"/>
        </w:numPr>
        <w:ind w:left="720"/>
        <w:jc w:val="both"/>
        <w:rPr>
          <w:szCs w:val="24"/>
        </w:rPr>
      </w:pPr>
      <w:r w:rsidRPr="00222909">
        <w:rPr>
          <w:szCs w:val="24"/>
        </w:rPr>
        <w:t>RRE # = Unique Identification Number assigned to RRE at registration</w:t>
      </w:r>
    </w:p>
    <w:p w14:paraId="5DFB9C7D" w14:textId="7A2F81F3" w:rsidR="005775A0" w:rsidRPr="00222909" w:rsidRDefault="005775A0" w:rsidP="00014B62">
      <w:pPr>
        <w:pStyle w:val="ListParagraph"/>
        <w:numPr>
          <w:ilvl w:val="0"/>
          <w:numId w:val="3"/>
        </w:numPr>
        <w:ind w:left="720"/>
        <w:jc w:val="both"/>
        <w:rPr>
          <w:szCs w:val="24"/>
        </w:rPr>
      </w:pPr>
      <w:r w:rsidRPr="00222909">
        <w:rPr>
          <w:szCs w:val="24"/>
        </w:rPr>
        <w:t xml:space="preserve">TPOC = Total Payment Obligation to </w:t>
      </w:r>
      <w:r w:rsidR="00524AD3" w:rsidRPr="00222909">
        <w:rPr>
          <w:szCs w:val="24"/>
        </w:rPr>
        <w:t xml:space="preserve">the </w:t>
      </w:r>
      <w:r w:rsidRPr="00222909">
        <w:rPr>
          <w:szCs w:val="24"/>
        </w:rPr>
        <w:t>Claimant for Medicare eligible beneficiary</w:t>
      </w:r>
    </w:p>
    <w:p w14:paraId="18AF5209" w14:textId="77777777" w:rsidR="005775A0" w:rsidRPr="00222909" w:rsidRDefault="005775A0" w:rsidP="00014B62">
      <w:pPr>
        <w:pStyle w:val="ListParagraph"/>
        <w:numPr>
          <w:ilvl w:val="0"/>
          <w:numId w:val="3"/>
        </w:numPr>
        <w:ind w:left="720"/>
        <w:jc w:val="both"/>
        <w:rPr>
          <w:szCs w:val="24"/>
        </w:rPr>
      </w:pPr>
      <w:r w:rsidRPr="00222909">
        <w:rPr>
          <w:szCs w:val="24"/>
        </w:rPr>
        <w:t>Covered Claims = Claims covered by one or more Guaranty Association</w:t>
      </w:r>
    </w:p>
    <w:p w14:paraId="18EAE8F5" w14:textId="77777777" w:rsidR="005775A0" w:rsidRPr="00222909" w:rsidRDefault="005775A0" w:rsidP="00014B62">
      <w:pPr>
        <w:pStyle w:val="ListParagraph"/>
        <w:numPr>
          <w:ilvl w:val="0"/>
          <w:numId w:val="3"/>
        </w:numPr>
        <w:ind w:left="720"/>
        <w:jc w:val="both"/>
        <w:rPr>
          <w:szCs w:val="24"/>
        </w:rPr>
      </w:pPr>
      <w:r w:rsidRPr="00222909">
        <w:rPr>
          <w:szCs w:val="24"/>
        </w:rPr>
        <w:t>Uncovered Claims = Claim or Claim Component Not Covered by a Guaranty Association</w:t>
      </w:r>
    </w:p>
    <w:p w14:paraId="06F7AFA3" w14:textId="77777777" w:rsidR="005775A0" w:rsidRPr="00222909" w:rsidRDefault="005775A0" w:rsidP="005775A0">
      <w:pPr>
        <w:jc w:val="both"/>
        <w:rPr>
          <w:szCs w:val="24"/>
          <w:u w:val="single"/>
        </w:rPr>
      </w:pPr>
    </w:p>
    <w:p w14:paraId="1E70EEBF" w14:textId="77777777" w:rsidR="005775A0" w:rsidRPr="00222909" w:rsidRDefault="005775A0" w:rsidP="00C0467A">
      <w:pPr>
        <w:pStyle w:val="ListParagraph"/>
        <w:jc w:val="both"/>
        <w:rPr>
          <w:szCs w:val="24"/>
        </w:rPr>
      </w:pPr>
    </w:p>
    <w:p w14:paraId="529A875F" w14:textId="78DCC017" w:rsidR="005775A0" w:rsidRPr="00B23917" w:rsidRDefault="005775A0" w:rsidP="005775A0">
      <w:pPr>
        <w:pStyle w:val="ListParagraph"/>
        <w:numPr>
          <w:ilvl w:val="0"/>
          <w:numId w:val="5"/>
        </w:numPr>
        <w:rPr>
          <w:b/>
          <w:bCs/>
          <w:caps/>
          <w:szCs w:val="24"/>
        </w:rPr>
      </w:pPr>
      <w:r w:rsidRPr="00B23917">
        <w:rPr>
          <w:b/>
          <w:bCs/>
          <w:caps/>
          <w:szCs w:val="24"/>
        </w:rPr>
        <w:t xml:space="preserve">Parties Involved  </w:t>
      </w:r>
    </w:p>
    <w:p w14:paraId="04B093A1" w14:textId="77777777" w:rsidR="007D0B98" w:rsidRPr="00222909" w:rsidRDefault="007D0B98" w:rsidP="001B4260">
      <w:pPr>
        <w:jc w:val="both"/>
        <w:rPr>
          <w:szCs w:val="24"/>
        </w:rPr>
      </w:pPr>
    </w:p>
    <w:p w14:paraId="4969C734" w14:textId="77777777" w:rsidR="001B4260" w:rsidRPr="00222909" w:rsidRDefault="001B4260" w:rsidP="001B4260">
      <w:pPr>
        <w:jc w:val="both"/>
        <w:rPr>
          <w:snapToGrid/>
          <w:szCs w:val="24"/>
        </w:rPr>
      </w:pPr>
      <w:r w:rsidRPr="00222909">
        <w:rPr>
          <w:szCs w:val="24"/>
        </w:rPr>
        <w:t>MSP reporting and reimbursement obligations generally may arise in insurance receiverships involving liability insurance (including self-insurance), no-fault insurance, workers’ compensation insurance, and group health plans.</w:t>
      </w:r>
      <w:r w:rsidRPr="00222909">
        <w:rPr>
          <w:rStyle w:val="FootnoteReference"/>
          <w:szCs w:val="24"/>
        </w:rPr>
        <w:footnoteReference w:id="4"/>
      </w:r>
    </w:p>
    <w:p w14:paraId="7A0BE0BE" w14:textId="77777777" w:rsidR="001B4260" w:rsidRPr="00222909" w:rsidRDefault="001B4260" w:rsidP="001B4260">
      <w:pPr>
        <w:pStyle w:val="ListParagraph"/>
        <w:jc w:val="both"/>
        <w:rPr>
          <w:szCs w:val="24"/>
        </w:rPr>
      </w:pPr>
    </w:p>
    <w:p w14:paraId="34B9C479" w14:textId="77777777" w:rsidR="001B4260" w:rsidRPr="00222909" w:rsidRDefault="001B4260" w:rsidP="001B4260">
      <w:pPr>
        <w:jc w:val="both"/>
        <w:rPr>
          <w:szCs w:val="24"/>
        </w:rPr>
      </w:pPr>
      <w:r w:rsidRPr="00222909">
        <w:rPr>
          <w:szCs w:val="24"/>
        </w:rPr>
        <w:t>The MSP statute generally provides that Medicare is a secondary payer when another insurer or plan has responsibility for payment.</w:t>
      </w:r>
      <w:r w:rsidRPr="00222909">
        <w:rPr>
          <w:rStyle w:val="FootnoteReference"/>
          <w:szCs w:val="24"/>
        </w:rPr>
        <w:footnoteReference w:id="5"/>
      </w:r>
      <w:r w:rsidRPr="00222909">
        <w:rPr>
          <w:szCs w:val="24"/>
        </w:rPr>
        <w:t xml:space="preserve">  As a result, insurers and other responsible persons or entities may have obligations to report information to CMS and reimburse Medicare for “conditional” or mistaken payments made on behalf of Medicare beneficiaries.  Medicare may make a conditional payment when the primary payer has not made, or cannot reasonably be expected to make, prompt payment.</w:t>
      </w:r>
      <w:r w:rsidRPr="00222909">
        <w:rPr>
          <w:rStyle w:val="FootnoteReference"/>
          <w:szCs w:val="24"/>
        </w:rPr>
        <w:footnoteReference w:id="6"/>
      </w:r>
    </w:p>
    <w:p w14:paraId="55B31BB7" w14:textId="77777777" w:rsidR="001B4260" w:rsidRPr="00222909" w:rsidRDefault="001B4260" w:rsidP="001B4260">
      <w:pPr>
        <w:pStyle w:val="ListParagraph"/>
        <w:jc w:val="both"/>
        <w:rPr>
          <w:szCs w:val="24"/>
        </w:rPr>
      </w:pPr>
    </w:p>
    <w:p w14:paraId="533B1971" w14:textId="77777777" w:rsidR="001B4260" w:rsidRPr="00222909" w:rsidRDefault="001B4260" w:rsidP="001B4260">
      <w:pPr>
        <w:jc w:val="both"/>
        <w:rPr>
          <w:szCs w:val="24"/>
        </w:rPr>
      </w:pPr>
      <w:r w:rsidRPr="00222909">
        <w:rPr>
          <w:szCs w:val="24"/>
        </w:rPr>
        <w:t>Receivers should evaluate potential MSP obligations as early as practicable after appointment. Early identification allows the receiver to establish appropriate administrative procedures, coordinate responsibilities among affected persons and entities, collect and preserve necessary records and data, and reduce the likelihood of delays, additional administrative expense, or other adverse consequences arising from unresolved MSP obligations.</w:t>
      </w:r>
    </w:p>
    <w:p w14:paraId="087B231C" w14:textId="77777777" w:rsidR="001B4260" w:rsidRPr="00222909" w:rsidRDefault="001B4260" w:rsidP="001B4260">
      <w:pPr>
        <w:keepNext/>
        <w:jc w:val="both"/>
        <w:rPr>
          <w:szCs w:val="24"/>
        </w:rPr>
      </w:pPr>
    </w:p>
    <w:p w14:paraId="0D4821A7" w14:textId="50D4A2EC" w:rsidR="005775A0" w:rsidRPr="00222909" w:rsidRDefault="005775A0" w:rsidP="001B4260">
      <w:pPr>
        <w:keepNext/>
        <w:jc w:val="both"/>
        <w:rPr>
          <w:szCs w:val="24"/>
        </w:rPr>
      </w:pPr>
      <w:r w:rsidRPr="00222909">
        <w:rPr>
          <w:szCs w:val="24"/>
        </w:rPr>
        <w:t>MSP compliance frequently requires coordination among multiple persons and entities depending on the nature of the insurer’s business, the types of claims involved, who is administering the claim or providing coverage, who is making payment, and the nature of the receivership.  Early identification of the role of each person or entity involved will assist the receiver in establishing appropriate administrative procedures, coordinating responsibilities, administering the estate efficiently, and reducing the likelihood of reporting errors, unnecessary disputes, and delays in closing the receivership estate.</w:t>
      </w:r>
    </w:p>
    <w:p w14:paraId="63C788EC" w14:textId="77777777" w:rsidR="001B4260" w:rsidRPr="00B23917" w:rsidRDefault="001B4260" w:rsidP="00935FEB">
      <w:pPr>
        <w:pStyle w:val="ListParagraph"/>
        <w:widowControl/>
        <w:spacing w:after="160" w:line="276" w:lineRule="auto"/>
        <w:ind w:left="2160"/>
        <w:rPr>
          <w:szCs w:val="24"/>
        </w:rPr>
      </w:pPr>
    </w:p>
    <w:p w14:paraId="6155D619" w14:textId="58E82473" w:rsidR="005775A0" w:rsidRPr="00B23917" w:rsidRDefault="00935FEB" w:rsidP="00FD1BEF">
      <w:pPr>
        <w:pStyle w:val="ListParagraph"/>
        <w:widowControl/>
        <w:numPr>
          <w:ilvl w:val="0"/>
          <w:numId w:val="18"/>
        </w:numPr>
        <w:spacing w:after="160" w:line="276" w:lineRule="auto"/>
        <w:ind w:left="1080"/>
        <w:rPr>
          <w:b/>
          <w:bCs/>
          <w:szCs w:val="24"/>
        </w:rPr>
      </w:pPr>
      <w:r w:rsidRPr="00222909">
        <w:rPr>
          <w:b/>
          <w:bCs/>
          <w:szCs w:val="24"/>
        </w:rPr>
        <w:t>Federal Centers for Medicare and Medicaid Services</w:t>
      </w:r>
      <w:r w:rsidRPr="00B23917">
        <w:rPr>
          <w:b/>
          <w:bCs/>
          <w:szCs w:val="24"/>
        </w:rPr>
        <w:t xml:space="preserve"> (</w:t>
      </w:r>
      <w:r w:rsidR="005775A0" w:rsidRPr="00B23917">
        <w:rPr>
          <w:b/>
          <w:bCs/>
          <w:szCs w:val="24"/>
        </w:rPr>
        <w:t>CMS</w:t>
      </w:r>
      <w:r w:rsidRPr="00B23917">
        <w:rPr>
          <w:b/>
          <w:bCs/>
          <w:szCs w:val="24"/>
        </w:rPr>
        <w:t>)</w:t>
      </w:r>
    </w:p>
    <w:p w14:paraId="3503732C" w14:textId="77777777" w:rsidR="005775A0" w:rsidRPr="00222909" w:rsidRDefault="005775A0" w:rsidP="00836AB4">
      <w:pPr>
        <w:jc w:val="both"/>
        <w:rPr>
          <w:szCs w:val="24"/>
        </w:rPr>
      </w:pPr>
      <w:r w:rsidRPr="00222909">
        <w:rPr>
          <w:szCs w:val="24"/>
        </w:rPr>
        <w:t>CMS administers the Medicare program and oversees MSP reporting and reimbursement requirements with assistance from its contractors.</w:t>
      </w:r>
      <w:r w:rsidRPr="00222909">
        <w:rPr>
          <w:rStyle w:val="FootnoteReference"/>
          <w:szCs w:val="24"/>
        </w:rPr>
        <w:footnoteReference w:id="7"/>
      </w:r>
      <w:r w:rsidRPr="00222909">
        <w:rPr>
          <w:szCs w:val="24"/>
        </w:rPr>
        <w:t xml:space="preserve">  CMS maintains systems for reporting and carries out Medicare’s reporting and recovery processes.</w:t>
      </w:r>
      <w:r w:rsidRPr="00222909">
        <w:rPr>
          <w:rStyle w:val="FootnoteReference"/>
          <w:szCs w:val="24"/>
        </w:rPr>
        <w:footnoteReference w:id="8"/>
      </w:r>
    </w:p>
    <w:p w14:paraId="60661CA6" w14:textId="77777777" w:rsidR="005775A0" w:rsidRPr="00222909" w:rsidRDefault="005775A0" w:rsidP="005775A0">
      <w:pPr>
        <w:pStyle w:val="ListParagraph"/>
        <w:ind w:left="1980"/>
        <w:jc w:val="both"/>
        <w:rPr>
          <w:szCs w:val="24"/>
        </w:rPr>
      </w:pPr>
    </w:p>
    <w:p w14:paraId="4865F8F3" w14:textId="77777777" w:rsidR="005775A0" w:rsidRPr="00222909" w:rsidRDefault="005775A0" w:rsidP="001E17A6">
      <w:pPr>
        <w:pStyle w:val="ListParagraph"/>
        <w:widowControl/>
        <w:numPr>
          <w:ilvl w:val="0"/>
          <w:numId w:val="18"/>
        </w:numPr>
        <w:ind w:left="1080"/>
        <w:jc w:val="both"/>
        <w:rPr>
          <w:b/>
          <w:bCs/>
          <w:szCs w:val="24"/>
        </w:rPr>
      </w:pPr>
      <w:r w:rsidRPr="00222909">
        <w:rPr>
          <w:b/>
          <w:bCs/>
          <w:szCs w:val="24"/>
        </w:rPr>
        <w:t>United States Department of the Treasury</w:t>
      </w:r>
    </w:p>
    <w:p w14:paraId="4665AB9B" w14:textId="77777777" w:rsidR="001E17A6" w:rsidRPr="00222909" w:rsidRDefault="001E17A6" w:rsidP="001E17A6">
      <w:pPr>
        <w:pStyle w:val="ListParagraph"/>
        <w:widowControl/>
        <w:ind w:left="1080"/>
        <w:jc w:val="both"/>
        <w:rPr>
          <w:b/>
          <w:bCs/>
          <w:szCs w:val="24"/>
        </w:rPr>
      </w:pPr>
    </w:p>
    <w:p w14:paraId="0B0C6AA8" w14:textId="77777777" w:rsidR="005775A0" w:rsidRPr="00222909" w:rsidRDefault="005775A0" w:rsidP="00836AB4">
      <w:pPr>
        <w:jc w:val="both"/>
        <w:rPr>
          <w:szCs w:val="24"/>
        </w:rPr>
      </w:pPr>
      <w:r w:rsidRPr="00222909">
        <w:rPr>
          <w:szCs w:val="24"/>
        </w:rPr>
        <w:t>Upon referral by CMS, the Department of the Treasury administers the collection of delinquent MSP debts through its centralized debt collection programs and, where appropriate, may refer matters to the Department of Justice (DOJ).</w:t>
      </w:r>
      <w:r w:rsidRPr="00222909">
        <w:rPr>
          <w:rStyle w:val="FootnoteReference"/>
          <w:szCs w:val="24"/>
        </w:rPr>
        <w:footnoteReference w:id="9"/>
      </w:r>
    </w:p>
    <w:p w14:paraId="7664637A" w14:textId="77777777" w:rsidR="005775A0" w:rsidRPr="00222909" w:rsidRDefault="005775A0" w:rsidP="005775A0">
      <w:pPr>
        <w:pStyle w:val="ListParagraph"/>
        <w:jc w:val="both"/>
        <w:rPr>
          <w:b/>
          <w:bCs/>
          <w:szCs w:val="24"/>
        </w:rPr>
      </w:pPr>
    </w:p>
    <w:p w14:paraId="04494539" w14:textId="60AA5B4E" w:rsidR="005775A0" w:rsidRPr="00B23917" w:rsidRDefault="00935FEB" w:rsidP="00FD1BEF">
      <w:pPr>
        <w:pStyle w:val="ListParagraph"/>
        <w:widowControl/>
        <w:numPr>
          <w:ilvl w:val="0"/>
          <w:numId w:val="18"/>
        </w:numPr>
        <w:spacing w:after="160" w:line="276" w:lineRule="auto"/>
        <w:ind w:left="1080"/>
        <w:rPr>
          <w:b/>
          <w:bCs/>
          <w:szCs w:val="24"/>
        </w:rPr>
      </w:pPr>
      <w:r w:rsidRPr="00B23917">
        <w:rPr>
          <w:b/>
          <w:bCs/>
          <w:szCs w:val="24"/>
        </w:rPr>
        <w:t>Department of Justice (</w:t>
      </w:r>
      <w:r w:rsidR="005775A0" w:rsidRPr="00B23917">
        <w:rPr>
          <w:b/>
          <w:bCs/>
          <w:szCs w:val="24"/>
        </w:rPr>
        <w:t>DOJ</w:t>
      </w:r>
      <w:r w:rsidRPr="00B23917">
        <w:rPr>
          <w:b/>
          <w:bCs/>
          <w:szCs w:val="24"/>
        </w:rPr>
        <w:t>)</w:t>
      </w:r>
      <w:r w:rsidR="005775A0" w:rsidRPr="00B23917">
        <w:rPr>
          <w:b/>
          <w:bCs/>
          <w:szCs w:val="24"/>
        </w:rPr>
        <w:t xml:space="preserve"> </w:t>
      </w:r>
    </w:p>
    <w:p w14:paraId="09F13F9A" w14:textId="77777777" w:rsidR="005775A0" w:rsidRPr="00222909" w:rsidRDefault="005775A0" w:rsidP="00836AB4">
      <w:pPr>
        <w:jc w:val="both"/>
        <w:rPr>
          <w:szCs w:val="24"/>
        </w:rPr>
      </w:pPr>
      <w:r w:rsidRPr="00222909">
        <w:rPr>
          <w:szCs w:val="24"/>
        </w:rPr>
        <w:t>Upon referral, the DOJ may initiate or participate in litigation to enforce MSP obligations and represent the interests of the United States in litigation involving MSP claims.</w:t>
      </w:r>
      <w:r w:rsidRPr="00222909">
        <w:rPr>
          <w:rStyle w:val="FootnoteReference"/>
          <w:szCs w:val="24"/>
        </w:rPr>
        <w:footnoteReference w:id="10"/>
      </w:r>
    </w:p>
    <w:p w14:paraId="7476E9C1" w14:textId="77777777" w:rsidR="00836AB4" w:rsidRPr="00222909" w:rsidRDefault="00836AB4" w:rsidP="00836AB4">
      <w:pPr>
        <w:jc w:val="both"/>
        <w:rPr>
          <w:szCs w:val="24"/>
        </w:rPr>
      </w:pPr>
    </w:p>
    <w:p w14:paraId="0721AAA6" w14:textId="5509CFD4" w:rsidR="005775A0" w:rsidRPr="00222909" w:rsidRDefault="005775A0" w:rsidP="00836AB4">
      <w:pPr>
        <w:jc w:val="both"/>
        <w:rPr>
          <w:szCs w:val="24"/>
        </w:rPr>
      </w:pPr>
      <w:r w:rsidRPr="00222909">
        <w:rPr>
          <w:szCs w:val="24"/>
        </w:rPr>
        <w:t>Separately, the DOJ coordinates the review of federal claims during the 31 U.S.C. § 3713 release process.</w:t>
      </w:r>
      <w:r w:rsidRPr="00222909">
        <w:rPr>
          <w:rStyle w:val="FootnoteReference"/>
          <w:szCs w:val="24"/>
        </w:rPr>
        <w:footnoteReference w:id="11"/>
      </w:r>
      <w:r w:rsidRPr="00222909">
        <w:rPr>
          <w:szCs w:val="24"/>
        </w:rPr>
        <w:t xml:space="preserve">  Historically, the DOJ has examined MSP compliance during that process, although MSP obligations have generally been excluded from the resulting release.</w:t>
      </w:r>
    </w:p>
    <w:p w14:paraId="383561CB" w14:textId="77777777" w:rsidR="00935FEB" w:rsidRPr="00222909" w:rsidRDefault="00935FEB" w:rsidP="00836AB4">
      <w:pPr>
        <w:jc w:val="both"/>
        <w:rPr>
          <w:szCs w:val="24"/>
        </w:rPr>
      </w:pPr>
    </w:p>
    <w:p w14:paraId="577C5557" w14:textId="7C3B72EB" w:rsidR="005775A0" w:rsidRPr="00B23917" w:rsidRDefault="005775A0" w:rsidP="00FD1BEF">
      <w:pPr>
        <w:pStyle w:val="ListParagraph"/>
        <w:widowControl/>
        <w:numPr>
          <w:ilvl w:val="0"/>
          <w:numId w:val="18"/>
        </w:numPr>
        <w:spacing w:after="160" w:line="276" w:lineRule="auto"/>
        <w:ind w:left="1080"/>
        <w:rPr>
          <w:b/>
          <w:bCs/>
          <w:szCs w:val="24"/>
        </w:rPr>
      </w:pPr>
      <w:r w:rsidRPr="00B23917">
        <w:rPr>
          <w:b/>
          <w:bCs/>
          <w:szCs w:val="24"/>
        </w:rPr>
        <w:t>P&amp;C G</w:t>
      </w:r>
      <w:r w:rsidR="00836AB4" w:rsidRPr="00B23917">
        <w:rPr>
          <w:b/>
          <w:bCs/>
          <w:szCs w:val="24"/>
        </w:rPr>
        <w:t>uaranty Fund</w:t>
      </w:r>
      <w:r w:rsidR="00C20FD5" w:rsidRPr="00B23917">
        <w:rPr>
          <w:b/>
          <w:bCs/>
          <w:szCs w:val="24"/>
        </w:rPr>
        <w:t>s</w:t>
      </w:r>
      <w:r w:rsidRPr="00B23917">
        <w:rPr>
          <w:b/>
          <w:bCs/>
          <w:szCs w:val="24"/>
        </w:rPr>
        <w:t xml:space="preserve"> and L&amp;H</w:t>
      </w:r>
      <w:r w:rsidR="00836AB4" w:rsidRPr="00B23917">
        <w:rPr>
          <w:b/>
          <w:bCs/>
          <w:szCs w:val="24"/>
        </w:rPr>
        <w:t xml:space="preserve"> Guaranty Associations</w:t>
      </w:r>
    </w:p>
    <w:p w14:paraId="57E2E051" w14:textId="0082AEF1" w:rsidR="005775A0" w:rsidRPr="00222909" w:rsidRDefault="005775A0" w:rsidP="00836AB4">
      <w:pPr>
        <w:keepNext/>
        <w:jc w:val="both"/>
        <w:rPr>
          <w:szCs w:val="24"/>
        </w:rPr>
      </w:pPr>
      <w:r w:rsidRPr="00222909">
        <w:rPr>
          <w:szCs w:val="24"/>
        </w:rPr>
        <w:t xml:space="preserve">Property and casualty guaranty </w:t>
      </w:r>
      <w:r w:rsidR="00D460CB" w:rsidRPr="00222909">
        <w:rPr>
          <w:szCs w:val="24"/>
        </w:rPr>
        <w:t>funds</w:t>
      </w:r>
      <w:r w:rsidRPr="00222909">
        <w:rPr>
          <w:szCs w:val="24"/>
        </w:rPr>
        <w:t xml:space="preserve"> </w:t>
      </w:r>
      <w:r w:rsidR="00524AD3" w:rsidRPr="00222909">
        <w:rPr>
          <w:szCs w:val="24"/>
        </w:rPr>
        <w:t xml:space="preserve">generally </w:t>
      </w:r>
      <w:r w:rsidRPr="00222909">
        <w:rPr>
          <w:szCs w:val="24"/>
        </w:rPr>
        <w:t>assume responsibility for administering covered claims in liquidation</w:t>
      </w:r>
      <w:r w:rsidR="00937EC0" w:rsidRPr="00937EC0">
        <w:t xml:space="preserve"> </w:t>
      </w:r>
      <w:r w:rsidR="00937EC0">
        <w:t>subject to the terms, conditions, and limitations of their authorizing statutes</w:t>
      </w:r>
      <w:r w:rsidRPr="00222909">
        <w:rPr>
          <w:szCs w:val="24"/>
        </w:rPr>
        <w:t xml:space="preserve">. </w:t>
      </w:r>
      <w:r w:rsidR="00C20FD5" w:rsidRPr="00222909">
        <w:rPr>
          <w:szCs w:val="24"/>
        </w:rPr>
        <w:t xml:space="preserve">P&amp;C </w:t>
      </w:r>
      <w:r w:rsidR="00D460CB" w:rsidRPr="00222909">
        <w:rPr>
          <w:szCs w:val="24"/>
        </w:rPr>
        <w:t>g</w:t>
      </w:r>
      <w:r w:rsidR="00C20FD5" w:rsidRPr="00222909">
        <w:rPr>
          <w:szCs w:val="24"/>
        </w:rPr>
        <w:t xml:space="preserve">uaranty </w:t>
      </w:r>
      <w:r w:rsidR="00D460CB" w:rsidRPr="00222909">
        <w:rPr>
          <w:szCs w:val="24"/>
        </w:rPr>
        <w:t>f</w:t>
      </w:r>
      <w:r w:rsidR="00C20FD5" w:rsidRPr="00222909">
        <w:rPr>
          <w:szCs w:val="24"/>
        </w:rPr>
        <w:t xml:space="preserve">unds are </w:t>
      </w:r>
      <w:r w:rsidR="00A94797" w:rsidRPr="00222909">
        <w:rPr>
          <w:szCs w:val="24"/>
        </w:rPr>
        <w:t xml:space="preserve">involved parties in liquidation largely due to worker’s compensation and </w:t>
      </w:r>
      <w:r w:rsidR="00935FEB" w:rsidRPr="00222909">
        <w:rPr>
          <w:szCs w:val="24"/>
        </w:rPr>
        <w:t xml:space="preserve">certain other lines. </w:t>
      </w:r>
      <w:r w:rsidRPr="00222909">
        <w:rPr>
          <w:szCs w:val="24"/>
        </w:rPr>
        <w:t>Because responsibility for claim administration may shift from the insurer to one or more guaranty associations, in whole or in part, coordination between the receiver and the guaranty associations is important to ensure a clear understanding of their respective MSP responsibilities and the procedures for administering them.</w:t>
      </w:r>
    </w:p>
    <w:p w14:paraId="35C46AFA" w14:textId="77777777" w:rsidR="005775A0" w:rsidRPr="00222909" w:rsidRDefault="005775A0" w:rsidP="005775A0">
      <w:pPr>
        <w:pStyle w:val="ListParagraph"/>
        <w:keepNext/>
        <w:jc w:val="both"/>
        <w:rPr>
          <w:szCs w:val="24"/>
        </w:rPr>
      </w:pPr>
    </w:p>
    <w:p w14:paraId="4B48D3B5" w14:textId="6383415D" w:rsidR="005775A0" w:rsidRPr="00222909" w:rsidRDefault="005775A0" w:rsidP="00836AB4">
      <w:pPr>
        <w:jc w:val="both"/>
        <w:rPr>
          <w:szCs w:val="24"/>
        </w:rPr>
      </w:pPr>
      <w:r w:rsidRPr="00222909">
        <w:rPr>
          <w:szCs w:val="24"/>
        </w:rPr>
        <w:t>MSP issues arise less frequently in life and health receiverships but may occur where group health coverage is involved. Receivers administering these estates should determine whether continuing reporting or reimbursement obligations exist and, where applicable, coordinate with life and health guaranty associations regarding their respective MSP responsibilities and related administrative procedures.</w:t>
      </w:r>
    </w:p>
    <w:p w14:paraId="43EEAD42" w14:textId="77777777" w:rsidR="005775A0" w:rsidRPr="00B23917" w:rsidRDefault="005775A0" w:rsidP="00D460CB">
      <w:pPr>
        <w:pStyle w:val="ListParagraph"/>
        <w:ind w:left="2160"/>
        <w:rPr>
          <w:szCs w:val="24"/>
        </w:rPr>
      </w:pPr>
    </w:p>
    <w:p w14:paraId="36798309" w14:textId="26FAF330" w:rsidR="005775A0" w:rsidRPr="00B23917" w:rsidRDefault="005775A0" w:rsidP="001E17A6">
      <w:pPr>
        <w:pStyle w:val="ListParagraph"/>
        <w:widowControl/>
        <w:numPr>
          <w:ilvl w:val="0"/>
          <w:numId w:val="18"/>
        </w:numPr>
        <w:spacing w:after="160" w:line="276" w:lineRule="auto"/>
        <w:ind w:left="1080"/>
        <w:rPr>
          <w:b/>
          <w:bCs/>
          <w:szCs w:val="24"/>
        </w:rPr>
      </w:pPr>
      <w:r w:rsidRPr="00B23917">
        <w:rPr>
          <w:b/>
          <w:bCs/>
          <w:szCs w:val="24"/>
        </w:rPr>
        <w:t>State Insurance Department Receivers</w:t>
      </w:r>
    </w:p>
    <w:p w14:paraId="6EA4C3BD" w14:textId="77777777" w:rsidR="005775A0" w:rsidRPr="00222909" w:rsidRDefault="005775A0" w:rsidP="00D460CB">
      <w:pPr>
        <w:jc w:val="both"/>
        <w:rPr>
          <w:szCs w:val="24"/>
        </w:rPr>
      </w:pPr>
      <w:r w:rsidRPr="00222909">
        <w:rPr>
          <w:szCs w:val="24"/>
        </w:rPr>
        <w:t xml:space="preserve">As part of administering the receivership estate, the receiver should evaluate potential MSP obligations and determine which persons or entities bear the associated legal and operational responsibilities.  The receiver should establish appropriate procedures to ensure that MSP obligations borne by the estate are performed, even where the associated operational functions are allocated to other persons or entities.  Historically, receivers have also been required to provide testimony concerning MSP matters as part of the </w:t>
      </w:r>
      <w:proofErr w:type="gramStart"/>
      <w:r w:rsidRPr="00222909">
        <w:rPr>
          <w:szCs w:val="24"/>
        </w:rPr>
        <w:t>3713 release</w:t>
      </w:r>
      <w:proofErr w:type="gramEnd"/>
      <w:r w:rsidRPr="00222909">
        <w:rPr>
          <w:szCs w:val="24"/>
        </w:rPr>
        <w:t xml:space="preserve"> process.</w:t>
      </w:r>
    </w:p>
    <w:p w14:paraId="41F610D6" w14:textId="77777777" w:rsidR="005775A0" w:rsidRPr="00222909" w:rsidRDefault="005775A0" w:rsidP="005775A0">
      <w:pPr>
        <w:pStyle w:val="ListParagraph"/>
        <w:ind w:left="1980"/>
        <w:jc w:val="both"/>
        <w:rPr>
          <w:szCs w:val="24"/>
        </w:rPr>
      </w:pPr>
    </w:p>
    <w:p w14:paraId="17F0C03B" w14:textId="77777777" w:rsidR="005775A0" w:rsidRPr="00222909" w:rsidRDefault="005775A0" w:rsidP="001E17A6">
      <w:pPr>
        <w:pStyle w:val="ListParagraph"/>
        <w:widowControl/>
        <w:numPr>
          <w:ilvl w:val="0"/>
          <w:numId w:val="18"/>
        </w:numPr>
        <w:tabs>
          <w:tab w:val="left" w:pos="5580"/>
        </w:tabs>
        <w:ind w:left="1080"/>
        <w:jc w:val="both"/>
        <w:rPr>
          <w:b/>
          <w:bCs/>
          <w:szCs w:val="24"/>
        </w:rPr>
      </w:pPr>
      <w:r w:rsidRPr="00222909">
        <w:rPr>
          <w:b/>
          <w:bCs/>
          <w:szCs w:val="24"/>
        </w:rPr>
        <w:t>Receivership Courts</w:t>
      </w:r>
    </w:p>
    <w:p w14:paraId="11A54D79" w14:textId="77777777" w:rsidR="00D460CB" w:rsidRPr="00222909" w:rsidRDefault="00D460CB" w:rsidP="00D460CB">
      <w:pPr>
        <w:jc w:val="both"/>
        <w:rPr>
          <w:szCs w:val="24"/>
        </w:rPr>
      </w:pPr>
    </w:p>
    <w:p w14:paraId="0A0B4CC9" w14:textId="04036779" w:rsidR="005775A0" w:rsidRPr="00222909" w:rsidRDefault="005775A0" w:rsidP="00D460CB">
      <w:pPr>
        <w:jc w:val="both"/>
        <w:rPr>
          <w:szCs w:val="24"/>
        </w:rPr>
      </w:pPr>
      <w:r w:rsidRPr="00222909">
        <w:rPr>
          <w:szCs w:val="24"/>
        </w:rPr>
        <w:t>The receivership court supervises the administration of the estate and may resolve disputes concerning the receiver’s authority, claims administration, distributions, and other matters affecting MSP compliance.  Where uncertainty exists regarding MSP obligations, where legal responsibilities are disputed, or where proposed action may materially affect the rights of the estate or the United States, the receiver should consider whether court direction is appropriate.</w:t>
      </w:r>
    </w:p>
    <w:p w14:paraId="6E8D7B15" w14:textId="77777777" w:rsidR="005775A0" w:rsidRPr="00222909" w:rsidRDefault="005775A0" w:rsidP="005775A0">
      <w:pPr>
        <w:jc w:val="both"/>
        <w:rPr>
          <w:szCs w:val="24"/>
        </w:rPr>
      </w:pPr>
    </w:p>
    <w:p w14:paraId="44B7BA15" w14:textId="77777777" w:rsidR="005775A0" w:rsidRPr="00222909" w:rsidRDefault="005775A0" w:rsidP="001E17A6">
      <w:pPr>
        <w:pStyle w:val="ListParagraph"/>
        <w:widowControl/>
        <w:numPr>
          <w:ilvl w:val="0"/>
          <w:numId w:val="18"/>
        </w:numPr>
        <w:ind w:left="1080"/>
        <w:jc w:val="both"/>
        <w:rPr>
          <w:b/>
          <w:bCs/>
          <w:szCs w:val="24"/>
        </w:rPr>
      </w:pPr>
      <w:r w:rsidRPr="00222909">
        <w:rPr>
          <w:b/>
          <w:bCs/>
          <w:szCs w:val="24"/>
        </w:rPr>
        <w:t>Insureds, Policyholders, Claimants, and Their Representatives</w:t>
      </w:r>
    </w:p>
    <w:p w14:paraId="576A8F5E" w14:textId="77777777" w:rsidR="005775A0" w:rsidRPr="00222909" w:rsidRDefault="005775A0" w:rsidP="005775A0">
      <w:pPr>
        <w:pStyle w:val="ListParagraph"/>
        <w:ind w:left="1440"/>
        <w:jc w:val="both"/>
        <w:rPr>
          <w:b/>
          <w:bCs/>
          <w:szCs w:val="24"/>
          <w:highlight w:val="yellow"/>
        </w:rPr>
      </w:pPr>
    </w:p>
    <w:p w14:paraId="2E0AFDE3" w14:textId="31CBAAB7" w:rsidR="005775A0" w:rsidRPr="00222909" w:rsidRDefault="005775A0" w:rsidP="00D460CB">
      <w:pPr>
        <w:jc w:val="both"/>
        <w:rPr>
          <w:szCs w:val="24"/>
        </w:rPr>
      </w:pPr>
      <w:r w:rsidRPr="00222909">
        <w:rPr>
          <w:szCs w:val="24"/>
        </w:rPr>
        <w:t>Insureds, policyholders, claimants, and their respective representatives may have responsibilities relating to MSP compliance and may possess information necessary to the administration of the estate’s MSP obligations.</w:t>
      </w:r>
      <w:r w:rsidRPr="00222909">
        <w:rPr>
          <w:rStyle w:val="FootnoteReference"/>
          <w:szCs w:val="24"/>
        </w:rPr>
        <w:footnoteReference w:id="12"/>
      </w:r>
      <w:r w:rsidRPr="00222909">
        <w:rPr>
          <w:szCs w:val="24"/>
        </w:rPr>
        <w:t xml:space="preserve">  Their cooperation is often essential.  Receivers should determine whether these persons have continuing responsibilities relating to claim administration, reporting, reimbursement, or the production of information needed to administer the estate’s MSP obligations.  Where appropriate, the receiver should request necessary information early in the claims process and, if it is not provided, document reasonable efforts to obtain it consistent with any applicable CMS safe harbor provisions.</w:t>
      </w:r>
      <w:r w:rsidRPr="00222909">
        <w:rPr>
          <w:rStyle w:val="FootnoteReference"/>
          <w:szCs w:val="24"/>
        </w:rPr>
        <w:footnoteReference w:id="13"/>
      </w:r>
    </w:p>
    <w:p w14:paraId="76BAC727" w14:textId="77777777" w:rsidR="005775A0" w:rsidRPr="00222909" w:rsidRDefault="005775A0" w:rsidP="005775A0">
      <w:pPr>
        <w:ind w:left="2160"/>
        <w:jc w:val="both"/>
        <w:rPr>
          <w:szCs w:val="24"/>
        </w:rPr>
      </w:pPr>
    </w:p>
    <w:p w14:paraId="76770D43" w14:textId="77777777" w:rsidR="005775A0" w:rsidRPr="00222909" w:rsidRDefault="005775A0" w:rsidP="001E17A6">
      <w:pPr>
        <w:pStyle w:val="ListParagraph"/>
        <w:widowControl/>
        <w:numPr>
          <w:ilvl w:val="0"/>
          <w:numId w:val="18"/>
        </w:numPr>
        <w:ind w:left="1080"/>
        <w:jc w:val="both"/>
        <w:rPr>
          <w:b/>
          <w:bCs/>
          <w:szCs w:val="24"/>
        </w:rPr>
      </w:pPr>
      <w:r w:rsidRPr="00222909">
        <w:rPr>
          <w:b/>
          <w:bCs/>
          <w:szCs w:val="24"/>
        </w:rPr>
        <w:t>Medical Providers</w:t>
      </w:r>
    </w:p>
    <w:p w14:paraId="6C501288" w14:textId="77777777" w:rsidR="00D460CB" w:rsidRPr="00222909" w:rsidRDefault="00D460CB" w:rsidP="00D460CB">
      <w:pPr>
        <w:jc w:val="both"/>
        <w:rPr>
          <w:szCs w:val="24"/>
        </w:rPr>
      </w:pPr>
    </w:p>
    <w:p w14:paraId="5044CB56" w14:textId="3E6964E2" w:rsidR="005775A0" w:rsidRPr="00222909" w:rsidRDefault="005775A0" w:rsidP="00D460CB">
      <w:pPr>
        <w:jc w:val="both"/>
        <w:rPr>
          <w:szCs w:val="24"/>
        </w:rPr>
      </w:pPr>
      <w:r w:rsidRPr="00222909">
        <w:rPr>
          <w:szCs w:val="24"/>
        </w:rPr>
        <w:t>Medical providers may possess records relevant to determining whether Medicare has made conditional or mistaken payments related to a particular claim.  Where appropriate, receivers should consider whether information maintained by providers may assist in identifying MSP reimbursement obligations or resolving questions concerning Medicare’s payment history.</w:t>
      </w:r>
    </w:p>
    <w:p w14:paraId="7A396FCA" w14:textId="77777777" w:rsidR="005775A0" w:rsidRPr="00222909" w:rsidRDefault="005775A0" w:rsidP="005775A0">
      <w:pPr>
        <w:ind w:left="2160"/>
        <w:jc w:val="both"/>
        <w:rPr>
          <w:szCs w:val="24"/>
        </w:rPr>
      </w:pPr>
    </w:p>
    <w:p w14:paraId="08829884" w14:textId="77777777" w:rsidR="005775A0" w:rsidRPr="00222909" w:rsidRDefault="005775A0" w:rsidP="001E17A6">
      <w:pPr>
        <w:pStyle w:val="ListParagraph"/>
        <w:widowControl/>
        <w:numPr>
          <w:ilvl w:val="0"/>
          <w:numId w:val="18"/>
        </w:numPr>
        <w:ind w:left="1080"/>
        <w:jc w:val="both"/>
        <w:rPr>
          <w:b/>
          <w:bCs/>
          <w:szCs w:val="24"/>
        </w:rPr>
      </w:pPr>
      <w:r w:rsidRPr="00222909">
        <w:rPr>
          <w:b/>
          <w:bCs/>
          <w:szCs w:val="24"/>
        </w:rPr>
        <w:t>Third-Party Administrators and Vendors</w:t>
      </w:r>
    </w:p>
    <w:p w14:paraId="7F82409F" w14:textId="77777777" w:rsidR="00D460CB" w:rsidRPr="00222909" w:rsidRDefault="00D460CB" w:rsidP="00D460CB">
      <w:pPr>
        <w:jc w:val="both"/>
        <w:rPr>
          <w:szCs w:val="24"/>
        </w:rPr>
      </w:pPr>
    </w:p>
    <w:p w14:paraId="1521A472" w14:textId="56E3E2D7" w:rsidR="005775A0" w:rsidRPr="00222909" w:rsidRDefault="005775A0" w:rsidP="00D460CB">
      <w:pPr>
        <w:jc w:val="both"/>
        <w:rPr>
          <w:szCs w:val="24"/>
        </w:rPr>
      </w:pPr>
      <w:r w:rsidRPr="00222909">
        <w:rPr>
          <w:szCs w:val="24"/>
        </w:rPr>
        <w:t>Insurers may utilize third-party administrators, managed care organizations, or specialized MSP vendors to administer claims, provide coverage-related administrative services, or perform MSP-related functions.  Depending on their role and applicable law, these vendors may have legal responsibilities relating to MSP compliance.</w:t>
      </w:r>
      <w:r w:rsidRPr="00222909">
        <w:rPr>
          <w:rStyle w:val="FootnoteReference"/>
          <w:szCs w:val="24"/>
        </w:rPr>
        <w:footnoteReference w:id="14"/>
      </w:r>
      <w:r w:rsidRPr="00222909">
        <w:rPr>
          <w:szCs w:val="24"/>
        </w:rPr>
        <w:t xml:space="preserve">  The receiver should determine whether these persons or entities possess information necessary for reporting or reimbursement, whether continued access to that information is needed, whether their services should continue during the receivership, and, if not, ensure that relevant records and operational responsibilities are appropriately transitioned.</w:t>
      </w:r>
    </w:p>
    <w:p w14:paraId="46AE6E7F" w14:textId="77777777" w:rsidR="005775A0" w:rsidRPr="00222909" w:rsidRDefault="005775A0" w:rsidP="005775A0">
      <w:pPr>
        <w:ind w:left="2160"/>
        <w:jc w:val="both"/>
        <w:rPr>
          <w:szCs w:val="24"/>
        </w:rPr>
      </w:pPr>
    </w:p>
    <w:p w14:paraId="2CD1EA1C" w14:textId="77777777" w:rsidR="005775A0" w:rsidRPr="00222909" w:rsidRDefault="005775A0" w:rsidP="001E17A6">
      <w:pPr>
        <w:pStyle w:val="ListParagraph"/>
        <w:widowControl/>
        <w:numPr>
          <w:ilvl w:val="0"/>
          <w:numId w:val="18"/>
        </w:numPr>
        <w:ind w:left="1080"/>
        <w:jc w:val="both"/>
        <w:rPr>
          <w:b/>
          <w:bCs/>
          <w:szCs w:val="24"/>
        </w:rPr>
      </w:pPr>
      <w:r w:rsidRPr="00222909">
        <w:rPr>
          <w:b/>
          <w:bCs/>
          <w:szCs w:val="24"/>
        </w:rPr>
        <w:lastRenderedPageBreak/>
        <w:t>Contractors and Estate Professionals</w:t>
      </w:r>
    </w:p>
    <w:p w14:paraId="74F2E1DA" w14:textId="77777777" w:rsidR="00D460CB" w:rsidRPr="00222909" w:rsidRDefault="00D460CB" w:rsidP="00D460CB">
      <w:pPr>
        <w:jc w:val="both"/>
        <w:rPr>
          <w:szCs w:val="24"/>
        </w:rPr>
      </w:pPr>
    </w:p>
    <w:p w14:paraId="3720CBB4" w14:textId="5DE7B688" w:rsidR="005775A0" w:rsidRPr="00B23917" w:rsidRDefault="005775A0" w:rsidP="00B23917">
      <w:pPr>
        <w:jc w:val="both"/>
        <w:rPr>
          <w:b/>
          <w:bCs/>
          <w:szCs w:val="24"/>
        </w:rPr>
      </w:pPr>
      <w:r w:rsidRPr="00222909">
        <w:rPr>
          <w:szCs w:val="24"/>
        </w:rPr>
        <w:t>Attorneys, accountants, claims professionals, information technology personnel, and other professionals retained by the receiver may assist in identifying, evaluating, and administering MSP obligations.  Where substantial or specialized MSP issues arise, the receiver should consider whether additional expertise is appropriate in identifying applicable obligations, establishing necessary administrative procedures, and efficiently administering the estate.</w:t>
      </w:r>
    </w:p>
    <w:p w14:paraId="5B5EF241" w14:textId="77777777" w:rsidR="001F1F6D" w:rsidRPr="00222909" w:rsidRDefault="001F1F6D" w:rsidP="005775A0">
      <w:pPr>
        <w:pStyle w:val="ListParagraph"/>
        <w:rPr>
          <w:b/>
          <w:bCs/>
          <w:szCs w:val="24"/>
        </w:rPr>
      </w:pPr>
    </w:p>
    <w:p w14:paraId="4A50EC2A" w14:textId="77777777" w:rsidR="00370120" w:rsidRPr="00B23917" w:rsidRDefault="00370120" w:rsidP="00C212A4">
      <w:pPr>
        <w:pStyle w:val="ListParagraph"/>
        <w:numPr>
          <w:ilvl w:val="0"/>
          <w:numId w:val="5"/>
        </w:numPr>
        <w:rPr>
          <w:b/>
          <w:bCs/>
          <w:caps/>
          <w:szCs w:val="24"/>
        </w:rPr>
      </w:pPr>
      <w:r w:rsidRPr="00B23917">
        <w:rPr>
          <w:b/>
          <w:bCs/>
          <w:caps/>
          <w:szCs w:val="24"/>
        </w:rPr>
        <w:t>External Resources</w:t>
      </w:r>
    </w:p>
    <w:p w14:paraId="1D80EBE4" w14:textId="77777777" w:rsidR="00370120" w:rsidRPr="00222909" w:rsidRDefault="00370120" w:rsidP="00370120">
      <w:pPr>
        <w:jc w:val="both"/>
        <w:rPr>
          <w:b/>
          <w:bCs/>
          <w:szCs w:val="24"/>
        </w:rPr>
      </w:pPr>
    </w:p>
    <w:p w14:paraId="70B0C36E" w14:textId="079AABA7" w:rsidR="00C212A4" w:rsidRPr="00222909" w:rsidRDefault="00E710A2" w:rsidP="001E17A6">
      <w:pPr>
        <w:spacing w:after="200" w:line="276" w:lineRule="auto"/>
        <w:ind w:left="1080" w:hanging="360"/>
        <w:jc w:val="both"/>
        <w:rPr>
          <w:b/>
          <w:bCs/>
          <w:szCs w:val="24"/>
        </w:rPr>
      </w:pPr>
      <w:r w:rsidRPr="00222909">
        <w:rPr>
          <w:b/>
          <w:bCs/>
          <w:szCs w:val="24"/>
        </w:rPr>
        <w:t xml:space="preserve">1. Links to </w:t>
      </w:r>
      <w:r w:rsidR="00C212A4" w:rsidRPr="00222909">
        <w:rPr>
          <w:b/>
          <w:bCs/>
          <w:szCs w:val="24"/>
        </w:rPr>
        <w:t>Federal</w:t>
      </w:r>
      <w:r w:rsidRPr="00222909">
        <w:rPr>
          <w:b/>
          <w:bCs/>
          <w:szCs w:val="24"/>
        </w:rPr>
        <w:t xml:space="preserve"> Guidance</w:t>
      </w:r>
    </w:p>
    <w:p w14:paraId="75E63B21" w14:textId="076CB6E2" w:rsidR="00370120" w:rsidRPr="00222909" w:rsidRDefault="00370120" w:rsidP="00370120">
      <w:pPr>
        <w:pStyle w:val="ListParagraph"/>
        <w:numPr>
          <w:ilvl w:val="0"/>
          <w:numId w:val="24"/>
        </w:numPr>
        <w:spacing w:after="200" w:line="276" w:lineRule="auto"/>
        <w:ind w:left="360"/>
        <w:jc w:val="both"/>
        <w:rPr>
          <w:szCs w:val="24"/>
        </w:rPr>
      </w:pPr>
      <w:r w:rsidRPr="00222909">
        <w:rPr>
          <w:szCs w:val="24"/>
        </w:rPr>
        <w:t xml:space="preserve">Please reference </w:t>
      </w:r>
      <w:hyperlink r:id="rId11" w:history="1">
        <w:r w:rsidRPr="00222909">
          <w:rPr>
            <w:rStyle w:val="Hyperlink"/>
            <w:color w:val="auto"/>
            <w:szCs w:val="24"/>
          </w:rPr>
          <w:t>http://www.cms.gov/MandatoryInsRep</w:t>
        </w:r>
      </w:hyperlink>
      <w:r w:rsidRPr="00222909">
        <w:rPr>
          <w:szCs w:val="24"/>
        </w:rPr>
        <w:t xml:space="preserve"> for more information regarding these requirements.</w:t>
      </w:r>
    </w:p>
    <w:p w14:paraId="1C774EC3" w14:textId="77777777" w:rsidR="00370120" w:rsidRPr="00222909" w:rsidRDefault="00370120" w:rsidP="00370120">
      <w:pPr>
        <w:pStyle w:val="ListParagraph"/>
        <w:numPr>
          <w:ilvl w:val="0"/>
          <w:numId w:val="24"/>
        </w:numPr>
        <w:ind w:left="360"/>
        <w:rPr>
          <w:snapToGrid/>
          <w:szCs w:val="24"/>
        </w:rPr>
      </w:pPr>
      <w:r w:rsidRPr="00222909">
        <w:rPr>
          <w:szCs w:val="24"/>
        </w:rPr>
        <w:t xml:space="preserve">The generally applicable federal regulation for Duty to Report and Duty to Reimburse:  </w:t>
      </w:r>
      <w:hyperlink r:id="rId12" w:anchor="411.24" w:history="1">
        <w:r w:rsidRPr="00222909">
          <w:rPr>
            <w:rStyle w:val="Hyperlink"/>
            <w:color w:val="auto"/>
            <w:szCs w:val="24"/>
          </w:rPr>
          <w:t>https://www.ecfr.gov/current/title-42/chapter-IV/subchapter-B/part-411#411.24</w:t>
        </w:r>
      </w:hyperlink>
      <w:r w:rsidRPr="00222909">
        <w:rPr>
          <w:szCs w:val="24"/>
        </w:rPr>
        <w:t>.</w:t>
      </w:r>
    </w:p>
    <w:p w14:paraId="2815465D" w14:textId="7F7526AB" w:rsidR="00370120" w:rsidRPr="00222909" w:rsidRDefault="00370120" w:rsidP="00370120">
      <w:pPr>
        <w:pStyle w:val="ListParagraph"/>
        <w:numPr>
          <w:ilvl w:val="0"/>
          <w:numId w:val="24"/>
        </w:numPr>
        <w:ind w:left="360"/>
        <w:rPr>
          <w:szCs w:val="24"/>
        </w:rPr>
      </w:pPr>
      <w:r w:rsidRPr="00222909">
        <w:rPr>
          <w:szCs w:val="24"/>
        </w:rPr>
        <w:t>Applicable regulations for civil money penalties: </w:t>
      </w:r>
      <w:r w:rsidR="00827488" w:rsidRPr="00222909">
        <w:rPr>
          <w:szCs w:val="24"/>
        </w:rPr>
        <w:t>https://www.ecfr.gov/current/title-42/chapter-IV/subchapter-A/part-402?toc=1</w:t>
      </w:r>
      <w:r w:rsidRPr="00222909">
        <w:rPr>
          <w:szCs w:val="24"/>
        </w:rPr>
        <w:t>.</w:t>
      </w:r>
    </w:p>
    <w:p w14:paraId="5339281D" w14:textId="77777777" w:rsidR="00370120" w:rsidRPr="00222909" w:rsidRDefault="00370120" w:rsidP="00370120">
      <w:pPr>
        <w:pStyle w:val="ListParagraph"/>
        <w:numPr>
          <w:ilvl w:val="0"/>
          <w:numId w:val="24"/>
        </w:numPr>
        <w:ind w:left="360"/>
        <w:rPr>
          <w:szCs w:val="24"/>
        </w:rPr>
      </w:pPr>
      <w:r w:rsidRPr="00222909">
        <w:rPr>
          <w:szCs w:val="24"/>
        </w:rPr>
        <w:t xml:space="preserve">Regulation containing the safe harbor provision:  </w:t>
      </w:r>
      <w:hyperlink r:id="rId13" w:history="1">
        <w:r w:rsidRPr="00222909">
          <w:rPr>
            <w:rStyle w:val="Hyperlink"/>
            <w:color w:val="auto"/>
            <w:szCs w:val="24"/>
          </w:rPr>
          <w:t>https://www.ecfr.gov/current/title-42/chapter-IV/subchapter-A/part-402/subpart-A/section-402.1</w:t>
        </w:r>
      </w:hyperlink>
      <w:r w:rsidRPr="00222909">
        <w:rPr>
          <w:szCs w:val="24"/>
        </w:rPr>
        <w:t>. It applies to Non-Group Health Plan (NGHPs) and is at (c)(22)(ii)(A).</w:t>
      </w:r>
    </w:p>
    <w:p w14:paraId="3F969F0D" w14:textId="77777777" w:rsidR="00370120" w:rsidRPr="00222909" w:rsidRDefault="00370120" w:rsidP="001201E8">
      <w:pPr>
        <w:pStyle w:val="ListParagraph"/>
        <w:jc w:val="both"/>
        <w:rPr>
          <w:b/>
          <w:bCs/>
          <w:szCs w:val="24"/>
        </w:rPr>
      </w:pPr>
    </w:p>
    <w:p w14:paraId="52C4C191" w14:textId="19D96AE0" w:rsidR="00370120" w:rsidRPr="00222909" w:rsidRDefault="00370120" w:rsidP="00770159">
      <w:pPr>
        <w:pStyle w:val="ListParagraph"/>
        <w:numPr>
          <w:ilvl w:val="0"/>
          <w:numId w:val="26"/>
        </w:numPr>
        <w:ind w:left="1080"/>
        <w:jc w:val="both"/>
        <w:rPr>
          <w:b/>
          <w:bCs/>
          <w:szCs w:val="24"/>
        </w:rPr>
      </w:pPr>
      <w:r w:rsidRPr="00222909">
        <w:rPr>
          <w:b/>
          <w:bCs/>
          <w:szCs w:val="24"/>
        </w:rPr>
        <w:t xml:space="preserve">Legal </w:t>
      </w:r>
      <w:r w:rsidR="001201E8" w:rsidRPr="00222909">
        <w:rPr>
          <w:b/>
          <w:bCs/>
          <w:szCs w:val="24"/>
        </w:rPr>
        <w:t>History</w:t>
      </w:r>
    </w:p>
    <w:p w14:paraId="19BEA360" w14:textId="77777777" w:rsidR="00E710A2" w:rsidRPr="00222909" w:rsidRDefault="00E710A2" w:rsidP="00E710A2">
      <w:pPr>
        <w:pStyle w:val="ListParagraph"/>
        <w:ind w:left="360"/>
        <w:jc w:val="both"/>
        <w:rPr>
          <w:b/>
          <w:bCs/>
          <w:szCs w:val="24"/>
        </w:rPr>
      </w:pPr>
    </w:p>
    <w:p w14:paraId="5E23ACC9" w14:textId="77777777" w:rsidR="00011F8C" w:rsidRPr="00222909" w:rsidRDefault="00011F8C" w:rsidP="00011F8C">
      <w:pPr>
        <w:jc w:val="both"/>
        <w:rPr>
          <w:snapToGrid/>
          <w:szCs w:val="24"/>
        </w:rPr>
      </w:pPr>
      <w:r w:rsidRPr="00222909">
        <w:rPr>
          <w:szCs w:val="24"/>
        </w:rPr>
        <w:t>Legal developments have affected the application of the MSP statute to certain property and casualty guaranty associations.</w:t>
      </w:r>
      <w:r w:rsidRPr="00222909">
        <w:rPr>
          <w:rStyle w:val="FootnoteReference"/>
          <w:szCs w:val="24"/>
        </w:rPr>
        <w:footnoteReference w:id="15"/>
      </w:r>
      <w:r w:rsidRPr="00222909">
        <w:rPr>
          <w:szCs w:val="24"/>
        </w:rPr>
        <w:t xml:space="preserve">  As a result, assumptions regarding reporting and reimbursement responsibilities that historically applied in some jurisdictions may no longer be appropriate in others.</w:t>
      </w:r>
    </w:p>
    <w:p w14:paraId="19A877C9" w14:textId="77777777" w:rsidR="00011F8C" w:rsidRPr="00222909" w:rsidRDefault="00011F8C" w:rsidP="00011F8C">
      <w:pPr>
        <w:jc w:val="both"/>
        <w:rPr>
          <w:szCs w:val="24"/>
        </w:rPr>
      </w:pPr>
    </w:p>
    <w:p w14:paraId="629835FA" w14:textId="77777777" w:rsidR="00BF57E2" w:rsidRPr="00D8608F" w:rsidRDefault="00BF57E2" w:rsidP="00BF57E2">
      <w:pPr>
        <w:jc w:val="both"/>
      </w:pPr>
      <w:r w:rsidRPr="00D8608F">
        <w:t>Receivers should be aware that MSP law in this area continues to evolve.  Applicable responsibilities may differ depending on the governing guaranty association statute, applicable</w:t>
      </w:r>
      <w:r>
        <w:t xml:space="preserve"> state and</w:t>
      </w:r>
      <w:r w:rsidRPr="00D8608F">
        <w:t xml:space="preserve"> federal law, controlling judicial and administrative authority, and CMS guidance and enforcement practices.  Accordingly, receivers should evaluate current authority in the applicable jurisdictions, in consultation with the</w:t>
      </w:r>
      <w:r>
        <w:t xml:space="preserve"> National Conference of Guaranty Associations (NCIGF), the</w:t>
      </w:r>
      <w:r w:rsidRPr="00D8608F">
        <w:t xml:space="preserve"> appropriate guaranty associations and</w:t>
      </w:r>
      <w:r>
        <w:t>/or</w:t>
      </w:r>
      <w:r w:rsidRPr="00D8608F">
        <w:t xml:space="preserve"> CMS, before determining the respective legal and operational responsibilities of the receivership estate and the guaranty associations.</w:t>
      </w:r>
      <w:r>
        <w:t xml:space="preserve"> NCIGF monitors MSP obligations of the property and casualty guaranty associations and can provide receiverships with updates on which states have obtained determinations that they are not a ‘primary plan’ under the MSP Act. </w:t>
      </w:r>
    </w:p>
    <w:p w14:paraId="6CF393A2" w14:textId="77777777" w:rsidR="00011F8C" w:rsidRPr="00222909" w:rsidRDefault="00011F8C" w:rsidP="00011F8C">
      <w:pPr>
        <w:jc w:val="both"/>
        <w:rPr>
          <w:szCs w:val="24"/>
        </w:rPr>
      </w:pPr>
    </w:p>
    <w:p w14:paraId="084B8A7B" w14:textId="32025FE5" w:rsidR="00011F8C" w:rsidRPr="00222909" w:rsidRDefault="00011F8C" w:rsidP="00011F8C">
      <w:pPr>
        <w:jc w:val="both"/>
        <w:rPr>
          <w:szCs w:val="24"/>
        </w:rPr>
      </w:pPr>
      <w:r w:rsidRPr="00222909">
        <w:rPr>
          <w:szCs w:val="24"/>
        </w:rPr>
        <w:t>The following are legal examples:</w:t>
      </w:r>
    </w:p>
    <w:p w14:paraId="477419E7" w14:textId="77777777" w:rsidR="00222909" w:rsidRPr="00222909" w:rsidRDefault="00222909" w:rsidP="00011F8C">
      <w:pPr>
        <w:jc w:val="both"/>
        <w:rPr>
          <w:szCs w:val="24"/>
        </w:rPr>
      </w:pPr>
    </w:p>
    <w:p w14:paraId="6142BA21" w14:textId="439A9F88" w:rsidR="00370120" w:rsidRPr="00222909" w:rsidRDefault="00370120" w:rsidP="00370120">
      <w:pPr>
        <w:pStyle w:val="ListParagraph"/>
        <w:widowControl/>
        <w:numPr>
          <w:ilvl w:val="0"/>
          <w:numId w:val="24"/>
        </w:numPr>
        <w:spacing w:after="160" w:line="276" w:lineRule="auto"/>
        <w:rPr>
          <w:snapToGrid/>
          <w:szCs w:val="24"/>
        </w:rPr>
      </w:pPr>
      <w:r w:rsidRPr="00222909">
        <w:rPr>
          <w:szCs w:val="24"/>
        </w:rPr>
        <w:t>1996 First Circuit case, U.S. vs. Rhode Island Insurers’ Insolvency Fund</w:t>
      </w:r>
      <w:r w:rsidR="0073640E" w:rsidRPr="00222909">
        <w:rPr>
          <w:szCs w:val="24"/>
        </w:rPr>
        <w:t>.</w:t>
      </w:r>
      <w:r w:rsidRPr="00222909">
        <w:rPr>
          <w:szCs w:val="24"/>
        </w:rPr>
        <w:t xml:space="preserve"> The court held that the </w:t>
      </w:r>
      <w:r w:rsidR="00BF57E2">
        <w:rPr>
          <w:szCs w:val="24"/>
        </w:rPr>
        <w:t>F</w:t>
      </w:r>
      <w:r w:rsidRPr="00222909">
        <w:rPr>
          <w:szCs w:val="24"/>
        </w:rPr>
        <w:t>und was a primary plan with reimbursement obligations</w:t>
      </w:r>
    </w:p>
    <w:p w14:paraId="3EC36BCF" w14:textId="77777777" w:rsidR="00E625AA" w:rsidRPr="00B15DFA" w:rsidRDefault="00E625AA" w:rsidP="00E625AA">
      <w:pPr>
        <w:pStyle w:val="ListParagraph"/>
        <w:widowControl/>
        <w:numPr>
          <w:ilvl w:val="0"/>
          <w:numId w:val="24"/>
        </w:numPr>
        <w:spacing w:after="160" w:line="276" w:lineRule="auto"/>
      </w:pPr>
      <w:r w:rsidRPr="00D8608F">
        <w:lastRenderedPageBreak/>
        <w:t xml:space="preserve">2019 Ninth Circuit case, </w:t>
      </w:r>
      <w:r w:rsidRPr="00B15DFA">
        <w:rPr>
          <w:i/>
          <w:iCs/>
        </w:rPr>
        <w:t>California Insurance Guarantee Association vs. Azar</w:t>
      </w:r>
      <w:r w:rsidRPr="00D8608F">
        <w:t xml:space="preserve">. The court held that the California </w:t>
      </w:r>
      <w:r>
        <w:t>I</w:t>
      </w:r>
      <w:r w:rsidRPr="00D8608F">
        <w:t xml:space="preserve">nsurance Guarantee Association </w:t>
      </w:r>
      <w:r>
        <w:t>is</w:t>
      </w:r>
      <w:r w:rsidRPr="00D8608F">
        <w:t xml:space="preserve"> not a primary plan </w:t>
      </w:r>
      <w:r>
        <w:t>and has no</w:t>
      </w:r>
      <w:r w:rsidRPr="00D8608F">
        <w:t xml:space="preserve"> </w:t>
      </w:r>
      <w:r>
        <w:t xml:space="preserve">MSP </w:t>
      </w:r>
      <w:r w:rsidRPr="00D8608F">
        <w:t>reimbursement obligation</w:t>
      </w:r>
      <w:r>
        <w:t>s</w:t>
      </w:r>
      <w:r w:rsidRPr="00D8608F">
        <w:t xml:space="preserve">. </w:t>
      </w:r>
      <w:r>
        <w:t xml:space="preserve"> Following this decision, </w:t>
      </w:r>
      <w:r w:rsidRPr="00E7248E">
        <w:t>CMS now takes the position that funds in the Ninth Circuit do not have MSP obligations</w:t>
      </w:r>
      <w:r>
        <w:t xml:space="preserve">.  </w:t>
      </w:r>
    </w:p>
    <w:p w14:paraId="7139B245" w14:textId="77777777" w:rsidR="00A15C7F" w:rsidRPr="00D8608F" w:rsidRDefault="00A15C7F" w:rsidP="00A15C7F">
      <w:pPr>
        <w:pStyle w:val="ListParagraph"/>
        <w:widowControl/>
        <w:numPr>
          <w:ilvl w:val="0"/>
          <w:numId w:val="24"/>
        </w:numPr>
        <w:spacing w:after="160" w:line="276" w:lineRule="auto"/>
      </w:pPr>
      <w:r w:rsidRPr="00D8608F">
        <w:t xml:space="preserve">2025 </w:t>
      </w:r>
      <w:r>
        <w:t xml:space="preserve">Illinois District Court case, </w:t>
      </w:r>
      <w:r w:rsidRPr="00B15DFA">
        <w:rPr>
          <w:i/>
          <w:iCs/>
        </w:rPr>
        <w:t>Illinois Insurance Guaranty Fund vs. Becerra</w:t>
      </w:r>
      <w:r w:rsidRPr="00D8608F">
        <w:t xml:space="preserve">. </w:t>
      </w:r>
      <w:r>
        <w:t xml:space="preserve"> The court held</w:t>
      </w:r>
      <w:r w:rsidRPr="00D8608F">
        <w:t xml:space="preserve"> that the Illinois Insurance Guarant</w:t>
      </w:r>
      <w:r>
        <w:t>y</w:t>
      </w:r>
      <w:r w:rsidRPr="00D8608F">
        <w:t xml:space="preserve"> Fund is not a primary plan </w:t>
      </w:r>
      <w:r>
        <w:t>and has no MSP</w:t>
      </w:r>
      <w:r w:rsidRPr="00D8608F">
        <w:t xml:space="preserve"> reimbursement obligations.</w:t>
      </w:r>
    </w:p>
    <w:p w14:paraId="25518596" w14:textId="77777777" w:rsidR="00DA7E83" w:rsidRDefault="00DA7E83" w:rsidP="00DA7E83">
      <w:pPr>
        <w:pStyle w:val="ListParagraph"/>
        <w:widowControl/>
        <w:numPr>
          <w:ilvl w:val="0"/>
          <w:numId w:val="24"/>
        </w:numPr>
        <w:spacing w:after="160" w:line="276" w:lineRule="auto"/>
      </w:pPr>
      <w:r w:rsidRPr="00D8608F">
        <w:t xml:space="preserve">2025 </w:t>
      </w:r>
      <w:r>
        <w:t xml:space="preserve">North Carolina District Court case, </w:t>
      </w:r>
      <w:r w:rsidRPr="00D8608F">
        <w:t>North Carolina Insurance Guaranty Association vs. United States Department of Health and Human Services. That case was settled and CMS has determined that it will no longer treat the North Carolina Insurance Guarantee Association as having MSP obligations</w:t>
      </w:r>
      <w:r>
        <w:t xml:space="preserve">.  </w:t>
      </w:r>
    </w:p>
    <w:p w14:paraId="437E9645" w14:textId="77777777" w:rsidR="00DA7E83" w:rsidRPr="00D8608F" w:rsidRDefault="00DA7E83" w:rsidP="00DA7E83">
      <w:pPr>
        <w:pStyle w:val="ListParagraph"/>
        <w:widowControl/>
        <w:numPr>
          <w:ilvl w:val="0"/>
          <w:numId w:val="24"/>
        </w:numPr>
        <w:spacing w:after="160" w:line="276" w:lineRule="auto"/>
      </w:pPr>
      <w:r>
        <w:t xml:space="preserve">2023 CMS administrative ruling stated that the Oregon Insurance Guaranty Association has no MSP obligations. </w:t>
      </w:r>
    </w:p>
    <w:p w14:paraId="1084DFE7" w14:textId="77777777" w:rsidR="00C85EE2" w:rsidRPr="00C85EE2" w:rsidRDefault="00C85EE2" w:rsidP="00C85EE2">
      <w:pPr>
        <w:pStyle w:val="ListParagraph"/>
        <w:widowControl/>
        <w:numPr>
          <w:ilvl w:val="0"/>
          <w:numId w:val="24"/>
        </w:numPr>
        <w:spacing w:after="160" w:line="276" w:lineRule="auto"/>
      </w:pPr>
      <w:r w:rsidRPr="00B23917">
        <w:t xml:space="preserve">2025 </w:t>
      </w:r>
      <w:r w:rsidRPr="00C85EE2">
        <w:t>CMS administrative ruling stated that the Kentucky Insurance Guaranty Association has no MSP obligations.</w:t>
      </w:r>
    </w:p>
    <w:p w14:paraId="548E5870" w14:textId="77777777" w:rsidR="00C85EE2" w:rsidRPr="00C85EE2" w:rsidRDefault="00C85EE2" w:rsidP="00C85EE2">
      <w:pPr>
        <w:pStyle w:val="ListParagraph"/>
        <w:widowControl/>
        <w:numPr>
          <w:ilvl w:val="0"/>
          <w:numId w:val="24"/>
        </w:numPr>
        <w:spacing w:after="160" w:line="276" w:lineRule="auto"/>
      </w:pPr>
      <w:r w:rsidRPr="00C85EE2">
        <w:t xml:space="preserve">Later correspondence from CMS absolved </w:t>
      </w:r>
      <w:proofErr w:type="gramStart"/>
      <w:r w:rsidRPr="00C85EE2">
        <w:t>the Alaska</w:t>
      </w:r>
      <w:proofErr w:type="gramEnd"/>
      <w:r w:rsidRPr="00C85EE2">
        <w:t>, Arizona, California, Hawaii, Idaho, Illinois, Kentucky, Michigan, Montana, Oregon, Hawaii, and Washington guaranty associations from both MSP reimbursement and reporting obligations as well.</w:t>
      </w:r>
    </w:p>
    <w:p w14:paraId="3F7F294B" w14:textId="77777777" w:rsidR="001F1F6D" w:rsidRPr="00A72108" w:rsidRDefault="001F1F6D" w:rsidP="00B23917">
      <w:pPr>
        <w:jc w:val="both"/>
        <w:rPr>
          <w:szCs w:val="24"/>
        </w:rPr>
      </w:pPr>
    </w:p>
    <w:p w14:paraId="44BCD10E" w14:textId="77777777" w:rsidR="00810CB9" w:rsidRPr="00B23917" w:rsidRDefault="00810CB9" w:rsidP="00E710A2">
      <w:pPr>
        <w:pStyle w:val="ListParagraph"/>
        <w:numPr>
          <w:ilvl w:val="0"/>
          <w:numId w:val="5"/>
        </w:numPr>
        <w:rPr>
          <w:b/>
          <w:bCs/>
          <w:caps/>
          <w:szCs w:val="24"/>
        </w:rPr>
      </w:pPr>
      <w:r w:rsidRPr="00B23917">
        <w:rPr>
          <w:b/>
          <w:bCs/>
          <w:caps/>
          <w:szCs w:val="24"/>
        </w:rPr>
        <w:t>Types of MSP Reporting Requirements</w:t>
      </w:r>
    </w:p>
    <w:p w14:paraId="779E2C1F" w14:textId="77777777" w:rsidR="002C6AC7" w:rsidRPr="00222909" w:rsidRDefault="002C6AC7" w:rsidP="008D56DA">
      <w:pPr>
        <w:jc w:val="both"/>
        <w:rPr>
          <w:b/>
          <w:bCs/>
          <w:szCs w:val="24"/>
          <w:u w:val="single"/>
        </w:rPr>
      </w:pPr>
    </w:p>
    <w:p w14:paraId="2BE52D09" w14:textId="0FC12931" w:rsidR="008D56DA" w:rsidRPr="00222909" w:rsidRDefault="008D56DA" w:rsidP="001E17A6">
      <w:pPr>
        <w:pStyle w:val="ListParagraph"/>
        <w:numPr>
          <w:ilvl w:val="3"/>
          <w:numId w:val="18"/>
        </w:numPr>
        <w:ind w:left="1080"/>
        <w:jc w:val="both"/>
        <w:rPr>
          <w:b/>
          <w:bCs/>
          <w:szCs w:val="24"/>
        </w:rPr>
      </w:pPr>
      <w:r w:rsidRPr="00222909">
        <w:rPr>
          <w:b/>
          <w:bCs/>
          <w:szCs w:val="24"/>
        </w:rPr>
        <w:t xml:space="preserve">MSP Reporting </w:t>
      </w:r>
      <w:r w:rsidR="00C8069D" w:rsidRPr="00222909">
        <w:rPr>
          <w:b/>
          <w:bCs/>
          <w:szCs w:val="24"/>
        </w:rPr>
        <w:t>by</w:t>
      </w:r>
      <w:r w:rsidRPr="00222909">
        <w:rPr>
          <w:b/>
          <w:bCs/>
          <w:szCs w:val="24"/>
        </w:rPr>
        <w:t xml:space="preserve"> Claim Type</w:t>
      </w:r>
      <w:r w:rsidR="00320956" w:rsidRPr="00222909">
        <w:rPr>
          <w:b/>
          <w:bCs/>
          <w:szCs w:val="24"/>
        </w:rPr>
        <w:t xml:space="preserve"> Chart</w:t>
      </w:r>
    </w:p>
    <w:p w14:paraId="11FD813F" w14:textId="77777777" w:rsidR="008D56DA" w:rsidRPr="00222909" w:rsidRDefault="008D56DA" w:rsidP="008D56DA">
      <w:pPr>
        <w:jc w:val="both"/>
        <w:rPr>
          <w:b/>
          <w:bCs/>
          <w:szCs w:val="24"/>
          <w:u w:val="single"/>
        </w:rPr>
      </w:pPr>
    </w:p>
    <w:p w14:paraId="45541299" w14:textId="0FD85EF9" w:rsidR="008D56DA" w:rsidRPr="00222909" w:rsidRDefault="008D56DA" w:rsidP="008D56DA">
      <w:pPr>
        <w:jc w:val="both"/>
        <w:rPr>
          <w:szCs w:val="24"/>
        </w:rPr>
      </w:pPr>
      <w:r w:rsidRPr="00222909">
        <w:rPr>
          <w:szCs w:val="24"/>
        </w:rPr>
        <w:t>The following chart identifies several common examples of types of claims with a medical payment component that a Liquidator may encounter in a liquidation proceeding and the</w:t>
      </w:r>
      <w:r w:rsidR="00EC10E0">
        <w:rPr>
          <w:szCs w:val="24"/>
        </w:rPr>
        <w:t xml:space="preserve"> general</w:t>
      </w:r>
      <w:r w:rsidRPr="00222909">
        <w:rPr>
          <w:szCs w:val="24"/>
        </w:rPr>
        <w:t xml:space="preserve"> suggested course of action with respect to further MSP reporting</w:t>
      </w:r>
      <w:r w:rsidR="00827488" w:rsidRPr="00222909">
        <w:rPr>
          <w:szCs w:val="24"/>
        </w:rPr>
        <w:t>, subject to applicable state and federal law</w:t>
      </w:r>
      <w:r w:rsidR="002F650E" w:rsidRPr="00222909">
        <w:rPr>
          <w:szCs w:val="24"/>
        </w:rPr>
        <w:t xml:space="preserve"> and CMS guidance</w:t>
      </w:r>
      <w:r w:rsidR="00827488" w:rsidRPr="00222909">
        <w:rPr>
          <w:szCs w:val="24"/>
        </w:rPr>
        <w:t xml:space="preserve"> and the terms of the Order of Liquidation</w:t>
      </w:r>
      <w:r w:rsidRPr="00222909">
        <w:rPr>
          <w:szCs w:val="24"/>
        </w:rPr>
        <w:t>.</w:t>
      </w:r>
    </w:p>
    <w:p w14:paraId="455A40B6" w14:textId="77777777" w:rsidR="008D56DA" w:rsidRPr="00222909" w:rsidRDefault="008D56DA" w:rsidP="008D56DA">
      <w:pPr>
        <w:jc w:val="both"/>
        <w:rPr>
          <w:b/>
          <w:bCs/>
          <w:szCs w:val="24"/>
          <w:u w:val="single"/>
        </w:rPr>
      </w:pPr>
    </w:p>
    <w:tbl>
      <w:tblPr>
        <w:tblStyle w:val="TableGrid"/>
        <w:tblW w:w="0" w:type="auto"/>
        <w:tblInd w:w="720" w:type="dxa"/>
        <w:tblLook w:val="04A0" w:firstRow="1" w:lastRow="0" w:firstColumn="1" w:lastColumn="0" w:noHBand="0" w:noVBand="1"/>
      </w:tblPr>
      <w:tblGrid>
        <w:gridCol w:w="4248"/>
        <w:gridCol w:w="2227"/>
        <w:gridCol w:w="1733"/>
      </w:tblGrid>
      <w:tr w:rsidR="008D56DA" w:rsidRPr="00222909" w14:paraId="18185DDB" w14:textId="77777777" w:rsidTr="00585355">
        <w:tc>
          <w:tcPr>
            <w:tcW w:w="4248" w:type="dxa"/>
          </w:tcPr>
          <w:p w14:paraId="32716ABF" w14:textId="77777777" w:rsidR="008D56DA" w:rsidRPr="00B23917" w:rsidRDefault="008D56DA" w:rsidP="00585355">
            <w:pPr>
              <w:pStyle w:val="ListParagraph"/>
              <w:ind w:left="0"/>
              <w:jc w:val="center"/>
              <w:rPr>
                <w:b/>
                <w:sz w:val="24"/>
                <w:szCs w:val="24"/>
              </w:rPr>
            </w:pPr>
            <w:r w:rsidRPr="00A72108">
              <w:rPr>
                <w:b/>
                <w:szCs w:val="24"/>
              </w:rPr>
              <w:t>Type</w:t>
            </w:r>
          </w:p>
        </w:tc>
        <w:tc>
          <w:tcPr>
            <w:tcW w:w="2227" w:type="dxa"/>
          </w:tcPr>
          <w:p w14:paraId="4418F90E" w14:textId="77777777" w:rsidR="008D56DA" w:rsidRPr="00B23917" w:rsidRDefault="008D56DA" w:rsidP="00585355">
            <w:pPr>
              <w:pStyle w:val="ListParagraph"/>
              <w:ind w:left="0"/>
              <w:jc w:val="center"/>
              <w:rPr>
                <w:b/>
                <w:sz w:val="24"/>
                <w:szCs w:val="24"/>
              </w:rPr>
            </w:pPr>
            <w:r w:rsidRPr="00A72108">
              <w:rPr>
                <w:b/>
                <w:szCs w:val="24"/>
              </w:rPr>
              <w:t>ORM Termination Date</w:t>
            </w:r>
          </w:p>
        </w:tc>
        <w:tc>
          <w:tcPr>
            <w:tcW w:w="1733" w:type="dxa"/>
          </w:tcPr>
          <w:p w14:paraId="0D17557F" w14:textId="77777777" w:rsidR="008D56DA" w:rsidRPr="00B23917" w:rsidRDefault="008D56DA" w:rsidP="00585355">
            <w:pPr>
              <w:pStyle w:val="ListParagraph"/>
              <w:ind w:left="0"/>
              <w:jc w:val="center"/>
              <w:rPr>
                <w:b/>
                <w:sz w:val="24"/>
                <w:szCs w:val="24"/>
              </w:rPr>
            </w:pPr>
            <w:r w:rsidRPr="00A72108">
              <w:rPr>
                <w:b/>
                <w:szCs w:val="24"/>
              </w:rPr>
              <w:t>TPOC</w:t>
            </w:r>
          </w:p>
          <w:p w14:paraId="5337A095" w14:textId="77777777" w:rsidR="008D56DA" w:rsidRPr="00B23917" w:rsidRDefault="008D56DA" w:rsidP="00585355">
            <w:pPr>
              <w:pStyle w:val="ListParagraph"/>
              <w:ind w:left="0"/>
              <w:jc w:val="center"/>
              <w:rPr>
                <w:b/>
                <w:sz w:val="24"/>
                <w:szCs w:val="24"/>
              </w:rPr>
            </w:pPr>
            <w:r w:rsidRPr="00A72108">
              <w:rPr>
                <w:b/>
                <w:szCs w:val="24"/>
              </w:rPr>
              <w:t>Reporting Date</w:t>
            </w:r>
          </w:p>
        </w:tc>
      </w:tr>
      <w:tr w:rsidR="008D56DA" w:rsidRPr="00222909" w14:paraId="0BBFF845" w14:textId="77777777" w:rsidTr="00585355">
        <w:tc>
          <w:tcPr>
            <w:tcW w:w="4248" w:type="dxa"/>
          </w:tcPr>
          <w:p w14:paraId="79D55958" w14:textId="77777777" w:rsidR="008D56DA" w:rsidRPr="00B23917" w:rsidRDefault="008D56DA" w:rsidP="00585355">
            <w:pPr>
              <w:pStyle w:val="ListParagraph"/>
              <w:ind w:left="0"/>
              <w:jc w:val="center"/>
              <w:rPr>
                <w:bCs/>
                <w:sz w:val="24"/>
                <w:szCs w:val="24"/>
              </w:rPr>
            </w:pPr>
            <w:r w:rsidRPr="00A72108">
              <w:rPr>
                <w:bCs/>
                <w:szCs w:val="24"/>
              </w:rPr>
              <w:t>Workers’ Compensation Claim Covered by Guaranty Association</w:t>
            </w:r>
          </w:p>
        </w:tc>
        <w:tc>
          <w:tcPr>
            <w:tcW w:w="2227" w:type="dxa"/>
          </w:tcPr>
          <w:p w14:paraId="08D18D6B" w14:textId="77777777" w:rsidR="008D56DA" w:rsidRPr="00B23917" w:rsidRDefault="008D56DA" w:rsidP="00585355">
            <w:pPr>
              <w:pStyle w:val="ListParagraph"/>
              <w:ind w:left="0"/>
              <w:jc w:val="center"/>
              <w:rPr>
                <w:bCs/>
                <w:sz w:val="24"/>
                <w:szCs w:val="24"/>
              </w:rPr>
            </w:pPr>
            <w:r w:rsidRPr="00A72108">
              <w:rPr>
                <w:bCs/>
                <w:szCs w:val="24"/>
              </w:rPr>
              <w:t>Entry of Order of Liquidation</w:t>
            </w:r>
          </w:p>
        </w:tc>
        <w:tc>
          <w:tcPr>
            <w:tcW w:w="1733" w:type="dxa"/>
          </w:tcPr>
          <w:p w14:paraId="6A2AEC81" w14:textId="77777777" w:rsidR="008D56DA" w:rsidRPr="00B23917" w:rsidRDefault="008D56DA" w:rsidP="00585355">
            <w:pPr>
              <w:pStyle w:val="ListParagraph"/>
              <w:ind w:left="0"/>
              <w:jc w:val="center"/>
              <w:rPr>
                <w:bCs/>
                <w:sz w:val="24"/>
                <w:szCs w:val="24"/>
              </w:rPr>
            </w:pPr>
            <w:r w:rsidRPr="00A72108">
              <w:rPr>
                <w:bCs/>
                <w:szCs w:val="24"/>
              </w:rPr>
              <w:t>N/A</w:t>
            </w:r>
          </w:p>
        </w:tc>
      </w:tr>
      <w:tr w:rsidR="008D56DA" w:rsidRPr="00222909" w14:paraId="1909BBB7" w14:textId="77777777" w:rsidTr="00585355">
        <w:tc>
          <w:tcPr>
            <w:tcW w:w="4248" w:type="dxa"/>
          </w:tcPr>
          <w:p w14:paraId="5EA415A7" w14:textId="7CAA7D0E" w:rsidR="008D56DA" w:rsidRPr="00B23917" w:rsidRDefault="008D56DA" w:rsidP="00585355">
            <w:pPr>
              <w:pStyle w:val="ListParagraph"/>
              <w:ind w:left="0"/>
              <w:jc w:val="center"/>
              <w:rPr>
                <w:sz w:val="24"/>
                <w:szCs w:val="24"/>
              </w:rPr>
            </w:pPr>
            <w:r w:rsidRPr="00A72108">
              <w:rPr>
                <w:szCs w:val="24"/>
              </w:rPr>
              <w:t xml:space="preserve">Covered Workers’ Compensation Claim within Large Deductible </w:t>
            </w:r>
            <w:r w:rsidR="00C8069D" w:rsidRPr="00A72108">
              <w:rPr>
                <w:szCs w:val="24"/>
              </w:rPr>
              <w:t>Where</w:t>
            </w:r>
            <w:r w:rsidRPr="00A72108">
              <w:rPr>
                <w:szCs w:val="24"/>
              </w:rPr>
              <w:t xml:space="preserve"> Insured is Contractually Entitled to Select TPA Until Large Deductible Has Breached </w:t>
            </w:r>
          </w:p>
        </w:tc>
        <w:tc>
          <w:tcPr>
            <w:tcW w:w="2227" w:type="dxa"/>
          </w:tcPr>
          <w:p w14:paraId="57DF9669" w14:textId="77777777" w:rsidR="008D56DA" w:rsidRPr="00B23917" w:rsidRDefault="008D56DA" w:rsidP="00585355">
            <w:pPr>
              <w:pStyle w:val="ListParagraph"/>
              <w:ind w:left="0"/>
              <w:jc w:val="center"/>
              <w:rPr>
                <w:sz w:val="24"/>
                <w:szCs w:val="24"/>
              </w:rPr>
            </w:pPr>
            <w:r w:rsidRPr="00A72108">
              <w:rPr>
                <w:szCs w:val="24"/>
              </w:rPr>
              <w:t>Date when Deductible Breach Results in Claim Transfer to Guaranty Association or</w:t>
            </w:r>
          </w:p>
          <w:p w14:paraId="379A25D1" w14:textId="77777777" w:rsidR="008D56DA" w:rsidRPr="00B23917" w:rsidRDefault="008D56DA" w:rsidP="00585355">
            <w:pPr>
              <w:pStyle w:val="ListParagraph"/>
              <w:ind w:left="0"/>
              <w:jc w:val="center"/>
              <w:rPr>
                <w:sz w:val="24"/>
                <w:szCs w:val="24"/>
              </w:rPr>
            </w:pPr>
            <w:r w:rsidRPr="00A72108">
              <w:rPr>
                <w:szCs w:val="24"/>
              </w:rPr>
              <w:t xml:space="preserve">Assumption by Employer </w:t>
            </w:r>
          </w:p>
        </w:tc>
        <w:tc>
          <w:tcPr>
            <w:tcW w:w="1733" w:type="dxa"/>
          </w:tcPr>
          <w:p w14:paraId="2FA99D71" w14:textId="77777777" w:rsidR="008D56DA" w:rsidRPr="00B23917" w:rsidRDefault="008D56DA" w:rsidP="00585355">
            <w:pPr>
              <w:pStyle w:val="ListParagraph"/>
              <w:ind w:left="0"/>
              <w:jc w:val="center"/>
              <w:rPr>
                <w:sz w:val="24"/>
                <w:szCs w:val="24"/>
              </w:rPr>
            </w:pPr>
            <w:r w:rsidRPr="00A72108">
              <w:rPr>
                <w:szCs w:val="24"/>
              </w:rPr>
              <w:t>N/A</w:t>
            </w:r>
          </w:p>
        </w:tc>
      </w:tr>
      <w:tr w:rsidR="008D56DA" w:rsidRPr="00222909" w14:paraId="6952609D" w14:textId="77777777" w:rsidTr="00585355">
        <w:tc>
          <w:tcPr>
            <w:tcW w:w="4248" w:type="dxa"/>
          </w:tcPr>
          <w:p w14:paraId="25730FC8" w14:textId="77777777" w:rsidR="008D56DA" w:rsidRPr="00B23917" w:rsidRDefault="008D56DA" w:rsidP="00585355">
            <w:pPr>
              <w:pStyle w:val="ListParagraph"/>
              <w:ind w:left="0"/>
              <w:jc w:val="center"/>
              <w:rPr>
                <w:sz w:val="24"/>
                <w:szCs w:val="24"/>
              </w:rPr>
            </w:pPr>
            <w:r w:rsidRPr="00A72108">
              <w:rPr>
                <w:szCs w:val="24"/>
              </w:rPr>
              <w:t>Uncovered Workers’ Compensation Claim Related to Pre-liq. Overpayment of Large Deductible Amount</w:t>
            </w:r>
          </w:p>
        </w:tc>
        <w:tc>
          <w:tcPr>
            <w:tcW w:w="2227" w:type="dxa"/>
          </w:tcPr>
          <w:p w14:paraId="4A313D41" w14:textId="77777777" w:rsidR="008D56DA" w:rsidRPr="00B23917" w:rsidRDefault="008D56DA" w:rsidP="00585355">
            <w:pPr>
              <w:pStyle w:val="ListParagraph"/>
              <w:ind w:left="0"/>
              <w:jc w:val="center"/>
              <w:rPr>
                <w:sz w:val="24"/>
                <w:szCs w:val="24"/>
              </w:rPr>
            </w:pPr>
            <w:r w:rsidRPr="00A72108">
              <w:rPr>
                <w:szCs w:val="24"/>
              </w:rPr>
              <w:t>N/A</w:t>
            </w:r>
          </w:p>
        </w:tc>
        <w:tc>
          <w:tcPr>
            <w:tcW w:w="1733" w:type="dxa"/>
          </w:tcPr>
          <w:p w14:paraId="5E07B908" w14:textId="77777777" w:rsidR="008D56DA" w:rsidRPr="00B23917" w:rsidRDefault="008D56DA" w:rsidP="00585355">
            <w:pPr>
              <w:pStyle w:val="ListParagraph"/>
              <w:ind w:left="0"/>
              <w:jc w:val="center"/>
              <w:rPr>
                <w:sz w:val="24"/>
                <w:szCs w:val="24"/>
              </w:rPr>
            </w:pPr>
            <w:r w:rsidRPr="00A72108">
              <w:rPr>
                <w:szCs w:val="24"/>
              </w:rPr>
              <w:t>w/i 135 days of Estate Distribution</w:t>
            </w:r>
          </w:p>
        </w:tc>
      </w:tr>
      <w:tr w:rsidR="008D56DA" w:rsidRPr="00222909" w14:paraId="5F2A70A8" w14:textId="77777777" w:rsidTr="00585355">
        <w:tc>
          <w:tcPr>
            <w:tcW w:w="4248" w:type="dxa"/>
          </w:tcPr>
          <w:p w14:paraId="185158C7" w14:textId="77777777" w:rsidR="008D56DA" w:rsidRPr="00B23917" w:rsidRDefault="008D56DA" w:rsidP="00585355">
            <w:pPr>
              <w:pStyle w:val="ListParagraph"/>
              <w:ind w:left="0"/>
              <w:jc w:val="center"/>
              <w:rPr>
                <w:sz w:val="24"/>
                <w:szCs w:val="24"/>
              </w:rPr>
            </w:pPr>
            <w:r w:rsidRPr="00A72108">
              <w:rPr>
                <w:szCs w:val="24"/>
              </w:rPr>
              <w:t>Uncovered Claims Subject to Reinsurance Cut-Thru Agreement</w:t>
            </w:r>
          </w:p>
        </w:tc>
        <w:tc>
          <w:tcPr>
            <w:tcW w:w="2227" w:type="dxa"/>
          </w:tcPr>
          <w:p w14:paraId="03C799CC" w14:textId="77777777" w:rsidR="008D56DA" w:rsidRPr="00B23917" w:rsidRDefault="008D56DA" w:rsidP="00585355">
            <w:pPr>
              <w:pStyle w:val="ListParagraph"/>
              <w:ind w:left="0"/>
              <w:jc w:val="center"/>
              <w:rPr>
                <w:sz w:val="24"/>
                <w:szCs w:val="24"/>
              </w:rPr>
            </w:pPr>
            <w:r w:rsidRPr="00A72108">
              <w:rPr>
                <w:szCs w:val="24"/>
              </w:rPr>
              <w:t>Date of Transfer of Claim to Assuming Carrier</w:t>
            </w:r>
          </w:p>
        </w:tc>
        <w:tc>
          <w:tcPr>
            <w:tcW w:w="1733" w:type="dxa"/>
          </w:tcPr>
          <w:p w14:paraId="1B63CFDF" w14:textId="77777777" w:rsidR="008D56DA" w:rsidRPr="00B23917" w:rsidRDefault="008D56DA" w:rsidP="00585355">
            <w:pPr>
              <w:pStyle w:val="ListParagraph"/>
              <w:ind w:left="0"/>
              <w:jc w:val="center"/>
              <w:rPr>
                <w:sz w:val="24"/>
                <w:szCs w:val="24"/>
              </w:rPr>
            </w:pPr>
            <w:r w:rsidRPr="00A72108">
              <w:rPr>
                <w:szCs w:val="24"/>
              </w:rPr>
              <w:t>N/A</w:t>
            </w:r>
          </w:p>
        </w:tc>
      </w:tr>
      <w:tr w:rsidR="008D56DA" w:rsidRPr="00222909" w14:paraId="442AFA1F" w14:textId="77777777" w:rsidTr="00585355">
        <w:tc>
          <w:tcPr>
            <w:tcW w:w="4248" w:type="dxa"/>
          </w:tcPr>
          <w:p w14:paraId="7A30C447" w14:textId="77777777" w:rsidR="008D56DA" w:rsidRPr="00B23917" w:rsidRDefault="008D56DA" w:rsidP="00585355">
            <w:pPr>
              <w:pStyle w:val="ListParagraph"/>
              <w:ind w:left="0"/>
              <w:jc w:val="center"/>
              <w:rPr>
                <w:sz w:val="24"/>
                <w:szCs w:val="24"/>
              </w:rPr>
            </w:pPr>
            <w:r w:rsidRPr="00A72108">
              <w:rPr>
                <w:szCs w:val="24"/>
              </w:rPr>
              <w:t>Uncovered Claims Subject to Fronting Agreement</w:t>
            </w:r>
          </w:p>
        </w:tc>
        <w:tc>
          <w:tcPr>
            <w:tcW w:w="2227" w:type="dxa"/>
          </w:tcPr>
          <w:p w14:paraId="3BE6E389" w14:textId="77777777" w:rsidR="008D56DA" w:rsidRPr="00B23917" w:rsidRDefault="008D56DA" w:rsidP="00585355">
            <w:pPr>
              <w:pStyle w:val="ListParagraph"/>
              <w:ind w:left="0"/>
              <w:jc w:val="center"/>
              <w:rPr>
                <w:sz w:val="24"/>
                <w:szCs w:val="24"/>
              </w:rPr>
            </w:pPr>
            <w:r w:rsidRPr="00A72108">
              <w:rPr>
                <w:szCs w:val="24"/>
              </w:rPr>
              <w:t xml:space="preserve">Date of Transfer of </w:t>
            </w:r>
            <w:r w:rsidRPr="00A72108">
              <w:rPr>
                <w:szCs w:val="24"/>
              </w:rPr>
              <w:lastRenderedPageBreak/>
              <w:t>Claim to Assuming Carrier</w:t>
            </w:r>
          </w:p>
        </w:tc>
        <w:tc>
          <w:tcPr>
            <w:tcW w:w="1733" w:type="dxa"/>
          </w:tcPr>
          <w:p w14:paraId="23B3CF78" w14:textId="77777777" w:rsidR="008D56DA" w:rsidRPr="00B23917" w:rsidRDefault="008D56DA" w:rsidP="00585355">
            <w:pPr>
              <w:pStyle w:val="ListParagraph"/>
              <w:ind w:left="0"/>
              <w:jc w:val="center"/>
              <w:rPr>
                <w:sz w:val="24"/>
                <w:szCs w:val="24"/>
              </w:rPr>
            </w:pPr>
            <w:r w:rsidRPr="00A72108">
              <w:rPr>
                <w:szCs w:val="24"/>
              </w:rPr>
              <w:lastRenderedPageBreak/>
              <w:t>N/A</w:t>
            </w:r>
          </w:p>
        </w:tc>
      </w:tr>
      <w:tr w:rsidR="008D56DA" w:rsidRPr="00222909" w14:paraId="533A2AD7" w14:textId="77777777" w:rsidTr="00585355">
        <w:tc>
          <w:tcPr>
            <w:tcW w:w="4248" w:type="dxa"/>
          </w:tcPr>
          <w:p w14:paraId="3FCA54B3" w14:textId="77777777" w:rsidR="008D56DA" w:rsidRPr="00B23917" w:rsidRDefault="008D56DA" w:rsidP="00585355">
            <w:pPr>
              <w:pStyle w:val="ListParagraph"/>
              <w:ind w:left="0"/>
              <w:jc w:val="center"/>
              <w:rPr>
                <w:sz w:val="24"/>
                <w:szCs w:val="24"/>
              </w:rPr>
            </w:pPr>
            <w:r w:rsidRPr="00A72108">
              <w:rPr>
                <w:szCs w:val="24"/>
              </w:rPr>
              <w:t>Uncovered Claims Related to Novation or Policyholder Buy-Back</w:t>
            </w:r>
          </w:p>
        </w:tc>
        <w:tc>
          <w:tcPr>
            <w:tcW w:w="2227" w:type="dxa"/>
          </w:tcPr>
          <w:p w14:paraId="50201DE9" w14:textId="77777777" w:rsidR="008D56DA" w:rsidRPr="00B23917" w:rsidRDefault="008D56DA" w:rsidP="00585355">
            <w:pPr>
              <w:pStyle w:val="ListParagraph"/>
              <w:ind w:left="0"/>
              <w:jc w:val="center"/>
              <w:rPr>
                <w:sz w:val="24"/>
                <w:szCs w:val="24"/>
              </w:rPr>
            </w:pPr>
            <w:r w:rsidRPr="00A72108">
              <w:rPr>
                <w:szCs w:val="24"/>
              </w:rPr>
              <w:t>Date of Novation or Policyholder Assumption</w:t>
            </w:r>
          </w:p>
        </w:tc>
        <w:tc>
          <w:tcPr>
            <w:tcW w:w="1733" w:type="dxa"/>
          </w:tcPr>
          <w:p w14:paraId="7B284709" w14:textId="77777777" w:rsidR="008D56DA" w:rsidRPr="00B23917" w:rsidRDefault="008D56DA" w:rsidP="00585355">
            <w:pPr>
              <w:pStyle w:val="ListParagraph"/>
              <w:ind w:left="0"/>
              <w:jc w:val="center"/>
              <w:rPr>
                <w:sz w:val="24"/>
                <w:szCs w:val="24"/>
              </w:rPr>
            </w:pPr>
            <w:r w:rsidRPr="00A72108">
              <w:rPr>
                <w:szCs w:val="24"/>
              </w:rPr>
              <w:t>N/A</w:t>
            </w:r>
          </w:p>
        </w:tc>
      </w:tr>
      <w:tr w:rsidR="008D56DA" w:rsidRPr="00222909" w14:paraId="4E860697" w14:textId="77777777" w:rsidTr="00585355">
        <w:tc>
          <w:tcPr>
            <w:tcW w:w="4248" w:type="dxa"/>
          </w:tcPr>
          <w:p w14:paraId="798A5CA2" w14:textId="77777777" w:rsidR="008D56DA" w:rsidRPr="00B23917" w:rsidRDefault="008D56DA" w:rsidP="00585355">
            <w:pPr>
              <w:pStyle w:val="ListParagraph"/>
              <w:ind w:left="0"/>
              <w:jc w:val="center"/>
              <w:rPr>
                <w:sz w:val="24"/>
                <w:szCs w:val="24"/>
              </w:rPr>
            </w:pPr>
            <w:r w:rsidRPr="00A72108">
              <w:rPr>
                <w:szCs w:val="24"/>
              </w:rPr>
              <w:t>Uncovered Claims Assigned to Insurer by an Assigned Risk Pool</w:t>
            </w:r>
          </w:p>
        </w:tc>
        <w:tc>
          <w:tcPr>
            <w:tcW w:w="2227" w:type="dxa"/>
          </w:tcPr>
          <w:p w14:paraId="4C10AD95" w14:textId="77777777" w:rsidR="008D56DA" w:rsidRPr="00B23917" w:rsidRDefault="008D56DA" w:rsidP="00585355">
            <w:pPr>
              <w:pStyle w:val="ListParagraph"/>
              <w:ind w:left="0"/>
              <w:jc w:val="center"/>
              <w:rPr>
                <w:sz w:val="24"/>
                <w:szCs w:val="24"/>
              </w:rPr>
            </w:pPr>
            <w:r w:rsidRPr="00A72108">
              <w:rPr>
                <w:szCs w:val="24"/>
              </w:rPr>
              <w:t>Entry of Order of Liquidation</w:t>
            </w:r>
          </w:p>
        </w:tc>
        <w:tc>
          <w:tcPr>
            <w:tcW w:w="1733" w:type="dxa"/>
          </w:tcPr>
          <w:p w14:paraId="36E01B59" w14:textId="77777777" w:rsidR="008D56DA" w:rsidRPr="00B23917" w:rsidRDefault="008D56DA" w:rsidP="00585355">
            <w:pPr>
              <w:pStyle w:val="ListParagraph"/>
              <w:ind w:left="0"/>
              <w:jc w:val="center"/>
              <w:rPr>
                <w:sz w:val="24"/>
                <w:szCs w:val="24"/>
              </w:rPr>
            </w:pPr>
            <w:r w:rsidRPr="00A72108">
              <w:rPr>
                <w:szCs w:val="24"/>
              </w:rPr>
              <w:t>N/A</w:t>
            </w:r>
          </w:p>
        </w:tc>
      </w:tr>
      <w:tr w:rsidR="008D56DA" w:rsidRPr="00222909" w14:paraId="1241607B" w14:textId="77777777" w:rsidTr="00585355">
        <w:tc>
          <w:tcPr>
            <w:tcW w:w="4248" w:type="dxa"/>
          </w:tcPr>
          <w:p w14:paraId="06B79FDB" w14:textId="3CCD33D2" w:rsidR="008D56DA" w:rsidRPr="00B23917" w:rsidRDefault="008D56DA" w:rsidP="00585355">
            <w:pPr>
              <w:pStyle w:val="ListParagraph"/>
              <w:ind w:left="0"/>
              <w:jc w:val="center"/>
              <w:rPr>
                <w:sz w:val="24"/>
                <w:szCs w:val="24"/>
              </w:rPr>
            </w:pPr>
            <w:r w:rsidRPr="00A72108">
              <w:rPr>
                <w:szCs w:val="24"/>
              </w:rPr>
              <w:t>Uncovered Claim</w:t>
            </w:r>
            <w:r w:rsidR="00803D63" w:rsidRPr="00A72108">
              <w:rPr>
                <w:szCs w:val="24"/>
              </w:rPr>
              <w:t>s</w:t>
            </w:r>
            <w:r w:rsidRPr="00A72108">
              <w:rPr>
                <w:szCs w:val="24"/>
              </w:rPr>
              <w:t xml:space="preserve"> for Auto Liability Med-pay Coverage</w:t>
            </w:r>
          </w:p>
          <w:p w14:paraId="4D7C5599" w14:textId="77777777" w:rsidR="008D56DA" w:rsidRPr="00B23917" w:rsidRDefault="008D56DA" w:rsidP="00585355">
            <w:pPr>
              <w:pStyle w:val="ListParagraph"/>
              <w:ind w:left="0"/>
              <w:jc w:val="center"/>
              <w:rPr>
                <w:sz w:val="24"/>
                <w:szCs w:val="24"/>
              </w:rPr>
            </w:pPr>
          </w:p>
        </w:tc>
        <w:tc>
          <w:tcPr>
            <w:tcW w:w="2227" w:type="dxa"/>
          </w:tcPr>
          <w:p w14:paraId="35EC9B89" w14:textId="77777777" w:rsidR="008D56DA" w:rsidRPr="00B23917" w:rsidRDefault="008D56DA" w:rsidP="00585355">
            <w:pPr>
              <w:pStyle w:val="ListParagraph"/>
              <w:ind w:left="0"/>
              <w:jc w:val="center"/>
              <w:rPr>
                <w:sz w:val="24"/>
                <w:szCs w:val="24"/>
              </w:rPr>
            </w:pPr>
            <w:r w:rsidRPr="00A72108">
              <w:rPr>
                <w:szCs w:val="24"/>
              </w:rPr>
              <w:t>Entry of Order of Liquidation</w:t>
            </w:r>
          </w:p>
        </w:tc>
        <w:tc>
          <w:tcPr>
            <w:tcW w:w="1733" w:type="dxa"/>
          </w:tcPr>
          <w:p w14:paraId="51179F26" w14:textId="77777777" w:rsidR="008D56DA" w:rsidRPr="00B23917" w:rsidRDefault="008D56DA" w:rsidP="00585355">
            <w:pPr>
              <w:pStyle w:val="ListParagraph"/>
              <w:ind w:left="0"/>
              <w:jc w:val="center"/>
              <w:rPr>
                <w:sz w:val="24"/>
                <w:szCs w:val="24"/>
              </w:rPr>
            </w:pPr>
            <w:r w:rsidRPr="00A72108">
              <w:rPr>
                <w:szCs w:val="24"/>
              </w:rPr>
              <w:t>w/i 135 days of Estate Distribution on Uncovered Amount</w:t>
            </w:r>
          </w:p>
        </w:tc>
      </w:tr>
      <w:tr w:rsidR="008D56DA" w:rsidRPr="00222909" w14:paraId="449958FC" w14:textId="77777777" w:rsidTr="00585355">
        <w:tc>
          <w:tcPr>
            <w:tcW w:w="4248" w:type="dxa"/>
          </w:tcPr>
          <w:p w14:paraId="50118D62" w14:textId="77777777" w:rsidR="008D56DA" w:rsidRPr="00B23917" w:rsidRDefault="008D56DA" w:rsidP="00585355">
            <w:pPr>
              <w:pStyle w:val="ListParagraph"/>
              <w:ind w:left="0"/>
              <w:jc w:val="center"/>
              <w:rPr>
                <w:sz w:val="24"/>
                <w:szCs w:val="24"/>
              </w:rPr>
            </w:pPr>
            <w:r w:rsidRPr="00A72108">
              <w:rPr>
                <w:szCs w:val="24"/>
              </w:rPr>
              <w:t>General Liability Insurance</w:t>
            </w:r>
          </w:p>
        </w:tc>
        <w:tc>
          <w:tcPr>
            <w:tcW w:w="2227" w:type="dxa"/>
          </w:tcPr>
          <w:p w14:paraId="4C69BB52" w14:textId="77777777" w:rsidR="008D56DA" w:rsidRPr="00B23917" w:rsidRDefault="008D56DA" w:rsidP="00585355">
            <w:pPr>
              <w:pStyle w:val="ListParagraph"/>
              <w:ind w:left="0"/>
              <w:jc w:val="center"/>
              <w:rPr>
                <w:sz w:val="24"/>
                <w:szCs w:val="24"/>
              </w:rPr>
            </w:pPr>
            <w:r w:rsidRPr="00A72108">
              <w:rPr>
                <w:szCs w:val="24"/>
              </w:rPr>
              <w:t>Entry of Order of Liquidation</w:t>
            </w:r>
          </w:p>
        </w:tc>
        <w:tc>
          <w:tcPr>
            <w:tcW w:w="1733" w:type="dxa"/>
          </w:tcPr>
          <w:p w14:paraId="0F442703" w14:textId="77777777" w:rsidR="008D56DA" w:rsidRPr="00B23917" w:rsidRDefault="008D56DA" w:rsidP="00585355">
            <w:pPr>
              <w:pStyle w:val="ListParagraph"/>
              <w:ind w:left="0"/>
              <w:jc w:val="center"/>
              <w:rPr>
                <w:sz w:val="24"/>
                <w:szCs w:val="24"/>
              </w:rPr>
            </w:pPr>
            <w:r w:rsidRPr="00A72108">
              <w:rPr>
                <w:szCs w:val="24"/>
              </w:rPr>
              <w:t>w/i 135 days of Estate Distribution on Uncovered Amounts</w:t>
            </w:r>
          </w:p>
        </w:tc>
      </w:tr>
    </w:tbl>
    <w:p w14:paraId="3CD9601E" w14:textId="77777777" w:rsidR="00320956" w:rsidRPr="00222909" w:rsidRDefault="00320956" w:rsidP="00320956">
      <w:pPr>
        <w:pStyle w:val="ListParagraph"/>
        <w:rPr>
          <w:b/>
          <w:bCs/>
          <w:szCs w:val="24"/>
        </w:rPr>
      </w:pPr>
    </w:p>
    <w:p w14:paraId="7A4923E7" w14:textId="4F22B6FC" w:rsidR="00320956" w:rsidRPr="00222909" w:rsidRDefault="00320956" w:rsidP="00320956">
      <w:pPr>
        <w:jc w:val="both"/>
        <w:rPr>
          <w:szCs w:val="24"/>
        </w:rPr>
      </w:pPr>
      <w:r w:rsidRPr="00222909">
        <w:rPr>
          <w:szCs w:val="24"/>
        </w:rPr>
        <w:t xml:space="preserve">The MSP rule is that Medicare is </w:t>
      </w:r>
      <w:r w:rsidR="00C85EE2">
        <w:rPr>
          <w:szCs w:val="24"/>
        </w:rPr>
        <w:t xml:space="preserve">generally </w:t>
      </w:r>
      <w:r w:rsidRPr="00222909">
        <w:rPr>
          <w:szCs w:val="24"/>
        </w:rPr>
        <w:t>secondary to any liability insurance, no fault insurance, workers compensation law or plan, or group health plan. Medicare cannot pay for services to the extent that payment has been made or can reasonably be expected to be made by the primary payer. However, Medicare can make conditional payments to the extent that payment has not been made and cannot reasonably be expected to be made by the primary payer.</w:t>
      </w:r>
    </w:p>
    <w:p w14:paraId="62F36048" w14:textId="77777777" w:rsidR="00320956" w:rsidRPr="00222909" w:rsidRDefault="00320956" w:rsidP="00320956">
      <w:pPr>
        <w:jc w:val="both"/>
        <w:rPr>
          <w:szCs w:val="24"/>
        </w:rPr>
      </w:pPr>
    </w:p>
    <w:p w14:paraId="6043563B" w14:textId="2A1B3D4B" w:rsidR="006E0BF3" w:rsidRPr="00222909" w:rsidRDefault="006E0BF3" w:rsidP="006E0BF3">
      <w:pPr>
        <w:jc w:val="both"/>
        <w:rPr>
          <w:snapToGrid/>
          <w:szCs w:val="24"/>
        </w:rPr>
      </w:pPr>
      <w:r w:rsidRPr="00222909">
        <w:rPr>
          <w:szCs w:val="24"/>
        </w:rPr>
        <w:t>The reporting requirements applicable to a receivership depend on the type of insurance involved. CMS establishes reporting requirements, reporting timeframes, and, for</w:t>
      </w:r>
      <w:r w:rsidR="00C85EE2">
        <w:rPr>
          <w:szCs w:val="24"/>
        </w:rPr>
        <w:t xml:space="preserve"> cert</w:t>
      </w:r>
      <w:r w:rsidR="000B61FD">
        <w:rPr>
          <w:szCs w:val="24"/>
        </w:rPr>
        <w:t>ain</w:t>
      </w:r>
      <w:r w:rsidRPr="00222909">
        <w:rPr>
          <w:szCs w:val="24"/>
        </w:rPr>
        <w:t xml:space="preserve"> non-group health plans, applicable reporting thresholds.</w:t>
      </w:r>
      <w:r w:rsidRPr="00222909">
        <w:rPr>
          <w:rStyle w:val="FootnoteReference"/>
          <w:szCs w:val="24"/>
        </w:rPr>
        <w:footnoteReference w:id="16"/>
      </w:r>
    </w:p>
    <w:p w14:paraId="124FF6EC" w14:textId="77777777" w:rsidR="006E0BF3" w:rsidRPr="00222909" w:rsidRDefault="006E0BF3" w:rsidP="006E0BF3">
      <w:pPr>
        <w:pStyle w:val="ListParagraph"/>
        <w:jc w:val="both"/>
        <w:rPr>
          <w:szCs w:val="24"/>
        </w:rPr>
      </w:pPr>
    </w:p>
    <w:p w14:paraId="6DA0152B" w14:textId="7EABB589" w:rsidR="00F772A6" w:rsidRPr="00222909" w:rsidRDefault="006E0BF3" w:rsidP="00F772A6">
      <w:pPr>
        <w:keepNext/>
        <w:jc w:val="both"/>
        <w:rPr>
          <w:szCs w:val="24"/>
        </w:rPr>
      </w:pPr>
      <w:r w:rsidRPr="00222909">
        <w:rPr>
          <w:szCs w:val="24"/>
        </w:rPr>
        <w:t xml:space="preserve">In general, MSP reporting falls into two categories: (i) Non-Group Health Plan (NGHP) reporting, which applies to liability </w:t>
      </w:r>
      <w:r w:rsidR="00C8069D" w:rsidRPr="00222909">
        <w:rPr>
          <w:szCs w:val="24"/>
        </w:rPr>
        <w:t>insurance (</w:t>
      </w:r>
      <w:r w:rsidR="00F772A6" w:rsidRPr="00222909">
        <w:rPr>
          <w:szCs w:val="24"/>
        </w:rPr>
        <w:t>including self-insurance)</w:t>
      </w:r>
      <w:r w:rsidRPr="00222909">
        <w:rPr>
          <w:szCs w:val="24"/>
        </w:rPr>
        <w:t>, no-fault insurance, and workers’ compensation insurance</w:t>
      </w:r>
      <w:r w:rsidR="00F772A6" w:rsidRPr="00222909">
        <w:rPr>
          <w:rStyle w:val="FootnoteReference"/>
          <w:szCs w:val="24"/>
        </w:rPr>
        <w:footnoteReference w:id="17"/>
      </w:r>
      <w:r w:rsidRPr="00222909">
        <w:rPr>
          <w:szCs w:val="24"/>
        </w:rPr>
        <w:t>, and (ii) Group Health Plan (GHP) reporting.</w:t>
      </w:r>
      <w:r w:rsidRPr="00222909">
        <w:rPr>
          <w:rStyle w:val="FootnoteReference"/>
          <w:szCs w:val="24"/>
        </w:rPr>
        <w:footnoteReference w:id="18"/>
      </w:r>
      <w:r w:rsidRPr="00222909">
        <w:rPr>
          <w:szCs w:val="24"/>
        </w:rPr>
        <w:t xml:space="preserve"> </w:t>
      </w:r>
      <w:r w:rsidR="004E4660" w:rsidRPr="00222909">
        <w:rPr>
          <w:szCs w:val="24"/>
        </w:rPr>
        <w:t xml:space="preserve">NGHP includes two subcategories: a) claims payment based or “total payment obligation to the claimant” (TPOC) reporting; and b) claim responsibility based </w:t>
      </w:r>
      <w:r w:rsidR="000B61FD">
        <w:rPr>
          <w:szCs w:val="24"/>
        </w:rPr>
        <w:t xml:space="preserve">on </w:t>
      </w:r>
      <w:r w:rsidR="004E4660" w:rsidRPr="00222909">
        <w:rPr>
          <w:szCs w:val="24"/>
        </w:rPr>
        <w:t>“ongoing responsibility for medicals” (ORM) reporting.</w:t>
      </w:r>
      <w:r w:rsidR="00F772A6" w:rsidRPr="00222909">
        <w:rPr>
          <w:szCs w:val="24"/>
        </w:rPr>
        <w:t xml:space="preserve"> Depending on the circumstances, reporting obligations generally arise when a claim involving a Medicare beneficiary is resolved, in whole or in part, or when responsibility for future medicals is assumed.</w:t>
      </w:r>
      <w:r w:rsidR="00F772A6" w:rsidRPr="00222909">
        <w:rPr>
          <w:rStyle w:val="FootnoteReference"/>
          <w:szCs w:val="24"/>
        </w:rPr>
        <w:footnoteReference w:id="19"/>
      </w:r>
      <w:r w:rsidR="00F772A6" w:rsidRPr="00222909">
        <w:rPr>
          <w:szCs w:val="24"/>
        </w:rPr>
        <w:t xml:space="preserve"> </w:t>
      </w:r>
    </w:p>
    <w:p w14:paraId="453F1D6F" w14:textId="3158FE12" w:rsidR="006C32CD" w:rsidRPr="00222909" w:rsidRDefault="006C32CD" w:rsidP="006C32CD">
      <w:pPr>
        <w:jc w:val="both"/>
        <w:rPr>
          <w:szCs w:val="24"/>
        </w:rPr>
      </w:pPr>
    </w:p>
    <w:p w14:paraId="303F642B" w14:textId="14EE30CE" w:rsidR="00F772A6" w:rsidRPr="00222909" w:rsidRDefault="00780750" w:rsidP="00F772A6">
      <w:pPr>
        <w:jc w:val="both"/>
        <w:rPr>
          <w:szCs w:val="24"/>
        </w:rPr>
      </w:pPr>
      <w:r w:rsidRPr="00222909">
        <w:rPr>
          <w:szCs w:val="24"/>
        </w:rPr>
        <w:t xml:space="preserve">Receivers administering these lines of business should determine whether NGHP reporting obligations exist, identify the person or entity legally responsible for reporting, identify the person or entity that will </w:t>
      </w:r>
      <w:r w:rsidRPr="00222909">
        <w:rPr>
          <w:szCs w:val="24"/>
        </w:rPr>
        <w:lastRenderedPageBreak/>
        <w:t>perform the associated reporting functions, and establish procedures for timely compliance.</w:t>
      </w:r>
      <w:r w:rsidR="00F772A6" w:rsidRPr="00222909">
        <w:rPr>
          <w:szCs w:val="24"/>
        </w:rPr>
        <w:t xml:space="preserve"> Identifying the applicable reporting framework early in the receivership will assist the receiver in establishing appropriate administrative procedures and coordinating reporting responsibilities.</w:t>
      </w:r>
    </w:p>
    <w:p w14:paraId="7E21E90E" w14:textId="0AF2853D" w:rsidR="00780750" w:rsidRPr="00222909" w:rsidRDefault="00780750" w:rsidP="00780750">
      <w:pPr>
        <w:jc w:val="both"/>
        <w:rPr>
          <w:szCs w:val="24"/>
        </w:rPr>
      </w:pPr>
    </w:p>
    <w:p w14:paraId="72A62CBB" w14:textId="12F98F4F" w:rsidR="007C500B" w:rsidRPr="00222909" w:rsidRDefault="007C500B" w:rsidP="00B23917">
      <w:pPr>
        <w:pStyle w:val="ListParagraph"/>
        <w:numPr>
          <w:ilvl w:val="3"/>
          <w:numId w:val="18"/>
        </w:numPr>
        <w:ind w:left="1080"/>
        <w:jc w:val="both"/>
        <w:rPr>
          <w:b/>
          <w:bCs/>
          <w:szCs w:val="24"/>
        </w:rPr>
      </w:pPr>
      <w:r w:rsidRPr="00222909">
        <w:rPr>
          <w:b/>
          <w:bCs/>
          <w:szCs w:val="24"/>
        </w:rPr>
        <w:t>TPOC</w:t>
      </w:r>
      <w:r w:rsidR="008B5EEF" w:rsidRPr="00222909">
        <w:rPr>
          <w:b/>
          <w:bCs/>
          <w:szCs w:val="24"/>
        </w:rPr>
        <w:t xml:space="preserve"> – Total Payment Obligation to the Claimant</w:t>
      </w:r>
    </w:p>
    <w:p w14:paraId="1F7FCFD3" w14:textId="77777777" w:rsidR="0058394E" w:rsidRPr="00222909" w:rsidRDefault="0058394E" w:rsidP="0058394E">
      <w:pPr>
        <w:jc w:val="both"/>
        <w:rPr>
          <w:szCs w:val="24"/>
        </w:rPr>
      </w:pPr>
    </w:p>
    <w:p w14:paraId="6D563974" w14:textId="53146AE1" w:rsidR="009A19A6" w:rsidRPr="00222909" w:rsidRDefault="0058394E" w:rsidP="009A19A6">
      <w:pPr>
        <w:jc w:val="both"/>
        <w:rPr>
          <w:szCs w:val="24"/>
        </w:rPr>
      </w:pPr>
      <w:r w:rsidRPr="00222909">
        <w:rPr>
          <w:szCs w:val="24"/>
        </w:rPr>
        <w:t>In general, TPOC reporting applies when a claim involving a Medicare beneficiary is resolved, in whole or in part, through a settlement, judgment, award, or other payment that includes, releases, or has the effect of releasing responsibility for medicals.</w:t>
      </w:r>
      <w:r w:rsidRPr="00222909">
        <w:rPr>
          <w:rStyle w:val="FootnoteReference"/>
          <w:szCs w:val="24"/>
        </w:rPr>
        <w:footnoteReference w:id="20"/>
      </w:r>
      <w:r w:rsidRPr="00222909">
        <w:rPr>
          <w:szCs w:val="24"/>
        </w:rPr>
        <w:t xml:space="preserve">  The TPOC is the dollar amount of the total payment obligation associated with that settlement, judgment, award, or other payment and generally reflects a one-time or lump sum payment intended to resolve or partially resolve the claim.</w:t>
      </w:r>
      <w:r w:rsidRPr="00222909">
        <w:rPr>
          <w:rStyle w:val="FootnoteReference"/>
          <w:szCs w:val="24"/>
        </w:rPr>
        <w:footnoteReference w:id="21"/>
      </w:r>
      <w:r w:rsidR="009A19A6" w:rsidRPr="00222909">
        <w:rPr>
          <w:szCs w:val="24"/>
        </w:rPr>
        <w:t xml:space="preserve"> Under current CMS guidance; however, the reporting obligation does not mature until there is a determination of when the claim will be funded or </w:t>
      </w:r>
      <w:r w:rsidR="00803D63" w:rsidRPr="00222909">
        <w:rPr>
          <w:szCs w:val="24"/>
        </w:rPr>
        <w:t>disbursed</w:t>
      </w:r>
      <w:r w:rsidR="009A19A6" w:rsidRPr="00222909">
        <w:rPr>
          <w:szCs w:val="24"/>
        </w:rPr>
        <w:t xml:space="preserve">. Payments under a defined threshold ($750 in 2026) are also </w:t>
      </w:r>
      <w:r w:rsidR="00803D63" w:rsidRPr="00222909">
        <w:rPr>
          <w:szCs w:val="24"/>
        </w:rPr>
        <w:t xml:space="preserve">generally </w:t>
      </w:r>
      <w:r w:rsidR="009A19A6" w:rsidRPr="00222909">
        <w:rPr>
          <w:szCs w:val="24"/>
        </w:rPr>
        <w:t xml:space="preserve">not reportable. </w:t>
      </w:r>
    </w:p>
    <w:p w14:paraId="4A8380C9" w14:textId="1FE71758" w:rsidR="0058394E" w:rsidRPr="00222909" w:rsidRDefault="0058394E" w:rsidP="0058394E">
      <w:pPr>
        <w:jc w:val="both"/>
        <w:rPr>
          <w:szCs w:val="24"/>
        </w:rPr>
      </w:pPr>
    </w:p>
    <w:p w14:paraId="733F2BBC" w14:textId="3CC5DE1F" w:rsidR="0058394E" w:rsidRPr="00222909" w:rsidRDefault="0058394E" w:rsidP="0058394E">
      <w:pPr>
        <w:jc w:val="both"/>
        <w:rPr>
          <w:szCs w:val="24"/>
        </w:rPr>
      </w:pPr>
      <w:r w:rsidRPr="00222909">
        <w:rPr>
          <w:szCs w:val="24"/>
        </w:rPr>
        <w:t>The applicable reporting date may depend on when the payment obligation is established and, in cases involving delayed funding or where there is no written agreement, when funding or disbursement is first scheduled.</w:t>
      </w:r>
      <w:r w:rsidRPr="00222909">
        <w:rPr>
          <w:rStyle w:val="FootnoteReference"/>
          <w:szCs w:val="24"/>
        </w:rPr>
        <w:footnoteReference w:id="22"/>
      </w:r>
    </w:p>
    <w:p w14:paraId="014A850A" w14:textId="77777777" w:rsidR="0058394E" w:rsidRPr="00222909" w:rsidRDefault="0058394E" w:rsidP="0058394E">
      <w:pPr>
        <w:jc w:val="both"/>
        <w:rPr>
          <w:szCs w:val="24"/>
        </w:rPr>
      </w:pPr>
    </w:p>
    <w:p w14:paraId="49006A50" w14:textId="34BE3D82" w:rsidR="0058394E" w:rsidRPr="00222909" w:rsidRDefault="0058394E" w:rsidP="0058394E">
      <w:pPr>
        <w:jc w:val="both"/>
        <w:rPr>
          <w:szCs w:val="24"/>
        </w:rPr>
      </w:pPr>
      <w:r w:rsidRPr="00222909">
        <w:rPr>
          <w:szCs w:val="24"/>
        </w:rPr>
        <w:t>Receivers should adopt procedures to identify reportable claim resolutions and collect and preserve the information necessary to satisfy applicable reporting obligations.  Receivers should also determine the person or entity legally responsible for TPOC reporting and coordinate the operational performance of any required reporting.</w:t>
      </w:r>
    </w:p>
    <w:p w14:paraId="78D6E6EB" w14:textId="77777777" w:rsidR="00320956" w:rsidRPr="00222909" w:rsidRDefault="00320956" w:rsidP="00320956">
      <w:pPr>
        <w:jc w:val="both"/>
        <w:rPr>
          <w:szCs w:val="24"/>
        </w:rPr>
      </w:pPr>
    </w:p>
    <w:p w14:paraId="0D0BC147" w14:textId="4550A712" w:rsidR="007C500B" w:rsidRPr="00222909" w:rsidRDefault="007C500B" w:rsidP="00B23917">
      <w:pPr>
        <w:pStyle w:val="ListParagraph"/>
        <w:numPr>
          <w:ilvl w:val="3"/>
          <w:numId w:val="18"/>
        </w:numPr>
        <w:ind w:left="1080"/>
        <w:jc w:val="both"/>
        <w:rPr>
          <w:b/>
          <w:bCs/>
          <w:szCs w:val="24"/>
        </w:rPr>
      </w:pPr>
      <w:r w:rsidRPr="00222909">
        <w:rPr>
          <w:b/>
          <w:bCs/>
          <w:szCs w:val="24"/>
        </w:rPr>
        <w:t>ORM</w:t>
      </w:r>
      <w:r w:rsidR="008B5EEF" w:rsidRPr="00222909">
        <w:rPr>
          <w:b/>
          <w:bCs/>
          <w:szCs w:val="24"/>
        </w:rPr>
        <w:t xml:space="preserve"> – Ongoing Responsibility for Medicals</w:t>
      </w:r>
    </w:p>
    <w:p w14:paraId="575B0866" w14:textId="77777777" w:rsidR="007C500B" w:rsidRPr="00222909" w:rsidRDefault="007C500B" w:rsidP="00320956">
      <w:pPr>
        <w:jc w:val="both"/>
        <w:rPr>
          <w:szCs w:val="24"/>
        </w:rPr>
      </w:pPr>
    </w:p>
    <w:p w14:paraId="0CDBEF18" w14:textId="77777777" w:rsidR="00DA0D09" w:rsidRPr="00222909" w:rsidRDefault="00DA0D09" w:rsidP="00DA0D09">
      <w:pPr>
        <w:keepNext/>
        <w:jc w:val="both"/>
        <w:rPr>
          <w:szCs w:val="24"/>
        </w:rPr>
      </w:pPr>
      <w:r w:rsidRPr="00222909">
        <w:rPr>
          <w:szCs w:val="24"/>
        </w:rPr>
        <w:t>In general, ORM reporting is required when an RRE has assumed ongoing responsibility for medicals, in whole or in part, for a Medicare beneficiary.</w:t>
      </w:r>
      <w:r w:rsidRPr="00222909">
        <w:rPr>
          <w:rStyle w:val="FootnoteReference"/>
          <w:szCs w:val="24"/>
        </w:rPr>
        <w:footnoteReference w:id="23"/>
      </w:r>
      <w:r w:rsidRPr="00222909">
        <w:rPr>
          <w:szCs w:val="24"/>
        </w:rPr>
        <w:t xml:space="preserve">  This generally occurs when the RRE learns, through its normal due diligence, that the beneficiary has received or is receiving medical treatment related to the injury or illness.</w:t>
      </w:r>
      <w:r w:rsidRPr="00222909">
        <w:rPr>
          <w:rStyle w:val="FootnoteReference"/>
          <w:szCs w:val="24"/>
        </w:rPr>
        <w:footnoteReference w:id="24"/>
      </w:r>
      <w:r w:rsidRPr="00222909">
        <w:rPr>
          <w:szCs w:val="24"/>
        </w:rPr>
        <w:t xml:space="preserve">  Once ORM has been reported, individual payments made pursuant to the accepted ORM generally are not reported separately.</w:t>
      </w:r>
      <w:r w:rsidRPr="00222909">
        <w:rPr>
          <w:rStyle w:val="FootnoteReference"/>
          <w:szCs w:val="24"/>
        </w:rPr>
        <w:footnoteReference w:id="25"/>
      </w:r>
      <w:r w:rsidRPr="00222909">
        <w:rPr>
          <w:szCs w:val="24"/>
        </w:rPr>
        <w:t xml:space="preserve">  A subsequent settlement, judgment, award, or other payment that includes, releases, or has the effect of releasing responsibility for medicals may constitute a reportable TPOC and should be reported if required under applicable CMS guidance.</w:t>
      </w:r>
      <w:r w:rsidRPr="00222909">
        <w:rPr>
          <w:rStyle w:val="FootnoteReference"/>
          <w:szCs w:val="24"/>
        </w:rPr>
        <w:footnoteReference w:id="26"/>
      </w:r>
    </w:p>
    <w:p w14:paraId="6C701228" w14:textId="77777777" w:rsidR="00DA0D09" w:rsidRPr="00222909" w:rsidRDefault="00DA0D09" w:rsidP="00DA0D09">
      <w:pPr>
        <w:pStyle w:val="ListParagraph"/>
        <w:jc w:val="both"/>
        <w:rPr>
          <w:szCs w:val="24"/>
        </w:rPr>
      </w:pPr>
    </w:p>
    <w:p w14:paraId="22756957" w14:textId="77777777" w:rsidR="00DA0D09" w:rsidRPr="00222909" w:rsidRDefault="00DA0D09" w:rsidP="00DA0D09">
      <w:pPr>
        <w:jc w:val="both"/>
        <w:rPr>
          <w:szCs w:val="24"/>
        </w:rPr>
      </w:pPr>
      <w:r w:rsidRPr="00222909">
        <w:rPr>
          <w:szCs w:val="24"/>
        </w:rPr>
        <w:t xml:space="preserve">Workers’ compensation claims most commonly involve ORM reporting, although other claims may also </w:t>
      </w:r>
      <w:r w:rsidRPr="00222909">
        <w:rPr>
          <w:szCs w:val="24"/>
        </w:rPr>
        <w:lastRenderedPageBreak/>
        <w:t>give rise to ORM reporting obligations depending on the circumstances.</w:t>
      </w:r>
      <w:r w:rsidRPr="00222909">
        <w:rPr>
          <w:rStyle w:val="FootnoteReference"/>
          <w:szCs w:val="24"/>
        </w:rPr>
        <w:footnoteReference w:id="27"/>
      </w:r>
    </w:p>
    <w:p w14:paraId="0D56FC29" w14:textId="77777777" w:rsidR="00DA0D09" w:rsidRPr="00222909" w:rsidRDefault="00DA0D09" w:rsidP="00DA0D09">
      <w:pPr>
        <w:pStyle w:val="ListParagraph"/>
        <w:jc w:val="both"/>
        <w:rPr>
          <w:szCs w:val="24"/>
        </w:rPr>
      </w:pPr>
    </w:p>
    <w:p w14:paraId="5D14644B" w14:textId="77777777" w:rsidR="00DA0D09" w:rsidRPr="00222909" w:rsidRDefault="00DA0D09" w:rsidP="00DA0D09">
      <w:pPr>
        <w:jc w:val="both"/>
        <w:rPr>
          <w:szCs w:val="24"/>
        </w:rPr>
      </w:pPr>
      <w:r w:rsidRPr="00222909">
        <w:rPr>
          <w:szCs w:val="24"/>
        </w:rPr>
        <w:t>Receivers should identify claims involving potential ongoing medical obligations early in the receivership, determine whether ORM reporting may be required, identify the person or entity legally responsible for any required reporting, and establish reasonable procedures, consistent with current CMS guidance, for determining whether individuals with reportable ORM are Medicare beneficiaries or later become Medicare beneficiaries.</w:t>
      </w:r>
      <w:r w:rsidRPr="00222909">
        <w:rPr>
          <w:rStyle w:val="FootnoteReference"/>
          <w:szCs w:val="24"/>
        </w:rPr>
        <w:footnoteReference w:id="28"/>
      </w:r>
    </w:p>
    <w:p w14:paraId="7258824F" w14:textId="77777777" w:rsidR="00DA0D09" w:rsidRPr="00222909" w:rsidRDefault="00DA0D09" w:rsidP="00DA0D09">
      <w:pPr>
        <w:pStyle w:val="ListParagraph"/>
        <w:jc w:val="both"/>
        <w:rPr>
          <w:szCs w:val="24"/>
        </w:rPr>
      </w:pPr>
    </w:p>
    <w:p w14:paraId="488C1493" w14:textId="77777777" w:rsidR="00DA0D09" w:rsidRPr="00222909" w:rsidRDefault="00DA0D09" w:rsidP="00DA0D09">
      <w:pPr>
        <w:jc w:val="both"/>
        <w:rPr>
          <w:szCs w:val="24"/>
        </w:rPr>
      </w:pPr>
      <w:r w:rsidRPr="00222909">
        <w:rPr>
          <w:szCs w:val="24"/>
        </w:rPr>
        <w:t>When previously reported ORM terminates, the appropriate termination information should be reported timely.</w:t>
      </w:r>
      <w:r w:rsidRPr="00222909">
        <w:rPr>
          <w:rStyle w:val="FootnoteReference"/>
          <w:szCs w:val="24"/>
        </w:rPr>
        <w:footnoteReference w:id="29"/>
      </w:r>
    </w:p>
    <w:p w14:paraId="40FE1941" w14:textId="77777777" w:rsidR="00DA0D09" w:rsidRPr="00222909" w:rsidRDefault="00DA0D09" w:rsidP="00DA0D09">
      <w:pPr>
        <w:pStyle w:val="ListParagraph"/>
        <w:jc w:val="both"/>
        <w:rPr>
          <w:szCs w:val="24"/>
        </w:rPr>
      </w:pPr>
    </w:p>
    <w:p w14:paraId="6F1BA1E3" w14:textId="77777777" w:rsidR="00DA0D09" w:rsidRPr="00222909" w:rsidRDefault="00DA0D09" w:rsidP="00DA0D09">
      <w:pPr>
        <w:jc w:val="both"/>
        <w:rPr>
          <w:szCs w:val="24"/>
        </w:rPr>
      </w:pPr>
      <w:r w:rsidRPr="00222909">
        <w:rPr>
          <w:szCs w:val="24"/>
        </w:rPr>
        <w:t>If there is no settlement, judgment, award, or other payment constituting a TPOC, TPOC reporting is generally not separately required.</w:t>
      </w:r>
      <w:r w:rsidRPr="00222909">
        <w:rPr>
          <w:rStyle w:val="FootnoteReference"/>
          <w:szCs w:val="24"/>
        </w:rPr>
        <w:footnoteReference w:id="30"/>
      </w:r>
    </w:p>
    <w:p w14:paraId="7A82DC6B" w14:textId="77777777" w:rsidR="00A243CC" w:rsidRPr="00222909" w:rsidRDefault="00A243CC" w:rsidP="00320956">
      <w:pPr>
        <w:jc w:val="both"/>
        <w:rPr>
          <w:b/>
          <w:bCs/>
          <w:szCs w:val="24"/>
        </w:rPr>
      </w:pPr>
    </w:p>
    <w:p w14:paraId="63B271EC" w14:textId="37AA221D" w:rsidR="007C500B" w:rsidRPr="00222909" w:rsidRDefault="007C500B" w:rsidP="00222909">
      <w:pPr>
        <w:pStyle w:val="ListParagraph"/>
        <w:numPr>
          <w:ilvl w:val="3"/>
          <w:numId w:val="18"/>
        </w:numPr>
        <w:ind w:left="1080"/>
        <w:jc w:val="both"/>
        <w:rPr>
          <w:b/>
          <w:bCs/>
          <w:szCs w:val="24"/>
        </w:rPr>
      </w:pPr>
      <w:r w:rsidRPr="00222909">
        <w:rPr>
          <w:b/>
          <w:bCs/>
          <w:szCs w:val="24"/>
        </w:rPr>
        <w:t>GHP</w:t>
      </w:r>
      <w:r w:rsidR="00B73E69" w:rsidRPr="00222909">
        <w:rPr>
          <w:b/>
          <w:bCs/>
          <w:szCs w:val="24"/>
        </w:rPr>
        <w:t>- Group Health Plan</w:t>
      </w:r>
    </w:p>
    <w:p w14:paraId="7C29B597" w14:textId="77777777" w:rsidR="007C500B" w:rsidRPr="00222909" w:rsidRDefault="007C500B" w:rsidP="00320956">
      <w:pPr>
        <w:jc w:val="both"/>
        <w:rPr>
          <w:szCs w:val="24"/>
        </w:rPr>
      </w:pPr>
    </w:p>
    <w:p w14:paraId="2BDEA553" w14:textId="72C0DF4E" w:rsidR="00320956" w:rsidRPr="00222909" w:rsidRDefault="00320956" w:rsidP="00D7573B">
      <w:pPr>
        <w:jc w:val="both"/>
        <w:rPr>
          <w:szCs w:val="24"/>
        </w:rPr>
      </w:pPr>
      <w:r w:rsidRPr="00222909">
        <w:rPr>
          <w:szCs w:val="24"/>
        </w:rPr>
        <w:t xml:space="preserve">GHP reporting differs from NGHP reporting because it generally relates to insurance coverage and coordination of benefits </w:t>
      </w:r>
      <w:r w:rsidR="00DE27D7" w:rsidRPr="00222909">
        <w:rPr>
          <w:szCs w:val="24"/>
        </w:rPr>
        <w:t xml:space="preserve">(COB) </w:t>
      </w:r>
      <w:r w:rsidRPr="00222909">
        <w:rPr>
          <w:szCs w:val="24"/>
        </w:rPr>
        <w:t>rather than individual claims, settlements, judgments, awards, or other payments.</w:t>
      </w:r>
      <w:r w:rsidRPr="00222909">
        <w:rPr>
          <w:rStyle w:val="FootnoteReference"/>
          <w:szCs w:val="24"/>
        </w:rPr>
        <w:footnoteReference w:id="31"/>
      </w:r>
      <w:r w:rsidRPr="00222909">
        <w:rPr>
          <w:szCs w:val="24"/>
        </w:rPr>
        <w:t xml:space="preserve">  </w:t>
      </w:r>
      <w:r w:rsidR="00DE27D7" w:rsidRPr="00222909">
        <w:rPr>
          <w:szCs w:val="24"/>
        </w:rPr>
        <w:t xml:space="preserve">Therefore, </w:t>
      </w:r>
      <w:r w:rsidR="003C5C9E" w:rsidRPr="00222909">
        <w:rPr>
          <w:szCs w:val="24"/>
        </w:rPr>
        <w:t>GHP reporting is coverage based and not claim based.</w:t>
      </w:r>
      <w:r w:rsidR="00DE27D7" w:rsidRPr="00222909">
        <w:rPr>
          <w:szCs w:val="24"/>
        </w:rPr>
        <w:t xml:space="preserve"> </w:t>
      </w:r>
      <w:r w:rsidRPr="00222909">
        <w:rPr>
          <w:szCs w:val="24"/>
        </w:rPr>
        <w:t>It enables CMS to determine when a group health plan is primary to Medicare and to coordinate benefits accordingly.</w:t>
      </w:r>
      <w:r w:rsidRPr="00222909">
        <w:rPr>
          <w:rStyle w:val="FootnoteReference"/>
          <w:szCs w:val="24"/>
        </w:rPr>
        <w:footnoteReference w:id="32"/>
      </w:r>
    </w:p>
    <w:p w14:paraId="17792D22" w14:textId="77777777" w:rsidR="00320956" w:rsidRPr="00222909" w:rsidRDefault="00320956" w:rsidP="00320956">
      <w:pPr>
        <w:pStyle w:val="ListParagraph"/>
        <w:jc w:val="both"/>
        <w:rPr>
          <w:szCs w:val="24"/>
        </w:rPr>
      </w:pPr>
    </w:p>
    <w:p w14:paraId="7161B0CF" w14:textId="77519279" w:rsidR="00E70F8C" w:rsidRPr="00222909" w:rsidRDefault="00E70F8C" w:rsidP="00E70F8C">
      <w:pPr>
        <w:jc w:val="both"/>
        <w:rPr>
          <w:szCs w:val="24"/>
        </w:rPr>
      </w:pPr>
      <w:r w:rsidRPr="00222909">
        <w:rPr>
          <w:szCs w:val="24"/>
        </w:rPr>
        <w:t xml:space="preserve">CMS requires reporting of data identifying whether the individual is in a period during which the plan is primary to Medicare. After the fact reporting is also required. If it is demonstrated to a primary payer that CMS has made a Medicare primary payment for services which the primary payer has made or should </w:t>
      </w:r>
      <w:proofErr w:type="gramStart"/>
      <w:r w:rsidR="00C8069D" w:rsidRPr="00222909">
        <w:rPr>
          <w:szCs w:val="24"/>
        </w:rPr>
        <w:t>have</w:t>
      </w:r>
      <w:proofErr w:type="gramEnd"/>
      <w:r w:rsidR="00C8069D" w:rsidRPr="00222909">
        <w:rPr>
          <w:szCs w:val="24"/>
        </w:rPr>
        <w:t xml:space="preserve"> made</w:t>
      </w:r>
      <w:r w:rsidRPr="00222909">
        <w:rPr>
          <w:szCs w:val="24"/>
        </w:rPr>
        <w:t xml:space="preserve"> </w:t>
      </w:r>
      <w:r w:rsidR="00C3718B" w:rsidRPr="00222909">
        <w:rPr>
          <w:szCs w:val="24"/>
        </w:rPr>
        <w:t>p</w:t>
      </w:r>
      <w:r w:rsidRPr="00222909">
        <w:rPr>
          <w:szCs w:val="24"/>
        </w:rPr>
        <w:t>rimary payment, it must provide notice to CMS.</w:t>
      </w:r>
    </w:p>
    <w:p w14:paraId="2BA8D6A0" w14:textId="77777777" w:rsidR="00E70F8C" w:rsidRPr="00222909" w:rsidRDefault="00E70F8C" w:rsidP="00E70F8C">
      <w:pPr>
        <w:jc w:val="both"/>
        <w:rPr>
          <w:szCs w:val="24"/>
        </w:rPr>
      </w:pPr>
    </w:p>
    <w:p w14:paraId="0D30DE89" w14:textId="0A22C182" w:rsidR="00320956" w:rsidRPr="00222909" w:rsidRDefault="00320956" w:rsidP="00B23917">
      <w:pPr>
        <w:jc w:val="both"/>
        <w:rPr>
          <w:szCs w:val="24"/>
        </w:rPr>
      </w:pPr>
      <w:r w:rsidRPr="00222909">
        <w:rPr>
          <w:szCs w:val="24"/>
        </w:rPr>
        <w:t>Receivers administering insurers with group health business should determine whether continuing GHP reporting obligations exist, evaluate whether existing reporting procedures remain adequate, identify the persons or entities legally responsible for any required reporting, and coordinate reporting responsibilities with the persons or entities involved in administering the coverage.</w:t>
      </w:r>
    </w:p>
    <w:p w14:paraId="128F4E8E" w14:textId="77777777" w:rsidR="00320956" w:rsidRPr="00222909" w:rsidRDefault="00320956" w:rsidP="00320956">
      <w:pPr>
        <w:jc w:val="both"/>
        <w:rPr>
          <w:szCs w:val="24"/>
        </w:rPr>
      </w:pPr>
    </w:p>
    <w:p w14:paraId="1EC54F57" w14:textId="2B110722" w:rsidR="00320956" w:rsidRPr="00222909" w:rsidRDefault="00320956" w:rsidP="00B23917">
      <w:pPr>
        <w:pStyle w:val="ListParagraph"/>
        <w:widowControl/>
        <w:numPr>
          <w:ilvl w:val="3"/>
          <w:numId w:val="18"/>
        </w:numPr>
        <w:ind w:left="1080"/>
        <w:jc w:val="both"/>
        <w:rPr>
          <w:b/>
          <w:bCs/>
          <w:szCs w:val="24"/>
        </w:rPr>
      </w:pPr>
      <w:r w:rsidRPr="00222909">
        <w:rPr>
          <w:b/>
          <w:bCs/>
          <w:szCs w:val="24"/>
        </w:rPr>
        <w:t>Reimbursement Obligation Specifics</w:t>
      </w:r>
    </w:p>
    <w:p w14:paraId="39E51B72" w14:textId="77777777" w:rsidR="000718C3" w:rsidRPr="00222909" w:rsidRDefault="000718C3" w:rsidP="000718C3">
      <w:pPr>
        <w:jc w:val="both"/>
        <w:rPr>
          <w:szCs w:val="24"/>
        </w:rPr>
      </w:pPr>
    </w:p>
    <w:p w14:paraId="69D45C6E" w14:textId="0C07D36A" w:rsidR="005775A0" w:rsidRPr="00222909" w:rsidRDefault="00320956" w:rsidP="005775A0">
      <w:pPr>
        <w:jc w:val="both"/>
        <w:rPr>
          <w:szCs w:val="24"/>
        </w:rPr>
      </w:pPr>
      <w:r w:rsidRPr="00222909">
        <w:rPr>
          <w:szCs w:val="24"/>
        </w:rPr>
        <w:t xml:space="preserve">Medicare may seek reimbursement when it has made a conditional or mistaken payment for an item or </w:t>
      </w:r>
      <w:r w:rsidRPr="00222909">
        <w:rPr>
          <w:szCs w:val="24"/>
        </w:rPr>
        <w:lastRenderedPageBreak/>
        <w:t>service and a primary payer had or has responsibility to make payment with respect to that item or service.</w:t>
      </w:r>
      <w:r w:rsidRPr="00222909">
        <w:rPr>
          <w:rStyle w:val="FootnoteReference"/>
          <w:szCs w:val="24"/>
        </w:rPr>
        <w:footnoteReference w:id="33"/>
      </w:r>
      <w:r w:rsidRPr="00222909">
        <w:rPr>
          <w:szCs w:val="24"/>
        </w:rPr>
        <w:t xml:space="preserve">  Responsibility may be demonstrated by a judgment, settlement, award, or other payment that includes, releases, or has the effect of releasing responsibility for medicals, in whole or in part, with or without an admission of liability.</w:t>
      </w:r>
      <w:r w:rsidRPr="00222909">
        <w:rPr>
          <w:rStyle w:val="FootnoteReference"/>
          <w:szCs w:val="24"/>
        </w:rPr>
        <w:footnoteReference w:id="34"/>
      </w:r>
      <w:r w:rsidRPr="00222909">
        <w:rPr>
          <w:szCs w:val="24"/>
        </w:rPr>
        <w:t xml:space="preserve">  Responsibility may also arise from the contractual obligations of the primary payer without more.</w:t>
      </w:r>
      <w:r w:rsidRPr="00222909">
        <w:rPr>
          <w:rStyle w:val="FootnoteReference"/>
          <w:szCs w:val="24"/>
        </w:rPr>
        <w:footnoteReference w:id="35"/>
      </w:r>
      <w:r w:rsidRPr="00222909">
        <w:rPr>
          <w:szCs w:val="24"/>
        </w:rPr>
        <w:t xml:space="preserve">  The reimbursement obligation </w:t>
      </w:r>
      <w:r w:rsidR="000B61FD">
        <w:rPr>
          <w:szCs w:val="24"/>
        </w:rPr>
        <w:t xml:space="preserve">generally </w:t>
      </w:r>
      <w:r w:rsidRPr="00222909">
        <w:rPr>
          <w:szCs w:val="24"/>
        </w:rPr>
        <w:t>extends broadly to persons and entities that are or were required or responsible to make payment with respect to an item or service covered by Medicare.</w:t>
      </w:r>
      <w:r w:rsidRPr="00222909">
        <w:rPr>
          <w:rStyle w:val="FootnoteReference"/>
          <w:szCs w:val="24"/>
        </w:rPr>
        <w:footnoteReference w:id="36"/>
      </w:r>
      <w:r w:rsidRPr="00222909">
        <w:rPr>
          <w:szCs w:val="24"/>
        </w:rPr>
        <w:t xml:space="preserve">  CMS generally does not consider the parties’ unilateral allocation of damages in a settlement, judgment, award, or other payment to be controlling in determining Medicare’s recovery rights, though it does normally defer to an allocation made through a jury verdict or after a hearing on the merits.</w:t>
      </w:r>
      <w:r w:rsidRPr="00222909">
        <w:rPr>
          <w:rStyle w:val="FootnoteReference"/>
          <w:szCs w:val="24"/>
        </w:rPr>
        <w:footnoteReference w:id="37"/>
      </w:r>
      <w:r w:rsidRPr="00222909">
        <w:rPr>
          <w:szCs w:val="24"/>
        </w:rPr>
        <w:t xml:space="preserve">  Receivers should identify potential reimbursement obligations early in the receivership and establish procedures to investigate, evaluate, and resolve those obligations in coordination with the persons or entities that bear the applicable legal and operational responsibilities.</w:t>
      </w:r>
    </w:p>
    <w:p w14:paraId="76D71564" w14:textId="77777777" w:rsidR="00810CB9" w:rsidRPr="00222909" w:rsidRDefault="00810CB9" w:rsidP="002507F6">
      <w:pPr>
        <w:pStyle w:val="ListParagraph"/>
        <w:rPr>
          <w:b/>
          <w:bCs/>
          <w:szCs w:val="24"/>
        </w:rPr>
      </w:pPr>
    </w:p>
    <w:p w14:paraId="0B812781" w14:textId="08049E17" w:rsidR="00810CB9" w:rsidRPr="00B23917" w:rsidRDefault="00810CB9" w:rsidP="00D74215">
      <w:pPr>
        <w:pStyle w:val="ListParagraph"/>
        <w:numPr>
          <w:ilvl w:val="0"/>
          <w:numId w:val="5"/>
        </w:numPr>
        <w:rPr>
          <w:b/>
          <w:bCs/>
          <w:caps/>
          <w:szCs w:val="24"/>
        </w:rPr>
      </w:pPr>
      <w:r w:rsidRPr="00B23917">
        <w:rPr>
          <w:b/>
          <w:bCs/>
          <w:caps/>
          <w:szCs w:val="24"/>
        </w:rPr>
        <w:t>Consequences of Failure to meet MSP Obligations</w:t>
      </w:r>
    </w:p>
    <w:p w14:paraId="59FB28C7" w14:textId="77777777" w:rsidR="00B1467C" w:rsidRPr="00B23917" w:rsidRDefault="00B1467C" w:rsidP="00810CB9">
      <w:pPr>
        <w:jc w:val="both"/>
        <w:rPr>
          <w:szCs w:val="24"/>
        </w:rPr>
      </w:pPr>
    </w:p>
    <w:p w14:paraId="390F4E45" w14:textId="77777777" w:rsidR="000906D1" w:rsidRPr="00222909" w:rsidRDefault="000906D1" w:rsidP="007A2961">
      <w:pPr>
        <w:jc w:val="both"/>
        <w:rPr>
          <w:szCs w:val="24"/>
        </w:rPr>
      </w:pPr>
      <w:r w:rsidRPr="00222909">
        <w:rPr>
          <w:szCs w:val="24"/>
        </w:rPr>
        <w:t>Failure to satisfy applicable MSP reporting or reimbursement obligations may affect the administration of the receivership.  Potential consequences include civil money penalties for reporting violations, reimbursement claims, and, in appropriate circumstances, double damages, interest, and other remedies authorized by law.</w:t>
      </w:r>
      <w:r w:rsidRPr="00222909">
        <w:rPr>
          <w:rStyle w:val="FootnoteReference"/>
          <w:szCs w:val="24"/>
        </w:rPr>
        <w:footnoteReference w:id="38"/>
      </w:r>
      <w:r w:rsidRPr="00222909">
        <w:rPr>
          <w:szCs w:val="24"/>
        </w:rPr>
        <w:t xml:space="preserve"> </w:t>
      </w:r>
    </w:p>
    <w:p w14:paraId="1B3A84BC" w14:textId="77777777" w:rsidR="000906D1" w:rsidRPr="00222909" w:rsidRDefault="000906D1" w:rsidP="000906D1">
      <w:pPr>
        <w:pStyle w:val="ListParagraph"/>
        <w:jc w:val="both"/>
        <w:rPr>
          <w:szCs w:val="24"/>
        </w:rPr>
      </w:pPr>
    </w:p>
    <w:p w14:paraId="2F02E7B4" w14:textId="77777777" w:rsidR="000906D1" w:rsidRPr="00222909" w:rsidRDefault="000906D1" w:rsidP="007A2961">
      <w:pPr>
        <w:jc w:val="both"/>
        <w:rPr>
          <w:szCs w:val="24"/>
        </w:rPr>
      </w:pPr>
      <w:r w:rsidRPr="00222909">
        <w:rPr>
          <w:szCs w:val="24"/>
        </w:rPr>
        <w:t>Beyond potential reporting penalties and reimbursement claims, unresolved or uncertain MSP obligations may require the receiver to establish appropriate reserves, delay distributions, postpone estate closure, and increase administrative expense.  Early evaluation and documentation of MSP obligations may reduce these operational burdens.</w:t>
      </w:r>
    </w:p>
    <w:p w14:paraId="1D7FC234" w14:textId="77777777" w:rsidR="000906D1" w:rsidRPr="00222909" w:rsidRDefault="000906D1" w:rsidP="000906D1">
      <w:pPr>
        <w:pStyle w:val="ListParagraph"/>
        <w:jc w:val="both"/>
        <w:rPr>
          <w:szCs w:val="24"/>
        </w:rPr>
      </w:pPr>
    </w:p>
    <w:p w14:paraId="494A0840" w14:textId="77777777" w:rsidR="000906D1" w:rsidRPr="00222909" w:rsidRDefault="000906D1" w:rsidP="007A2961">
      <w:pPr>
        <w:jc w:val="both"/>
        <w:rPr>
          <w:szCs w:val="24"/>
        </w:rPr>
      </w:pPr>
      <w:r w:rsidRPr="00222909">
        <w:rPr>
          <w:szCs w:val="24"/>
        </w:rPr>
        <w:t xml:space="preserve">Further, the DOJ has historically inquired into MSP compliance as part of the </w:t>
      </w:r>
      <w:proofErr w:type="gramStart"/>
      <w:r w:rsidRPr="00222909">
        <w:rPr>
          <w:szCs w:val="24"/>
        </w:rPr>
        <w:t>3713 release</w:t>
      </w:r>
      <w:proofErr w:type="gramEnd"/>
      <w:r w:rsidRPr="00222909">
        <w:rPr>
          <w:szCs w:val="24"/>
        </w:rPr>
        <w:t xml:space="preserve"> process. Inattention to MSP compliance may therefore delay the granting of a release and subject the receivership to additional scrutiny.</w:t>
      </w:r>
    </w:p>
    <w:p w14:paraId="382B6467" w14:textId="77777777" w:rsidR="000906D1" w:rsidRPr="00222909" w:rsidRDefault="000906D1" w:rsidP="000906D1">
      <w:pPr>
        <w:pStyle w:val="ListParagraph"/>
        <w:jc w:val="both"/>
        <w:rPr>
          <w:szCs w:val="24"/>
        </w:rPr>
      </w:pPr>
    </w:p>
    <w:p w14:paraId="73B7A57F" w14:textId="77777777" w:rsidR="000906D1" w:rsidRPr="00222909" w:rsidRDefault="000906D1" w:rsidP="007A2961">
      <w:pPr>
        <w:jc w:val="both"/>
        <w:rPr>
          <w:szCs w:val="24"/>
        </w:rPr>
      </w:pPr>
      <w:r w:rsidRPr="00222909">
        <w:rPr>
          <w:szCs w:val="24"/>
        </w:rPr>
        <w:t>Private parties, including Medicare Advantage organizations, may also assert recovery claims in appropriate circumstances.</w:t>
      </w:r>
      <w:r w:rsidRPr="00222909">
        <w:rPr>
          <w:rStyle w:val="FootnoteReference"/>
          <w:szCs w:val="24"/>
        </w:rPr>
        <w:footnoteReference w:id="39"/>
      </w:r>
    </w:p>
    <w:p w14:paraId="6754F06C" w14:textId="77777777" w:rsidR="000906D1" w:rsidRPr="00222909" w:rsidRDefault="000906D1" w:rsidP="000906D1">
      <w:pPr>
        <w:pStyle w:val="ListParagraph"/>
        <w:jc w:val="both"/>
        <w:rPr>
          <w:szCs w:val="24"/>
        </w:rPr>
      </w:pPr>
    </w:p>
    <w:p w14:paraId="56BB94AE" w14:textId="23464334" w:rsidR="000906D1" w:rsidRPr="00222909" w:rsidRDefault="000906D1" w:rsidP="000906D1">
      <w:pPr>
        <w:jc w:val="both"/>
        <w:rPr>
          <w:szCs w:val="24"/>
        </w:rPr>
      </w:pPr>
      <w:r w:rsidRPr="00222909">
        <w:rPr>
          <w:szCs w:val="24"/>
        </w:rPr>
        <w:t xml:space="preserve">A failure to report may result in civil money penalties up to $1000 per day per beneficiary adjusted upward for inflation and capped at $365,000 </w:t>
      </w:r>
      <w:r w:rsidR="00DF2138" w:rsidRPr="00222909">
        <w:rPr>
          <w:szCs w:val="24"/>
        </w:rPr>
        <w:t xml:space="preserve">per instance of noncompliance </w:t>
      </w:r>
      <w:r w:rsidRPr="00222909">
        <w:rPr>
          <w:szCs w:val="24"/>
        </w:rPr>
        <w:t xml:space="preserve">for NGHPs, (not GHPs), also adjusted upward for inflation. These penalties started being </w:t>
      </w:r>
      <w:r w:rsidR="00DF2138" w:rsidRPr="00222909">
        <w:rPr>
          <w:szCs w:val="24"/>
        </w:rPr>
        <w:t xml:space="preserve">enforced </w:t>
      </w:r>
      <w:r w:rsidRPr="00222909">
        <w:rPr>
          <w:szCs w:val="24"/>
        </w:rPr>
        <w:t xml:space="preserve">in 2025 and start once reporting is one year late. They scale for NGHPs, (not GHPs), reaching $1000 per day per beneficiary only after the report is three years late. There are certain safe harbors related to a defined process for good faith attempts to obtain beneficiary information allowing for querying and reporting and for changes in CMS policy and procedure. The scope of liability for reimbursement includes double damages and interest; however, double damages are only accessible if legal action is required to collect them. CMS notes in its materials that it is not bound by any allocation made by the parties, but it will normally defer to an allocation made through a jury verdict or after </w:t>
      </w:r>
      <w:proofErr w:type="gramStart"/>
      <w:r w:rsidRPr="00222909">
        <w:rPr>
          <w:szCs w:val="24"/>
        </w:rPr>
        <w:t>a hearing</w:t>
      </w:r>
      <w:proofErr w:type="gramEnd"/>
      <w:r w:rsidRPr="00222909">
        <w:rPr>
          <w:szCs w:val="24"/>
        </w:rPr>
        <w:t xml:space="preserve"> on the merits. For disputed claims, CMS allows a deduction for procurement costs in whole or in part. </w:t>
      </w:r>
    </w:p>
    <w:p w14:paraId="7543BF5C" w14:textId="77777777" w:rsidR="000906D1" w:rsidRPr="00222909" w:rsidRDefault="000906D1" w:rsidP="000906D1">
      <w:pPr>
        <w:jc w:val="both"/>
        <w:rPr>
          <w:szCs w:val="24"/>
        </w:rPr>
      </w:pPr>
    </w:p>
    <w:p w14:paraId="431118B2" w14:textId="15E209AE" w:rsidR="000906D1" w:rsidRPr="00222909" w:rsidRDefault="000906D1" w:rsidP="000906D1">
      <w:pPr>
        <w:jc w:val="both"/>
        <w:rPr>
          <w:szCs w:val="24"/>
        </w:rPr>
      </w:pPr>
      <w:r w:rsidRPr="00222909">
        <w:rPr>
          <w:szCs w:val="24"/>
        </w:rPr>
        <w:t>For civil money penalties, the federal government has five years from the date statutory reporting was required but not made to file suit.</w:t>
      </w:r>
      <w:r w:rsidR="00DF2138" w:rsidRPr="00222909">
        <w:rPr>
          <w:rStyle w:val="FootnoteReference"/>
          <w:szCs w:val="24"/>
        </w:rPr>
        <w:footnoteReference w:id="40"/>
      </w:r>
      <w:r w:rsidRPr="00222909">
        <w:rPr>
          <w:szCs w:val="24"/>
        </w:rPr>
        <w:t xml:space="preserve"> If Medicare is not voluntarily reimbursed, on the other hand, and for NGHP related claims, the federal government has three years from the date of compliance with required reporting.</w:t>
      </w:r>
      <w:r w:rsidR="00DF2138" w:rsidRPr="00222909">
        <w:rPr>
          <w:rStyle w:val="FootnoteReference"/>
          <w:szCs w:val="24"/>
        </w:rPr>
        <w:footnoteReference w:id="41"/>
      </w:r>
      <w:r w:rsidRPr="00222909">
        <w:rPr>
          <w:szCs w:val="24"/>
        </w:rPr>
        <w:t xml:space="preserve"> I</w:t>
      </w:r>
      <w:r w:rsidR="00DF2138" w:rsidRPr="00222909">
        <w:rPr>
          <w:szCs w:val="24"/>
        </w:rPr>
        <w:t>f</w:t>
      </w:r>
      <w:r w:rsidRPr="00222909">
        <w:rPr>
          <w:szCs w:val="24"/>
        </w:rPr>
        <w:t xml:space="preserve"> required reporting is never done, </w:t>
      </w:r>
      <w:r w:rsidR="00DF2138" w:rsidRPr="00222909">
        <w:rPr>
          <w:szCs w:val="24"/>
        </w:rPr>
        <w:t xml:space="preserve">the applicable </w:t>
      </w:r>
      <w:r w:rsidRPr="00222909">
        <w:rPr>
          <w:szCs w:val="24"/>
        </w:rPr>
        <w:t xml:space="preserve">limitations </w:t>
      </w:r>
      <w:r w:rsidR="00DF2138" w:rsidRPr="00222909">
        <w:rPr>
          <w:szCs w:val="24"/>
        </w:rPr>
        <w:t xml:space="preserve">period may not begin to </w:t>
      </w:r>
      <w:r w:rsidRPr="00222909">
        <w:rPr>
          <w:szCs w:val="24"/>
        </w:rPr>
        <w:t>run. Also important to note is that this statute of limitations links to NGHP reporting, and it likely does not apply to GHP related claims.</w:t>
      </w:r>
      <w:r w:rsidR="00DF2138" w:rsidRPr="00222909">
        <w:rPr>
          <w:rStyle w:val="FootnoteReference"/>
          <w:szCs w:val="24"/>
        </w:rPr>
        <w:footnoteReference w:id="42"/>
      </w:r>
      <w:r w:rsidRPr="00222909">
        <w:rPr>
          <w:szCs w:val="24"/>
        </w:rPr>
        <w:t xml:space="preserve"> For GHP related claims, the federal government likely has six years from </w:t>
      </w:r>
      <w:r w:rsidR="008A7C8F" w:rsidRPr="00222909">
        <w:rPr>
          <w:szCs w:val="24"/>
        </w:rPr>
        <w:t>the date its claims accrues, subject to the exclusion of periods during which material facts were not known and reasonably could not have been known by the responsible federal official,</w:t>
      </w:r>
      <w:r w:rsidRPr="00222909">
        <w:rPr>
          <w:szCs w:val="24"/>
        </w:rPr>
        <w:t>, to file suit.</w:t>
      </w:r>
      <w:r w:rsidR="00DF2138" w:rsidRPr="00222909">
        <w:rPr>
          <w:rStyle w:val="FootnoteReference"/>
          <w:szCs w:val="24"/>
        </w:rPr>
        <w:footnoteReference w:id="43"/>
      </w:r>
      <w:r w:rsidRPr="00222909">
        <w:rPr>
          <w:szCs w:val="24"/>
        </w:rPr>
        <w:t xml:space="preserve"> This is the limitations period for breach of contract under the Federal Claims Collection Act,</w:t>
      </w:r>
      <w:r w:rsidR="007F5AFE" w:rsidRPr="00222909">
        <w:rPr>
          <w:rStyle w:val="FootnoteReference"/>
          <w:szCs w:val="24"/>
        </w:rPr>
        <w:footnoteReference w:id="44"/>
      </w:r>
      <w:r w:rsidRPr="00222909">
        <w:rPr>
          <w:szCs w:val="24"/>
        </w:rPr>
        <w:t xml:space="preserve"> and it was applied prior to adoption of the aforementioned statute of limitations.</w:t>
      </w:r>
      <w:r w:rsidR="00DF2138" w:rsidRPr="00222909">
        <w:rPr>
          <w:rStyle w:val="FootnoteReference"/>
          <w:szCs w:val="24"/>
        </w:rPr>
        <w:footnoteReference w:id="45"/>
      </w:r>
      <w:r w:rsidRPr="00222909">
        <w:rPr>
          <w:szCs w:val="24"/>
        </w:rPr>
        <w:t xml:space="preserve"> Courts have ruled that these claims are akin to restitution claims that are in turn akin to contract claims.</w:t>
      </w:r>
      <w:r w:rsidR="00DF2138" w:rsidRPr="00222909">
        <w:rPr>
          <w:rStyle w:val="FootnoteReference"/>
          <w:szCs w:val="24"/>
        </w:rPr>
        <w:footnoteReference w:id="46"/>
      </w:r>
      <w:r w:rsidRPr="00222909">
        <w:rPr>
          <w:szCs w:val="24"/>
        </w:rPr>
        <w:t xml:space="preserve"> It is important to note that if reimbursement is unrelated to a claim that has already been filed with the insurer, the government has the greater of the policy</w:t>
      </w:r>
      <w:r w:rsidR="00DF2138" w:rsidRPr="00222909">
        <w:rPr>
          <w:szCs w:val="24"/>
        </w:rPr>
        <w:t>’</w:t>
      </w:r>
      <w:r w:rsidRPr="00222909">
        <w:rPr>
          <w:szCs w:val="24"/>
        </w:rPr>
        <w:t xml:space="preserve">s notice of claim period or three years </w:t>
      </w:r>
      <w:r w:rsidR="00EC10E0">
        <w:rPr>
          <w:szCs w:val="24"/>
        </w:rPr>
        <w:t>from the date of medical service</w:t>
      </w:r>
      <w:r w:rsidRPr="00222909">
        <w:rPr>
          <w:szCs w:val="24"/>
        </w:rPr>
        <w:t xml:space="preserve"> to present its claim by statute.</w:t>
      </w:r>
      <w:r w:rsidR="00DF2138" w:rsidRPr="00222909">
        <w:rPr>
          <w:rStyle w:val="FootnoteReference"/>
          <w:szCs w:val="24"/>
        </w:rPr>
        <w:footnoteReference w:id="47"/>
      </w:r>
      <w:r w:rsidRPr="00222909">
        <w:rPr>
          <w:szCs w:val="24"/>
        </w:rPr>
        <w:t xml:space="preserve"> Some courts only apply this law in GHP contexts,</w:t>
      </w:r>
      <w:r w:rsidR="00DF2138" w:rsidRPr="00222909">
        <w:rPr>
          <w:rStyle w:val="FootnoteReference"/>
          <w:szCs w:val="24"/>
        </w:rPr>
        <w:footnoteReference w:id="48"/>
      </w:r>
      <w:r w:rsidRPr="00222909">
        <w:rPr>
          <w:szCs w:val="24"/>
        </w:rPr>
        <w:t xml:space="preserve"> others do not apply this law to affect the ability to bring suit, interpreting it not to be a statute of limitation, that it just takes away a </w:t>
      </w:r>
      <w:r w:rsidRPr="00222909">
        <w:rPr>
          <w:szCs w:val="24"/>
        </w:rPr>
        <w:lastRenderedPageBreak/>
        <w:t>potential policy-based defense.</w:t>
      </w:r>
      <w:r w:rsidR="00DF2138" w:rsidRPr="00222909">
        <w:rPr>
          <w:rStyle w:val="FootnoteReference"/>
          <w:szCs w:val="24"/>
        </w:rPr>
        <w:footnoteReference w:id="49"/>
      </w:r>
      <w:r w:rsidRPr="00222909">
        <w:rPr>
          <w:szCs w:val="24"/>
        </w:rPr>
        <w:t xml:space="preserve"> </w:t>
      </w:r>
    </w:p>
    <w:p w14:paraId="2B8CD399" w14:textId="77777777" w:rsidR="00576823" w:rsidRPr="00222909" w:rsidRDefault="00576823" w:rsidP="00810CB9">
      <w:pPr>
        <w:jc w:val="both"/>
        <w:rPr>
          <w:szCs w:val="24"/>
        </w:rPr>
      </w:pPr>
    </w:p>
    <w:p w14:paraId="1E884039" w14:textId="077E0713" w:rsidR="003D7A5B" w:rsidRPr="00B23917" w:rsidRDefault="003D7A5B" w:rsidP="00D74215">
      <w:pPr>
        <w:pStyle w:val="ListParagraph"/>
        <w:numPr>
          <w:ilvl w:val="0"/>
          <w:numId w:val="5"/>
        </w:numPr>
        <w:rPr>
          <w:b/>
          <w:bCs/>
          <w:caps/>
          <w:szCs w:val="24"/>
        </w:rPr>
      </w:pPr>
      <w:r w:rsidRPr="00B23917">
        <w:rPr>
          <w:b/>
          <w:bCs/>
          <w:caps/>
          <w:szCs w:val="24"/>
        </w:rPr>
        <w:t>Guidance on CMS Reporting in Liquidation</w:t>
      </w:r>
    </w:p>
    <w:p w14:paraId="6C99CB6F" w14:textId="77777777" w:rsidR="001F1F6D" w:rsidRPr="00B23917" w:rsidRDefault="001F1F6D" w:rsidP="001F1F6D">
      <w:pPr>
        <w:pStyle w:val="ListParagraph"/>
        <w:rPr>
          <w:b/>
          <w:bCs/>
          <w:caps/>
          <w:szCs w:val="24"/>
        </w:rPr>
      </w:pPr>
    </w:p>
    <w:p w14:paraId="1B85DF01" w14:textId="6899355C" w:rsidR="00E14F0B" w:rsidRPr="00222909" w:rsidRDefault="00E14F0B" w:rsidP="00B73E69">
      <w:pPr>
        <w:pStyle w:val="ListParagraph"/>
        <w:numPr>
          <w:ilvl w:val="6"/>
          <w:numId w:val="18"/>
        </w:numPr>
        <w:spacing w:before="100" w:beforeAutospacing="1" w:after="200" w:line="276" w:lineRule="auto"/>
        <w:ind w:left="1080"/>
        <w:jc w:val="both"/>
        <w:rPr>
          <w:b/>
          <w:bCs/>
          <w:szCs w:val="24"/>
        </w:rPr>
      </w:pPr>
      <w:r w:rsidRPr="00222909">
        <w:rPr>
          <w:b/>
          <w:bCs/>
          <w:szCs w:val="24"/>
        </w:rPr>
        <w:t xml:space="preserve">Checklist of Steps for Communication with CMS and Establishing an Estate Liability </w:t>
      </w:r>
    </w:p>
    <w:p w14:paraId="79C8ED3F" w14:textId="78B6B1F9" w:rsidR="00E14F0B" w:rsidRPr="00222909" w:rsidRDefault="00E14F0B" w:rsidP="00E14F0B">
      <w:pPr>
        <w:spacing w:before="100" w:beforeAutospacing="1" w:after="200" w:line="276" w:lineRule="auto"/>
        <w:jc w:val="both"/>
        <w:rPr>
          <w:szCs w:val="24"/>
        </w:rPr>
      </w:pPr>
      <w:r w:rsidRPr="00222909">
        <w:rPr>
          <w:szCs w:val="24"/>
        </w:rPr>
        <w:t xml:space="preserve">The following reporting steps are </w:t>
      </w:r>
      <w:r w:rsidR="004021C9" w:rsidRPr="00222909">
        <w:rPr>
          <w:szCs w:val="24"/>
        </w:rPr>
        <w:t xml:space="preserve">generally </w:t>
      </w:r>
      <w:r w:rsidRPr="00222909">
        <w:rPr>
          <w:szCs w:val="24"/>
        </w:rPr>
        <w:t xml:space="preserve">suggested to ensure that the Receiver has appropriately communicated with CMS and </w:t>
      </w:r>
      <w:proofErr w:type="gramStart"/>
      <w:r w:rsidRPr="00222909">
        <w:rPr>
          <w:szCs w:val="24"/>
        </w:rPr>
        <w:t>establish</w:t>
      </w:r>
      <w:proofErr w:type="gramEnd"/>
      <w:r w:rsidRPr="00222909">
        <w:rPr>
          <w:szCs w:val="24"/>
        </w:rPr>
        <w:t xml:space="preserve"> any Estate liability to CMS: </w:t>
      </w:r>
    </w:p>
    <w:p w14:paraId="2C427975" w14:textId="2F1C5E32" w:rsidR="00E14F0B" w:rsidRDefault="00E14F0B"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Receiver should send CMS a file with an ORM termination date as of the date of entry of the liquidation order for every claim with an open pending ORM designation where ORM has terminated</w:t>
      </w:r>
    </w:p>
    <w:p w14:paraId="0F220014" w14:textId="1FD300D1" w:rsidR="00E14F0B" w:rsidRPr="00222909" w:rsidRDefault="00E14F0B"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A confirming email describing the foregoing file transmittal should be sent to the designated CMS contact assigned to the RRE# to alert the representative of any ORM terminations</w:t>
      </w:r>
    </w:p>
    <w:p w14:paraId="4267D8C3" w14:textId="4E0C5A24" w:rsidR="00E14F0B" w:rsidRPr="00222909" w:rsidRDefault="00E14F0B"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 xml:space="preserve">Receiver should send CMS a file within 135 days of </w:t>
      </w:r>
      <w:r w:rsidR="004021C9" w:rsidRPr="00222909">
        <w:rPr>
          <w:szCs w:val="24"/>
        </w:rPr>
        <w:t>the applicable TPOC date</w:t>
      </w:r>
      <w:r w:rsidRPr="00222909">
        <w:rPr>
          <w:szCs w:val="24"/>
        </w:rPr>
        <w:t xml:space="preserve"> for any TPOC related to Estate distributions paid to claimants that are Medicare eligible beneficiaries</w:t>
      </w:r>
    </w:p>
    <w:p w14:paraId="13E96164" w14:textId="7E8B11DE" w:rsidR="00A72108" w:rsidRDefault="00E14F0B"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Send UDS M records to any Guaranty Association that informs the Liquidator it intends to continue MSP reporting on Covered Claims</w:t>
      </w:r>
      <w:r w:rsidR="004021C9" w:rsidRPr="00222909">
        <w:rPr>
          <w:szCs w:val="24"/>
        </w:rPr>
        <w:t xml:space="preserve">, request UDS M records from </w:t>
      </w:r>
      <w:r w:rsidR="00086DDC" w:rsidRPr="00222909">
        <w:rPr>
          <w:szCs w:val="24"/>
        </w:rPr>
        <w:t xml:space="preserve">the </w:t>
      </w:r>
      <w:r w:rsidR="004021C9" w:rsidRPr="00222909">
        <w:rPr>
          <w:szCs w:val="24"/>
        </w:rPr>
        <w:t>others</w:t>
      </w:r>
    </w:p>
    <w:p w14:paraId="2D34B460" w14:textId="77777777" w:rsidR="003C378D" w:rsidRDefault="00E14F0B" w:rsidP="003C378D">
      <w:pPr>
        <w:pStyle w:val="ListParagraph"/>
        <w:widowControl/>
        <w:numPr>
          <w:ilvl w:val="0"/>
          <w:numId w:val="33"/>
        </w:numPr>
        <w:spacing w:before="120" w:after="120" w:line="276" w:lineRule="auto"/>
        <w:ind w:left="1080"/>
        <w:contextualSpacing w:val="0"/>
        <w:jc w:val="both"/>
        <w:rPr>
          <w:szCs w:val="24"/>
        </w:rPr>
      </w:pPr>
      <w:r w:rsidRPr="003C378D">
        <w:rPr>
          <w:szCs w:val="24"/>
        </w:rPr>
        <w:t>Note that the file layout for the M record should be the same as the CMS record layout</w:t>
      </w:r>
    </w:p>
    <w:p w14:paraId="5DE66AB1" w14:textId="388DA661" w:rsidR="00E14F0B" w:rsidRPr="003C378D" w:rsidRDefault="00E14F0B" w:rsidP="003C378D">
      <w:pPr>
        <w:pStyle w:val="ListParagraph"/>
        <w:widowControl/>
        <w:numPr>
          <w:ilvl w:val="0"/>
          <w:numId w:val="33"/>
        </w:numPr>
        <w:spacing w:before="120" w:after="120" w:line="276" w:lineRule="auto"/>
        <w:ind w:left="1080"/>
        <w:contextualSpacing w:val="0"/>
        <w:jc w:val="both"/>
        <w:rPr>
          <w:szCs w:val="24"/>
        </w:rPr>
      </w:pPr>
      <w:r w:rsidRPr="003C378D">
        <w:rPr>
          <w:szCs w:val="24"/>
        </w:rPr>
        <w:t>For Uncovered Claims where Employer becomes obligated as RRE on Entry of Liquidation, Receiver should terminate the Estate’s ORM as of the Date of Liquidation and note the identity of Employer as RRE in Estate’s records; note that TPAs administering claims for an Employer do not constitute RREs, but the RRE can designate its TPA as its Reporting Agent. (See Section 6.1 of CMS’ User Guide)</w:t>
      </w:r>
    </w:p>
    <w:p w14:paraId="6B97FE29" w14:textId="77777777" w:rsidR="00E14F0B" w:rsidRPr="00222909" w:rsidRDefault="00E14F0B"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For Uncovered Claims subject to a Reinsurance Cut-thru Agreement or Fronting Agreement where Receiver has chosen to continue ORM after liquidation, ORM should be terminated upon closing of the Estate; Receiver should terminate ORM and send final claim records to new designated Reporting Agent at time claim transfer to new RRE</w:t>
      </w:r>
    </w:p>
    <w:p w14:paraId="40FE6062" w14:textId="77777777" w:rsidR="00E14F0B" w:rsidRPr="00222909" w:rsidRDefault="00E14F0B"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For claims assumed by an Assigned Risk Pool at liquidation where Estate’s ORM terminates at liquidation, Receiver should send final claim record to Assigned Risk Pool’s designated Reporting Agent for further reporting to CMS</w:t>
      </w:r>
    </w:p>
    <w:p w14:paraId="79C4623F" w14:textId="63C05322" w:rsidR="00E14F0B" w:rsidRPr="00222909" w:rsidRDefault="00C40870" w:rsidP="003C378D">
      <w:pPr>
        <w:pStyle w:val="ListParagraph"/>
        <w:widowControl/>
        <w:numPr>
          <w:ilvl w:val="0"/>
          <w:numId w:val="33"/>
        </w:numPr>
        <w:spacing w:before="120" w:after="120" w:line="276" w:lineRule="auto"/>
        <w:ind w:left="1080"/>
        <w:contextualSpacing w:val="0"/>
        <w:jc w:val="both"/>
        <w:rPr>
          <w:szCs w:val="24"/>
        </w:rPr>
      </w:pPr>
      <w:r w:rsidRPr="00222909">
        <w:rPr>
          <w:szCs w:val="24"/>
        </w:rPr>
        <w:t>Receivers</w:t>
      </w:r>
      <w:r w:rsidR="00E14F0B" w:rsidRPr="00222909">
        <w:rPr>
          <w:szCs w:val="24"/>
        </w:rPr>
        <w:t xml:space="preserve"> should review any claims identified on CMS Outstanding Debt Report, correct missing information related to ORM termination or TPOC reporting, determine whether Estate is liable for any debt due and owing to CMS, and establish claim liability to CMS as appropriate</w:t>
      </w:r>
    </w:p>
    <w:p w14:paraId="2A3CE31F" w14:textId="0C008524" w:rsidR="003D7A5B" w:rsidRPr="00222909" w:rsidRDefault="003D7A5B" w:rsidP="00B73E69">
      <w:pPr>
        <w:pStyle w:val="ListParagraph"/>
        <w:numPr>
          <w:ilvl w:val="6"/>
          <w:numId w:val="18"/>
        </w:numPr>
        <w:ind w:left="1080"/>
        <w:jc w:val="both"/>
        <w:rPr>
          <w:b/>
          <w:bCs/>
          <w:szCs w:val="24"/>
        </w:rPr>
      </w:pPr>
      <w:r w:rsidRPr="00222909">
        <w:rPr>
          <w:b/>
          <w:bCs/>
          <w:szCs w:val="24"/>
        </w:rPr>
        <w:t>Guidance for Receivers</w:t>
      </w:r>
    </w:p>
    <w:p w14:paraId="7CE1DD85" w14:textId="77777777" w:rsidR="003D7A5B" w:rsidRPr="00222909" w:rsidRDefault="003D7A5B" w:rsidP="003D7A5B">
      <w:pPr>
        <w:jc w:val="both"/>
        <w:rPr>
          <w:b/>
          <w:bCs/>
          <w:szCs w:val="24"/>
          <w:u w:val="single"/>
        </w:rPr>
      </w:pPr>
    </w:p>
    <w:p w14:paraId="7FFC3F88" w14:textId="77777777" w:rsidR="003D7A5B" w:rsidRPr="00222909" w:rsidRDefault="003D7A5B" w:rsidP="0051753B">
      <w:pPr>
        <w:jc w:val="both"/>
        <w:rPr>
          <w:szCs w:val="24"/>
        </w:rPr>
      </w:pPr>
      <w:r w:rsidRPr="00222909">
        <w:rPr>
          <w:szCs w:val="24"/>
        </w:rPr>
        <w:t>Insurers undergoing receivership that issued insurance products insuring risks covering medical payments, such as GHPs and NGHPs that issued automobile med-pay, general liability, or workers’ compensation insurance policies, are typically registered as RREs with CMS. The Receiver should continue the registration and report on any claims that involve eligible Medicare beneficiaries for which the Estate continues to administer ORM or TPOC under the applicable RRE registration. Consideration should be given to changing an RRE’s registered reporting name and its designated representative to reflect the creation of the rehabilitation or liquidation estate as well as any change in personnel serving as the Estate’s registered agent that resulted from entry of the receivership order. If the insurer did not previously register as an RRE with CMS prior to its receivership, the Receiver should consider registering as soon as possible to commence compliance with the MSP law applicable to ORM and TPOC reporting as further described below.</w:t>
      </w:r>
    </w:p>
    <w:p w14:paraId="0B1E4D4E" w14:textId="77777777" w:rsidR="003D7A5B" w:rsidRPr="00222909" w:rsidRDefault="003D7A5B" w:rsidP="003D7A5B">
      <w:pPr>
        <w:ind w:left="720"/>
        <w:jc w:val="both"/>
        <w:rPr>
          <w:szCs w:val="24"/>
        </w:rPr>
      </w:pPr>
    </w:p>
    <w:p w14:paraId="2488576B" w14:textId="3020F074" w:rsidR="003D7A5B" w:rsidRPr="00222909" w:rsidRDefault="003D7A5B" w:rsidP="0051753B">
      <w:pPr>
        <w:jc w:val="both"/>
        <w:rPr>
          <w:szCs w:val="24"/>
        </w:rPr>
      </w:pPr>
      <w:r w:rsidRPr="00222909">
        <w:rPr>
          <w:szCs w:val="24"/>
        </w:rPr>
        <w:t xml:space="preserve">Subject to the potential exceptions identified </w:t>
      </w:r>
      <w:r w:rsidR="00836664" w:rsidRPr="00222909">
        <w:rPr>
          <w:szCs w:val="24"/>
        </w:rPr>
        <w:t>in this chapter</w:t>
      </w:r>
      <w:r w:rsidRPr="00222909">
        <w:rPr>
          <w:szCs w:val="24"/>
        </w:rPr>
        <w:t xml:space="preserve">, ORM reporting generally terminates by operation of state law upon entry of an Order of Liquidation and fixing of a receivership estate’s rights and liabilities, since the estate is no longer legally capable of performing the primary obligation associated with ORM, i.e., payment of medical bills. Claims that will no longer be administered by the Liquidator because of the liquidation, such as Covered Claims transferred to Guaranty Associations, and claims previously assigned to the insurer for administration by an Assigned Risk Pool should no longer be reported under the insurer or the Estate’s RRE #. The Liquidator </w:t>
      </w:r>
      <w:r w:rsidR="00086DDC" w:rsidRPr="00222909">
        <w:rPr>
          <w:szCs w:val="24"/>
        </w:rPr>
        <w:t>should</w:t>
      </w:r>
      <w:r w:rsidRPr="00222909">
        <w:rPr>
          <w:szCs w:val="24"/>
        </w:rPr>
        <w:t xml:space="preserve"> report the date of liquidation as the ORM termination date for each claim where the RRE has previously reported ORM</w:t>
      </w:r>
      <w:r w:rsidR="000738FA" w:rsidRPr="00222909">
        <w:rPr>
          <w:szCs w:val="24"/>
        </w:rPr>
        <w:t>,</w:t>
      </w:r>
      <w:r w:rsidRPr="00222909">
        <w:rPr>
          <w:szCs w:val="24"/>
        </w:rPr>
        <w:t xml:space="preserve"> the claim is being transferred</w:t>
      </w:r>
      <w:r w:rsidR="000738FA" w:rsidRPr="00222909">
        <w:rPr>
          <w:szCs w:val="24"/>
        </w:rPr>
        <w:t>, and the insurer’s ongoing responsibility for medicals terminates as of that date</w:t>
      </w:r>
      <w:r w:rsidRPr="00222909">
        <w:rPr>
          <w:szCs w:val="24"/>
        </w:rPr>
        <w:t xml:space="preserve">. This is done through EDI quarterly reporting for insureds within excess of 500 claims or through CMS’ portal for insureds with 500 or fewer claims. </w:t>
      </w:r>
    </w:p>
    <w:p w14:paraId="1D8E728C" w14:textId="77777777" w:rsidR="003D7A5B" w:rsidRPr="00222909" w:rsidRDefault="003D7A5B" w:rsidP="003D7A5B">
      <w:pPr>
        <w:ind w:left="720"/>
        <w:jc w:val="both"/>
        <w:rPr>
          <w:szCs w:val="24"/>
        </w:rPr>
      </w:pPr>
      <w:r w:rsidRPr="00222909">
        <w:rPr>
          <w:szCs w:val="24"/>
        </w:rPr>
        <w:t xml:space="preserve"> </w:t>
      </w:r>
    </w:p>
    <w:p w14:paraId="7CCD340E" w14:textId="77777777" w:rsidR="003D7A5B" w:rsidRPr="00222909" w:rsidRDefault="003D7A5B" w:rsidP="0051753B">
      <w:pPr>
        <w:jc w:val="both"/>
        <w:rPr>
          <w:szCs w:val="24"/>
        </w:rPr>
      </w:pPr>
      <w:r w:rsidRPr="00222909">
        <w:rPr>
          <w:szCs w:val="24"/>
        </w:rPr>
        <w:t>Potential exceptions to ORM termination may include: (a) workers’ compensation claims where: (i) ongoing medical responsibility remains within the limits of a policyholder’s large deductible, and (ii) the policyholder is contractually entitled and has elected to select a qualified TPA to administer and continue to report its medically related claims payments to the Liquidator until its large deductible has been exhausted, prior to transfer to a Guaranty Association; or for (b) Uncovered Claims with ongoing medical responsibility that are subject to executory contracts such as a reinsurance cut-through agreement or fronting agreement for which the Liquidator has determined to continue contract performance for the benefit of the Estate.</w:t>
      </w:r>
    </w:p>
    <w:p w14:paraId="6752FD10" w14:textId="77777777" w:rsidR="003D7A5B" w:rsidRPr="00222909" w:rsidRDefault="003D7A5B" w:rsidP="003D7A5B">
      <w:pPr>
        <w:ind w:left="720" w:firstLine="720"/>
        <w:jc w:val="both"/>
        <w:rPr>
          <w:szCs w:val="24"/>
        </w:rPr>
      </w:pPr>
      <w:r w:rsidRPr="00222909">
        <w:rPr>
          <w:szCs w:val="24"/>
        </w:rPr>
        <w:t xml:space="preserve">   </w:t>
      </w:r>
    </w:p>
    <w:p w14:paraId="75C331F1" w14:textId="7AB5562C" w:rsidR="003D7A5B" w:rsidRPr="00222909" w:rsidRDefault="003D7A5B" w:rsidP="0051753B">
      <w:pPr>
        <w:jc w:val="both"/>
        <w:rPr>
          <w:szCs w:val="24"/>
        </w:rPr>
      </w:pPr>
      <w:r w:rsidRPr="00222909">
        <w:rPr>
          <w:szCs w:val="24"/>
        </w:rPr>
        <w:t xml:space="preserve">TPOC reporting under the Estate’s </w:t>
      </w:r>
      <w:proofErr w:type="gramStart"/>
      <w:r w:rsidRPr="00222909">
        <w:rPr>
          <w:szCs w:val="24"/>
        </w:rPr>
        <w:t>RRE#,</w:t>
      </w:r>
      <w:proofErr w:type="gramEnd"/>
      <w:r w:rsidRPr="00222909">
        <w:rPr>
          <w:szCs w:val="24"/>
        </w:rPr>
        <w:t xml:space="preserve"> in distinction from ORM, should continue to the extent that distributions from the receivership estate may be made on Uncovered Claims. TPOC reporting is required with 135 days of the </w:t>
      </w:r>
      <w:r w:rsidR="004021C9" w:rsidRPr="00222909">
        <w:rPr>
          <w:szCs w:val="24"/>
        </w:rPr>
        <w:t>applicable TPOC date</w:t>
      </w:r>
      <w:r w:rsidRPr="00222909">
        <w:rPr>
          <w:szCs w:val="24"/>
        </w:rPr>
        <w:t xml:space="preserve"> by the Receiver to a claimant that is a Medicare eligible beneficiary.</w:t>
      </w:r>
    </w:p>
    <w:p w14:paraId="1D660E3C" w14:textId="77777777" w:rsidR="00003D1C" w:rsidRPr="00222909" w:rsidRDefault="00003D1C" w:rsidP="00003D1C">
      <w:pPr>
        <w:rPr>
          <w:szCs w:val="24"/>
        </w:rPr>
      </w:pPr>
    </w:p>
    <w:p w14:paraId="6F3CE16C" w14:textId="410B6A2B" w:rsidR="00003D1C" w:rsidRPr="00222909" w:rsidRDefault="00003D1C" w:rsidP="00B23917">
      <w:pPr>
        <w:pStyle w:val="ListParagraph"/>
        <w:numPr>
          <w:ilvl w:val="6"/>
          <w:numId w:val="18"/>
        </w:numPr>
        <w:ind w:left="1080"/>
        <w:jc w:val="both"/>
        <w:rPr>
          <w:b/>
          <w:bCs/>
          <w:szCs w:val="24"/>
        </w:rPr>
      </w:pPr>
      <w:r w:rsidRPr="00222909">
        <w:rPr>
          <w:b/>
          <w:bCs/>
          <w:szCs w:val="24"/>
        </w:rPr>
        <w:t>CMS Expectations</w:t>
      </w:r>
    </w:p>
    <w:p w14:paraId="127284CC" w14:textId="77777777" w:rsidR="0036724D" w:rsidRPr="00222909" w:rsidRDefault="0036724D" w:rsidP="0036724D">
      <w:pPr>
        <w:pStyle w:val="ListParagraph"/>
        <w:ind w:left="360"/>
        <w:jc w:val="both"/>
        <w:rPr>
          <w:b/>
          <w:bCs/>
          <w:szCs w:val="24"/>
        </w:rPr>
      </w:pPr>
    </w:p>
    <w:p w14:paraId="0DA0CCF8" w14:textId="77777777" w:rsidR="00003D1C" w:rsidRPr="00222909" w:rsidRDefault="00003D1C" w:rsidP="005D0A57">
      <w:pPr>
        <w:jc w:val="both"/>
        <w:rPr>
          <w:szCs w:val="24"/>
        </w:rPr>
      </w:pPr>
      <w:r w:rsidRPr="00222909">
        <w:rPr>
          <w:szCs w:val="24"/>
        </w:rPr>
        <w:t>CMS expects reporting persons and entities to establish procedures to identify claims or coverage that may be subject to MSP reporting, determine whether reporting obligations exist, and timely submit required reports.  Likewise, persons and entities responsible for resolving reimbursement obligations should establish procedures to identify, investigate, and satisfy reimbursement claims arising from conditional or mistaken payments, as is expected by CMS.</w:t>
      </w:r>
    </w:p>
    <w:p w14:paraId="6CE40CC0" w14:textId="77777777" w:rsidR="00003D1C" w:rsidRPr="00222909" w:rsidRDefault="00003D1C" w:rsidP="00003D1C">
      <w:pPr>
        <w:pStyle w:val="ListParagraph"/>
        <w:jc w:val="both"/>
        <w:rPr>
          <w:szCs w:val="24"/>
        </w:rPr>
      </w:pPr>
    </w:p>
    <w:p w14:paraId="03CA069C" w14:textId="77777777" w:rsidR="00003D1C" w:rsidRPr="00222909" w:rsidRDefault="00003D1C" w:rsidP="005D0A57">
      <w:pPr>
        <w:jc w:val="both"/>
        <w:rPr>
          <w:szCs w:val="24"/>
        </w:rPr>
      </w:pPr>
      <w:r w:rsidRPr="00222909">
        <w:rPr>
          <w:szCs w:val="24"/>
        </w:rPr>
        <w:t>Consistent with those expectations, receivers should establish reasonable procedures for identifying potential MSP matters, collecting and preserving information necessary to satisfy reporting and reimbursement obligations, documenting material information deficiencies and reasonable efforts to obtain missing information, maintaining records of reporting and reimbursement activities and outcomes, and coordinating responsibilities with insurers, claimants, counsel, guaranty associations, and other interested persons or entities.</w:t>
      </w:r>
    </w:p>
    <w:p w14:paraId="786C2EAA" w14:textId="77777777" w:rsidR="00003D1C" w:rsidRPr="00222909" w:rsidRDefault="00003D1C" w:rsidP="00003D1C">
      <w:pPr>
        <w:pStyle w:val="ListParagraph"/>
        <w:ind w:left="1440"/>
        <w:jc w:val="both"/>
        <w:rPr>
          <w:szCs w:val="24"/>
        </w:rPr>
      </w:pPr>
    </w:p>
    <w:p w14:paraId="69471F19" w14:textId="3FC896D2" w:rsidR="00003D1C" w:rsidRPr="00222909" w:rsidRDefault="00003D1C" w:rsidP="00003D1C">
      <w:pPr>
        <w:jc w:val="both"/>
        <w:rPr>
          <w:szCs w:val="24"/>
        </w:rPr>
      </w:pPr>
      <w:r w:rsidRPr="00222909">
        <w:rPr>
          <w:szCs w:val="24"/>
        </w:rPr>
        <w:t xml:space="preserve">The Liquidator’s claim review procedures </w:t>
      </w:r>
      <w:r w:rsidR="00F80FBC" w:rsidRPr="00222909">
        <w:rPr>
          <w:szCs w:val="24"/>
        </w:rPr>
        <w:t>should be</w:t>
      </w:r>
      <w:r w:rsidRPr="00222909">
        <w:rPr>
          <w:szCs w:val="24"/>
        </w:rPr>
        <w:t xml:space="preserve"> compliant with CMS</w:t>
      </w:r>
      <w:r w:rsidR="009931DF" w:rsidRPr="00222909">
        <w:rPr>
          <w:szCs w:val="24"/>
        </w:rPr>
        <w:t>’</w:t>
      </w:r>
      <w:r w:rsidRPr="00222909">
        <w:rPr>
          <w:szCs w:val="24"/>
        </w:rPr>
        <w:t xml:space="preserve"> MSP reporting requirements contained in 42 U.S.C. §1395y(b)(7) and (8), and all program instructions issued thereunder, including determinations of whether claimants against a liquidation estate are </w:t>
      </w:r>
      <w:r w:rsidR="00921744">
        <w:rPr>
          <w:szCs w:val="24"/>
        </w:rPr>
        <w:t>65</w:t>
      </w:r>
      <w:r w:rsidRPr="00222909">
        <w:rPr>
          <w:szCs w:val="24"/>
        </w:rPr>
        <w:t xml:space="preserve"> years of age or older at the date of incident or loss, disabled, or otherwise entitled to benefits under the federal Medicare programs.</w:t>
      </w:r>
    </w:p>
    <w:p w14:paraId="10AF820C" w14:textId="77777777" w:rsidR="0036724D" w:rsidRPr="00222909" w:rsidRDefault="0036724D" w:rsidP="00003D1C">
      <w:pPr>
        <w:jc w:val="both"/>
        <w:rPr>
          <w:szCs w:val="24"/>
        </w:rPr>
      </w:pPr>
    </w:p>
    <w:p w14:paraId="74A7EC26" w14:textId="41422453" w:rsidR="00AC1AB3" w:rsidRPr="00222909" w:rsidRDefault="00AC1AB3" w:rsidP="00222909">
      <w:pPr>
        <w:pStyle w:val="ListParagraph"/>
        <w:numPr>
          <w:ilvl w:val="6"/>
          <w:numId w:val="18"/>
        </w:numPr>
        <w:ind w:left="1080"/>
        <w:jc w:val="both"/>
        <w:rPr>
          <w:b/>
          <w:bCs/>
          <w:szCs w:val="24"/>
        </w:rPr>
      </w:pPr>
      <w:r w:rsidRPr="00222909">
        <w:rPr>
          <w:b/>
          <w:bCs/>
          <w:szCs w:val="24"/>
        </w:rPr>
        <w:t>Backlogs and Incomplete Records</w:t>
      </w:r>
    </w:p>
    <w:p w14:paraId="4E709E18" w14:textId="77777777" w:rsidR="00AC1AB3" w:rsidRPr="00222909" w:rsidRDefault="00AC1AB3" w:rsidP="00AC1AB3">
      <w:pPr>
        <w:pStyle w:val="ListParagraph"/>
        <w:ind w:left="360"/>
        <w:jc w:val="both"/>
        <w:rPr>
          <w:b/>
          <w:bCs/>
          <w:szCs w:val="24"/>
        </w:rPr>
      </w:pPr>
    </w:p>
    <w:p w14:paraId="691B5414" w14:textId="77777777" w:rsidR="00AC1AB3" w:rsidRPr="00222909" w:rsidRDefault="00AC1AB3" w:rsidP="00AC1AB3">
      <w:pPr>
        <w:jc w:val="both"/>
        <w:rPr>
          <w:szCs w:val="24"/>
        </w:rPr>
      </w:pPr>
      <w:r w:rsidRPr="00222909">
        <w:rPr>
          <w:szCs w:val="24"/>
        </w:rPr>
        <w:t>Receivers may inherit reporting backlogs and incomplete records.  Available records may not indicate whether required reporting occurred, whether reimbursement obligations were satisfied or remain outstanding, or contain sufficient information to complete future reporting or resolve reimbursement obligations.  These conditions may materially affect the administration of the estate.</w:t>
      </w:r>
    </w:p>
    <w:p w14:paraId="58758138" w14:textId="77777777" w:rsidR="00AC1AB3" w:rsidRPr="00222909" w:rsidRDefault="00AC1AB3" w:rsidP="00AC1AB3">
      <w:pPr>
        <w:pStyle w:val="ListParagraph"/>
        <w:jc w:val="both"/>
        <w:rPr>
          <w:szCs w:val="24"/>
        </w:rPr>
      </w:pPr>
    </w:p>
    <w:p w14:paraId="2EEB2826" w14:textId="77777777" w:rsidR="00AC1AB3" w:rsidRPr="00222909" w:rsidRDefault="00AC1AB3" w:rsidP="00AC1AB3">
      <w:pPr>
        <w:jc w:val="both"/>
        <w:rPr>
          <w:szCs w:val="24"/>
        </w:rPr>
      </w:pPr>
      <w:r w:rsidRPr="00222909">
        <w:rPr>
          <w:szCs w:val="24"/>
        </w:rPr>
        <w:t>Accordingly, the receiver should evaluate the insurer’s pre-receivership MSP compliance as part of the initial review of the estate.  Where deficiencies are identified, the receiver should determine whether corrective action is feasible, document any limitations created by incomplete or unavailable records, and evaluate whether additional investigation, corrective measures, or other action is appropriate.  Material deficiencies that cannot reasonably be corrected and that may affect distributions, estate closure, or the rights of the United States should be evaluated to determine whether disclosure to, or direction from, the receivership court is appropriate.</w:t>
      </w:r>
    </w:p>
    <w:p w14:paraId="0E6FF560" w14:textId="77777777" w:rsidR="00AC1AB3" w:rsidRPr="00B23917" w:rsidRDefault="00AC1AB3" w:rsidP="00AC1AB3">
      <w:pPr>
        <w:pStyle w:val="ListParagraph"/>
        <w:widowControl/>
        <w:spacing w:after="160" w:line="276" w:lineRule="auto"/>
        <w:ind w:left="1080"/>
        <w:rPr>
          <w:szCs w:val="24"/>
          <w:u w:val="single"/>
        </w:rPr>
      </w:pPr>
    </w:p>
    <w:p w14:paraId="6880FF49" w14:textId="3C3945D7" w:rsidR="00003D1C" w:rsidRPr="00222909" w:rsidRDefault="00AC1AB3" w:rsidP="00222909">
      <w:pPr>
        <w:pStyle w:val="ListParagraph"/>
        <w:numPr>
          <w:ilvl w:val="6"/>
          <w:numId w:val="18"/>
        </w:numPr>
        <w:ind w:left="1080"/>
        <w:jc w:val="both"/>
        <w:rPr>
          <w:b/>
          <w:bCs/>
          <w:szCs w:val="24"/>
        </w:rPr>
      </w:pPr>
      <w:r w:rsidRPr="00222909">
        <w:rPr>
          <w:b/>
          <w:bCs/>
          <w:szCs w:val="24"/>
        </w:rPr>
        <w:t>P</w:t>
      </w:r>
      <w:r w:rsidR="00003D1C" w:rsidRPr="00222909">
        <w:rPr>
          <w:b/>
          <w:bCs/>
          <w:szCs w:val="24"/>
        </w:rPr>
        <w:t xml:space="preserve">riority of </w:t>
      </w:r>
      <w:r w:rsidRPr="00222909">
        <w:rPr>
          <w:b/>
          <w:bCs/>
          <w:szCs w:val="24"/>
        </w:rPr>
        <w:t>C</w:t>
      </w:r>
      <w:r w:rsidR="00003D1C" w:rsidRPr="00222909">
        <w:rPr>
          <w:b/>
          <w:bCs/>
          <w:szCs w:val="24"/>
        </w:rPr>
        <w:t xml:space="preserve">laim </w:t>
      </w:r>
      <w:r w:rsidRPr="00222909">
        <w:rPr>
          <w:b/>
          <w:bCs/>
          <w:szCs w:val="24"/>
        </w:rPr>
        <w:t>P</w:t>
      </w:r>
      <w:r w:rsidR="00003D1C" w:rsidRPr="00222909">
        <w:rPr>
          <w:b/>
          <w:bCs/>
          <w:szCs w:val="24"/>
        </w:rPr>
        <w:t>ayments</w:t>
      </w:r>
    </w:p>
    <w:p w14:paraId="208378DA" w14:textId="77777777" w:rsidR="0036724D" w:rsidRPr="00222909" w:rsidRDefault="0036724D" w:rsidP="0036724D">
      <w:pPr>
        <w:keepNext/>
        <w:jc w:val="both"/>
        <w:rPr>
          <w:szCs w:val="24"/>
        </w:rPr>
      </w:pPr>
    </w:p>
    <w:p w14:paraId="5DA76A80" w14:textId="7B7F9A2B" w:rsidR="003D7A5B" w:rsidRPr="00222909" w:rsidRDefault="00003D1C" w:rsidP="00B23917">
      <w:pPr>
        <w:keepNext/>
        <w:jc w:val="both"/>
        <w:rPr>
          <w:szCs w:val="24"/>
        </w:rPr>
      </w:pPr>
      <w:r w:rsidRPr="00222909">
        <w:rPr>
          <w:szCs w:val="24"/>
        </w:rPr>
        <w:t xml:space="preserve">Receivers should recognize that the United States has in the past asserted that </w:t>
      </w:r>
      <w:r w:rsidR="00D87D10">
        <w:rPr>
          <w:szCs w:val="24"/>
        </w:rPr>
        <w:t xml:space="preserve">certain federal government </w:t>
      </w:r>
      <w:r w:rsidRPr="00222909">
        <w:rPr>
          <w:szCs w:val="24"/>
        </w:rPr>
        <w:t>obligations are entitled to priority under the Federal Priority Statute in insurance receiverships.</w:t>
      </w:r>
      <w:r w:rsidRPr="00222909">
        <w:rPr>
          <w:rStyle w:val="FootnoteReference"/>
          <w:szCs w:val="24"/>
        </w:rPr>
        <w:footnoteReference w:id="50"/>
      </w:r>
      <w:r w:rsidRPr="00222909">
        <w:rPr>
          <w:szCs w:val="24"/>
        </w:rPr>
        <w:t xml:space="preserve">  Accordingly, unresolved MSP obligations may affect the administration of the estate, the timing and amount of distributions, and the potential liability of the estate and its representatives.  Where questions arise concerning the treatment or priority of MSP obligations, the receiver should consider seeking </w:t>
      </w:r>
      <w:proofErr w:type="gramStart"/>
      <w:r w:rsidRPr="00222909">
        <w:rPr>
          <w:szCs w:val="24"/>
        </w:rPr>
        <w:t>direction</w:t>
      </w:r>
      <w:proofErr w:type="gramEnd"/>
      <w:r w:rsidRPr="00222909">
        <w:rPr>
          <w:szCs w:val="24"/>
        </w:rPr>
        <w:t xml:space="preserve"> from the receivership court.  The receiver should also keep in mind that claims of the United States may not be subject to the receivership’s claims filing deadlines or bar dates.</w:t>
      </w:r>
      <w:r w:rsidRPr="00222909">
        <w:rPr>
          <w:rStyle w:val="FootnoteReference"/>
          <w:szCs w:val="24"/>
        </w:rPr>
        <w:footnoteReference w:id="51"/>
      </w:r>
    </w:p>
    <w:p w14:paraId="1E648B84" w14:textId="77777777" w:rsidR="00221DDA" w:rsidRPr="00222909" w:rsidRDefault="00221DDA" w:rsidP="000906D1">
      <w:pPr>
        <w:jc w:val="both"/>
        <w:rPr>
          <w:szCs w:val="24"/>
        </w:rPr>
      </w:pPr>
    </w:p>
    <w:p w14:paraId="7887607D" w14:textId="367BA681" w:rsidR="00221DDA" w:rsidRPr="00222909" w:rsidRDefault="00221DDA" w:rsidP="00222909">
      <w:pPr>
        <w:pStyle w:val="ListParagraph"/>
        <w:numPr>
          <w:ilvl w:val="6"/>
          <w:numId w:val="18"/>
        </w:numPr>
        <w:ind w:left="1080"/>
        <w:jc w:val="both"/>
        <w:rPr>
          <w:b/>
          <w:bCs/>
          <w:szCs w:val="24"/>
        </w:rPr>
      </w:pPr>
      <w:r w:rsidRPr="00222909">
        <w:rPr>
          <w:b/>
          <w:bCs/>
          <w:szCs w:val="24"/>
        </w:rPr>
        <w:t xml:space="preserve">P&amp;C Guaranty Association </w:t>
      </w:r>
      <w:r w:rsidR="00E710A2" w:rsidRPr="00222909">
        <w:rPr>
          <w:b/>
          <w:bCs/>
          <w:szCs w:val="24"/>
        </w:rPr>
        <w:t>N</w:t>
      </w:r>
      <w:r w:rsidRPr="00222909">
        <w:rPr>
          <w:b/>
          <w:bCs/>
          <w:szCs w:val="24"/>
        </w:rPr>
        <w:t xml:space="preserve">ot </w:t>
      </w:r>
      <w:r w:rsidR="00E710A2" w:rsidRPr="00222909">
        <w:rPr>
          <w:b/>
          <w:bCs/>
          <w:szCs w:val="24"/>
        </w:rPr>
        <w:t>P</w:t>
      </w:r>
      <w:r w:rsidRPr="00222909">
        <w:rPr>
          <w:b/>
          <w:bCs/>
          <w:szCs w:val="24"/>
        </w:rPr>
        <w:t xml:space="preserve">rimary </w:t>
      </w:r>
      <w:r w:rsidR="00E710A2" w:rsidRPr="00222909">
        <w:rPr>
          <w:b/>
          <w:bCs/>
          <w:szCs w:val="24"/>
        </w:rPr>
        <w:t>P</w:t>
      </w:r>
      <w:r w:rsidRPr="00222909">
        <w:rPr>
          <w:b/>
          <w:bCs/>
          <w:szCs w:val="24"/>
        </w:rPr>
        <w:t xml:space="preserve">lan  </w:t>
      </w:r>
    </w:p>
    <w:p w14:paraId="2735F83A" w14:textId="77777777" w:rsidR="00E710A2" w:rsidRPr="00222909" w:rsidRDefault="00E710A2" w:rsidP="00E710A2">
      <w:pPr>
        <w:pStyle w:val="ListParagraph"/>
        <w:ind w:left="360"/>
        <w:jc w:val="both"/>
        <w:rPr>
          <w:b/>
          <w:bCs/>
          <w:szCs w:val="24"/>
        </w:rPr>
      </w:pPr>
    </w:p>
    <w:p w14:paraId="7C8DA49A" w14:textId="694A4E77" w:rsidR="00221DDA" w:rsidRPr="00222909" w:rsidRDefault="00221DDA" w:rsidP="00221DDA">
      <w:pPr>
        <w:pStyle w:val="ListParagraph"/>
        <w:ind w:left="0"/>
        <w:jc w:val="both"/>
        <w:rPr>
          <w:szCs w:val="24"/>
        </w:rPr>
      </w:pPr>
      <w:r w:rsidRPr="00222909">
        <w:rPr>
          <w:szCs w:val="24"/>
        </w:rPr>
        <w:t>Several courts have considered whether property and casualty guaranty associations have reporting or reimbursement obligations under the MSP statute.</w:t>
      </w:r>
      <w:r w:rsidRPr="00222909">
        <w:rPr>
          <w:rStyle w:val="FootnoteReference"/>
          <w:szCs w:val="24"/>
        </w:rPr>
        <w:footnoteReference w:id="52"/>
      </w:r>
      <w:r w:rsidRPr="00222909">
        <w:rPr>
          <w:szCs w:val="24"/>
        </w:rPr>
        <w:t xml:space="preserve"> </w:t>
      </w:r>
      <w:r w:rsidR="00671B27">
        <w:t xml:space="preserve">Since 2019, these decisions have uniformly held that guaranty associations are not subject to MSP obligations, but one early decision from 1996 holds to the contrary. </w:t>
      </w:r>
      <w:r w:rsidRPr="00222909">
        <w:rPr>
          <w:szCs w:val="24"/>
        </w:rPr>
        <w:t>These decisions have affected operational practices in some jurisdictions.</w:t>
      </w:r>
      <w:r w:rsidR="00C212A4" w:rsidRPr="00222909">
        <w:rPr>
          <w:szCs w:val="24"/>
        </w:rPr>
        <w:t xml:space="preserve"> (</w:t>
      </w:r>
      <w:r w:rsidR="00C40870" w:rsidRPr="00222909">
        <w:rPr>
          <w:szCs w:val="24"/>
        </w:rPr>
        <w:t>See</w:t>
      </w:r>
      <w:r w:rsidR="00C212A4" w:rsidRPr="00222909">
        <w:rPr>
          <w:szCs w:val="24"/>
        </w:rPr>
        <w:t xml:space="preserve"> </w:t>
      </w:r>
      <w:r w:rsidR="00E710A2" w:rsidRPr="00222909">
        <w:rPr>
          <w:szCs w:val="24"/>
        </w:rPr>
        <w:t xml:space="preserve">also the </w:t>
      </w:r>
      <w:r w:rsidR="00C212A4" w:rsidRPr="00222909">
        <w:rPr>
          <w:szCs w:val="24"/>
        </w:rPr>
        <w:t xml:space="preserve">examples in Section </w:t>
      </w:r>
      <w:r w:rsidR="00E710A2" w:rsidRPr="00222909">
        <w:rPr>
          <w:szCs w:val="24"/>
        </w:rPr>
        <w:t>C.2 above.)</w:t>
      </w:r>
    </w:p>
    <w:p w14:paraId="60F09843" w14:textId="77777777" w:rsidR="00221DDA" w:rsidRPr="00222909" w:rsidRDefault="00221DDA" w:rsidP="00221DDA">
      <w:pPr>
        <w:pStyle w:val="ListParagraph"/>
        <w:ind w:left="0"/>
        <w:jc w:val="both"/>
        <w:rPr>
          <w:szCs w:val="24"/>
        </w:rPr>
      </w:pPr>
    </w:p>
    <w:p w14:paraId="7EF9CFC2" w14:textId="55A28F33" w:rsidR="00221DDA" w:rsidRPr="00222909" w:rsidRDefault="008C0EA7" w:rsidP="00221DDA">
      <w:pPr>
        <w:pStyle w:val="ListParagraph"/>
        <w:ind w:left="0"/>
        <w:jc w:val="both"/>
        <w:rPr>
          <w:szCs w:val="24"/>
        </w:rPr>
      </w:pPr>
      <w:r w:rsidRPr="00D8608F">
        <w:t xml:space="preserve">Receivers should consult current law when administering claims involving guaranty associations and communicate with the </w:t>
      </w:r>
      <w:r>
        <w:t xml:space="preserve">National Conference of Guaranty Associations (NCIGF), the </w:t>
      </w:r>
      <w:r w:rsidRPr="00D8608F">
        <w:t>affected guaranty associations and</w:t>
      </w:r>
      <w:r>
        <w:t>/or</w:t>
      </w:r>
      <w:r w:rsidRPr="00D8608F">
        <w:t xml:space="preserve"> CMS regarding their respective legal and operational responsibilities.</w:t>
      </w:r>
      <w:r>
        <w:t xml:space="preserve"> NCIGF monitors MSP obligations of the property and casualty guaranty associations and can provide receiverships with updates on which states have obtained determinations that they are not a ‘primary plan’ under the MSP Act.</w:t>
      </w:r>
    </w:p>
    <w:p w14:paraId="50A4333F" w14:textId="023FBE62" w:rsidR="00221DDA" w:rsidRPr="00222909" w:rsidRDefault="00221DDA" w:rsidP="00221DDA">
      <w:pPr>
        <w:pStyle w:val="ListParagraph"/>
        <w:ind w:left="0"/>
        <w:jc w:val="both"/>
        <w:rPr>
          <w:szCs w:val="24"/>
        </w:rPr>
      </w:pPr>
      <w:r w:rsidRPr="00222909">
        <w:rPr>
          <w:i/>
          <w:iCs/>
          <w:szCs w:val="24"/>
        </w:rPr>
        <w:t xml:space="preserve">Practice Note: </w:t>
      </w:r>
      <w:r w:rsidRPr="00222909">
        <w:rPr>
          <w:szCs w:val="24"/>
        </w:rPr>
        <w:t>Because this area continues to develop, the receiver should avoid relying solely on historical practices or existing CMS guidance without first confirming that subsequent judicial or administrative developments have not altered the legal assumptions underlying them.</w:t>
      </w:r>
    </w:p>
    <w:p w14:paraId="1A1DF4E8" w14:textId="77777777" w:rsidR="00CA6074" w:rsidRPr="00222909" w:rsidRDefault="00CA6074" w:rsidP="00221DDA">
      <w:pPr>
        <w:pStyle w:val="ListParagraph"/>
        <w:ind w:left="0"/>
        <w:jc w:val="both"/>
        <w:rPr>
          <w:szCs w:val="24"/>
        </w:rPr>
      </w:pPr>
    </w:p>
    <w:p w14:paraId="094E623F" w14:textId="77777777" w:rsidR="0011494F" w:rsidRPr="00222909" w:rsidRDefault="0011494F" w:rsidP="00BB0DA3">
      <w:pPr>
        <w:pStyle w:val="ListParagraph"/>
        <w:numPr>
          <w:ilvl w:val="6"/>
          <w:numId w:val="18"/>
        </w:numPr>
        <w:ind w:left="1080"/>
        <w:jc w:val="both"/>
        <w:rPr>
          <w:b/>
          <w:bCs/>
          <w:szCs w:val="24"/>
        </w:rPr>
      </w:pPr>
      <w:r w:rsidRPr="00222909">
        <w:rPr>
          <w:b/>
          <w:bCs/>
          <w:szCs w:val="24"/>
        </w:rPr>
        <w:t>Rehabilitation vs. Liquidation</w:t>
      </w:r>
    </w:p>
    <w:p w14:paraId="58DA0397" w14:textId="77777777" w:rsidR="00DE5025" w:rsidRPr="00222909" w:rsidRDefault="00DE5025" w:rsidP="00DE5025">
      <w:pPr>
        <w:keepNext/>
        <w:jc w:val="both"/>
        <w:rPr>
          <w:szCs w:val="24"/>
        </w:rPr>
      </w:pPr>
    </w:p>
    <w:p w14:paraId="1F1BD239" w14:textId="402337E2" w:rsidR="0011494F" w:rsidRPr="00222909" w:rsidRDefault="0011494F" w:rsidP="00DE5025">
      <w:pPr>
        <w:keepNext/>
        <w:jc w:val="both"/>
        <w:rPr>
          <w:szCs w:val="24"/>
        </w:rPr>
      </w:pPr>
      <w:r w:rsidRPr="00222909">
        <w:rPr>
          <w:szCs w:val="24"/>
        </w:rPr>
        <w:t xml:space="preserve">Although the MSP statute and applicable regulations apply regardless of the type of receivership, the receiver’s operational responsibilities may differ depending on whether the insurer is in rehabilitation or liquidation.  The receiver should evaluate MSP obligations </w:t>
      </w:r>
      <w:r w:rsidR="00F607E3" w:rsidRPr="00222909">
        <w:rPr>
          <w:szCs w:val="24"/>
        </w:rPr>
        <w:t>considering</w:t>
      </w:r>
      <w:r w:rsidRPr="00222909">
        <w:rPr>
          <w:szCs w:val="24"/>
        </w:rPr>
        <w:t xml:space="preserve"> the receivership estate’s ongoing operations and the </w:t>
      </w:r>
      <w:proofErr w:type="gramStart"/>
      <w:r w:rsidRPr="00222909">
        <w:rPr>
          <w:szCs w:val="24"/>
        </w:rPr>
        <w:t>manner in which</w:t>
      </w:r>
      <w:proofErr w:type="gramEnd"/>
      <w:r w:rsidRPr="00222909">
        <w:rPr>
          <w:szCs w:val="24"/>
        </w:rPr>
        <w:t xml:space="preserve"> claims are administered and funded, or coverage is administered and provided.</w:t>
      </w:r>
    </w:p>
    <w:p w14:paraId="095C8530" w14:textId="77777777" w:rsidR="0011494F" w:rsidRPr="00B23917" w:rsidRDefault="0011494F" w:rsidP="005E1889">
      <w:pPr>
        <w:ind w:left="360"/>
        <w:rPr>
          <w:szCs w:val="24"/>
        </w:rPr>
      </w:pPr>
    </w:p>
    <w:p w14:paraId="3D6E49EB" w14:textId="0970E7EA" w:rsidR="0011494F" w:rsidRPr="005D6CD0" w:rsidRDefault="0011494F" w:rsidP="005D6CD0">
      <w:pPr>
        <w:widowControl/>
        <w:spacing w:after="160" w:line="276" w:lineRule="auto"/>
        <w:rPr>
          <w:szCs w:val="24"/>
          <w:u w:val="single"/>
        </w:rPr>
      </w:pPr>
      <w:r w:rsidRPr="005D6CD0">
        <w:rPr>
          <w:szCs w:val="24"/>
          <w:u w:val="single"/>
        </w:rPr>
        <w:t xml:space="preserve">Differences </w:t>
      </w:r>
      <w:r w:rsidR="00DE5025" w:rsidRPr="005D6CD0">
        <w:rPr>
          <w:szCs w:val="24"/>
          <w:u w:val="single"/>
        </w:rPr>
        <w:t>and S</w:t>
      </w:r>
      <w:r w:rsidRPr="005D6CD0">
        <w:rPr>
          <w:szCs w:val="24"/>
          <w:u w:val="single"/>
        </w:rPr>
        <w:t>imilarities</w:t>
      </w:r>
      <w:r w:rsidR="006E78AE">
        <w:rPr>
          <w:szCs w:val="24"/>
          <w:u w:val="single"/>
        </w:rPr>
        <w:t xml:space="preserve">: </w:t>
      </w:r>
    </w:p>
    <w:p w14:paraId="4B16A126" w14:textId="7EE3E557" w:rsidR="0011494F" w:rsidRPr="007F0931" w:rsidRDefault="0011494F" w:rsidP="005D6CD0">
      <w:pPr>
        <w:pStyle w:val="ListParagraph"/>
        <w:widowControl/>
        <w:numPr>
          <w:ilvl w:val="0"/>
          <w:numId w:val="38"/>
        </w:numPr>
        <w:spacing w:after="160" w:line="276" w:lineRule="auto"/>
        <w:rPr>
          <w:szCs w:val="24"/>
          <w:u w:val="single"/>
        </w:rPr>
      </w:pPr>
      <w:r w:rsidRPr="007F0931">
        <w:rPr>
          <w:szCs w:val="24"/>
          <w:u w:val="single"/>
        </w:rPr>
        <w:t>Rehabilitation</w:t>
      </w:r>
    </w:p>
    <w:p w14:paraId="3E311468" w14:textId="77777777" w:rsidR="0011494F" w:rsidRPr="00222909" w:rsidRDefault="0011494F" w:rsidP="005E1889">
      <w:pPr>
        <w:jc w:val="both"/>
        <w:rPr>
          <w:szCs w:val="24"/>
        </w:rPr>
      </w:pPr>
      <w:r w:rsidRPr="00222909">
        <w:rPr>
          <w:szCs w:val="24"/>
        </w:rPr>
        <w:t xml:space="preserve">In rehabilitation, the insurer generally continues operating through the receiver, subject to receivership court supervision.  Existing reporting and reimbursement procedures may therefore continue with appropriate oversight.  Early in </w:t>
      </w:r>
      <w:proofErr w:type="gramStart"/>
      <w:r w:rsidRPr="00222909">
        <w:rPr>
          <w:szCs w:val="24"/>
        </w:rPr>
        <w:t>the proceeding</w:t>
      </w:r>
      <w:proofErr w:type="gramEnd"/>
      <w:r w:rsidRPr="00222909">
        <w:rPr>
          <w:szCs w:val="24"/>
        </w:rPr>
        <w:t>, the receiver should evaluate the insurer’s MSP compliance program to determine whether reporting obligations are current, whether reimbursement obligations have been appropriately addressed, and whether modifications to existing procedures are necessary.  Where deficiencies are identified, the receiver should make reasonable efforts to address them before they create additional administrative or legal issues.</w:t>
      </w:r>
    </w:p>
    <w:p w14:paraId="7BE8BF4E" w14:textId="77777777" w:rsidR="0011494F" w:rsidRPr="00B23917" w:rsidRDefault="0011494F" w:rsidP="00204C62">
      <w:pPr>
        <w:pStyle w:val="ListParagraph"/>
        <w:ind w:left="2160"/>
        <w:rPr>
          <w:szCs w:val="24"/>
        </w:rPr>
      </w:pPr>
    </w:p>
    <w:p w14:paraId="2B001843" w14:textId="287E5742" w:rsidR="0011494F" w:rsidRPr="00B23917" w:rsidRDefault="0011494F" w:rsidP="005D6CD0">
      <w:pPr>
        <w:pStyle w:val="ListParagraph"/>
        <w:widowControl/>
        <w:numPr>
          <w:ilvl w:val="0"/>
          <w:numId w:val="38"/>
        </w:numPr>
        <w:spacing w:after="160" w:line="276" w:lineRule="auto"/>
        <w:rPr>
          <w:szCs w:val="24"/>
          <w:u w:val="single"/>
        </w:rPr>
      </w:pPr>
      <w:r w:rsidRPr="00B23917">
        <w:rPr>
          <w:szCs w:val="24"/>
          <w:u w:val="single"/>
        </w:rPr>
        <w:t>Liquidation with G</w:t>
      </w:r>
      <w:r w:rsidR="005E1889" w:rsidRPr="00B23917">
        <w:rPr>
          <w:szCs w:val="24"/>
          <w:u w:val="single"/>
        </w:rPr>
        <w:t>uaranty Fund</w:t>
      </w:r>
      <w:r w:rsidRPr="00B23917">
        <w:rPr>
          <w:szCs w:val="24"/>
          <w:u w:val="single"/>
        </w:rPr>
        <w:t xml:space="preserve"> </w:t>
      </w:r>
      <w:r w:rsidR="005E1889" w:rsidRPr="00B23917">
        <w:rPr>
          <w:szCs w:val="24"/>
          <w:u w:val="single"/>
        </w:rPr>
        <w:t>C</w:t>
      </w:r>
      <w:r w:rsidRPr="00B23917">
        <w:rPr>
          <w:szCs w:val="24"/>
          <w:u w:val="single"/>
        </w:rPr>
        <w:t>overage</w:t>
      </w:r>
    </w:p>
    <w:p w14:paraId="3DAF7ECF" w14:textId="77777777" w:rsidR="0011494F" w:rsidRPr="00222909" w:rsidRDefault="0011494F" w:rsidP="005E1889">
      <w:pPr>
        <w:keepNext/>
        <w:jc w:val="both"/>
        <w:rPr>
          <w:szCs w:val="24"/>
        </w:rPr>
      </w:pPr>
      <w:r w:rsidRPr="00222909">
        <w:rPr>
          <w:szCs w:val="24"/>
        </w:rPr>
        <w:t xml:space="preserve">Liquidation may result in claims being administered, in whole or in part, by one or more guaranty associations while other claims remain with the receivership estate, in whole or in part.  This division of </w:t>
      </w:r>
      <w:r w:rsidRPr="00222909">
        <w:rPr>
          <w:szCs w:val="24"/>
        </w:rPr>
        <w:lastRenderedPageBreak/>
        <w:t>responsibilities makes early coordination particularly important.</w:t>
      </w:r>
    </w:p>
    <w:p w14:paraId="10A09515" w14:textId="77777777" w:rsidR="0011494F" w:rsidRPr="00222909" w:rsidRDefault="0011494F" w:rsidP="0011494F">
      <w:pPr>
        <w:pStyle w:val="ListParagraph"/>
        <w:keepNext/>
        <w:jc w:val="both"/>
        <w:rPr>
          <w:szCs w:val="24"/>
        </w:rPr>
      </w:pPr>
    </w:p>
    <w:p w14:paraId="7B83FDD9" w14:textId="253274EF" w:rsidR="0011494F" w:rsidRPr="00222909" w:rsidRDefault="0011494F" w:rsidP="005E1889">
      <w:pPr>
        <w:jc w:val="both"/>
        <w:rPr>
          <w:szCs w:val="24"/>
        </w:rPr>
      </w:pPr>
      <w:r w:rsidRPr="00222909">
        <w:rPr>
          <w:szCs w:val="24"/>
        </w:rPr>
        <w:t xml:space="preserve">Soon after the liquidation order is entered, the receiver should communicate with affected guaranty associations regarding claim administration, coverage administration, reporting, reimbursement, and information sharing.  Any operational </w:t>
      </w:r>
      <w:r w:rsidR="009D4EAB" w:rsidRPr="00222909">
        <w:rPr>
          <w:szCs w:val="24"/>
        </w:rPr>
        <w:t>understanding</w:t>
      </w:r>
      <w:r w:rsidRPr="00222909">
        <w:rPr>
          <w:szCs w:val="24"/>
        </w:rPr>
        <w:t xml:space="preserve"> should be documented to reduce the likelihood of incomplete or inconsistent reporting, incomplete, duplicative, or excessive reimbursement, and unnecessary duplication of effort.  The receiver should, where appropriate, periodically confirm that agreed operational responsibilities are being performed.</w:t>
      </w:r>
    </w:p>
    <w:p w14:paraId="11AE6904" w14:textId="77777777" w:rsidR="0011494F" w:rsidRPr="00B23917" w:rsidRDefault="0011494F" w:rsidP="005E1889">
      <w:pPr>
        <w:ind w:left="720"/>
        <w:rPr>
          <w:szCs w:val="24"/>
        </w:rPr>
      </w:pPr>
    </w:p>
    <w:p w14:paraId="6AFF899B" w14:textId="79001331" w:rsidR="0011494F" w:rsidRPr="00B23917" w:rsidRDefault="0011494F" w:rsidP="005D6CD0">
      <w:pPr>
        <w:pStyle w:val="ListParagraph"/>
        <w:widowControl/>
        <w:numPr>
          <w:ilvl w:val="0"/>
          <w:numId w:val="38"/>
        </w:numPr>
        <w:spacing w:after="160" w:line="276" w:lineRule="auto"/>
        <w:rPr>
          <w:szCs w:val="24"/>
          <w:u w:val="single"/>
        </w:rPr>
      </w:pPr>
      <w:r w:rsidRPr="00B23917">
        <w:rPr>
          <w:szCs w:val="24"/>
          <w:u w:val="single"/>
        </w:rPr>
        <w:t xml:space="preserve">Liquidation – </w:t>
      </w:r>
      <w:r w:rsidR="00F356E7" w:rsidRPr="00B23917">
        <w:rPr>
          <w:szCs w:val="24"/>
          <w:u w:val="single"/>
        </w:rPr>
        <w:t>W</w:t>
      </w:r>
      <w:r w:rsidRPr="00B23917">
        <w:rPr>
          <w:szCs w:val="24"/>
          <w:u w:val="single"/>
        </w:rPr>
        <w:t xml:space="preserve">hen </w:t>
      </w:r>
      <w:r w:rsidR="00F356E7" w:rsidRPr="00B23917">
        <w:rPr>
          <w:szCs w:val="24"/>
          <w:u w:val="single"/>
        </w:rPr>
        <w:t>C</w:t>
      </w:r>
      <w:r w:rsidRPr="00B23917">
        <w:rPr>
          <w:szCs w:val="24"/>
          <w:u w:val="single"/>
        </w:rPr>
        <w:t xml:space="preserve">losing the </w:t>
      </w:r>
      <w:r w:rsidR="00F356E7" w:rsidRPr="00B23917">
        <w:rPr>
          <w:szCs w:val="24"/>
          <w:u w:val="single"/>
        </w:rPr>
        <w:t>E</w:t>
      </w:r>
      <w:r w:rsidRPr="00B23917">
        <w:rPr>
          <w:szCs w:val="24"/>
          <w:u w:val="single"/>
        </w:rPr>
        <w:t>state</w:t>
      </w:r>
    </w:p>
    <w:p w14:paraId="684EE044" w14:textId="77777777" w:rsidR="0011494F" w:rsidRPr="00222909" w:rsidRDefault="0011494F" w:rsidP="00EC4076">
      <w:pPr>
        <w:jc w:val="both"/>
        <w:rPr>
          <w:szCs w:val="24"/>
        </w:rPr>
      </w:pPr>
      <w:r w:rsidRPr="00222909">
        <w:rPr>
          <w:szCs w:val="24"/>
        </w:rPr>
        <w:t xml:space="preserve">Before making material distributions, other than payment of administrative expenses, the receiver should evaluate, to the extent reasonably practicable, the status of required reporting, continuing reporting responsibilities, and reimbursement obligations affecting the receivership estate.  Where material obligations remain unresolved, the receiver should consider whether appropriate reserves, other protective measures, or additional court </w:t>
      </w:r>
      <w:proofErr w:type="gramStart"/>
      <w:r w:rsidRPr="00222909">
        <w:rPr>
          <w:szCs w:val="24"/>
        </w:rPr>
        <w:t>direction</w:t>
      </w:r>
      <w:proofErr w:type="gramEnd"/>
      <w:r w:rsidRPr="00222909">
        <w:rPr>
          <w:szCs w:val="24"/>
        </w:rPr>
        <w:t xml:space="preserve"> are warranted under the circumstances. Where ORM was previously reported by or for the estate, the appropriate ORM termination information should be reported before closure.  Early attention to these issues may reduce delays and complications associated with closing the receivership estate.</w:t>
      </w:r>
    </w:p>
    <w:p w14:paraId="34FE6C57" w14:textId="77777777" w:rsidR="0011494F" w:rsidRPr="00B23917" w:rsidRDefault="0011494F" w:rsidP="00204C62">
      <w:pPr>
        <w:rPr>
          <w:szCs w:val="24"/>
        </w:rPr>
      </w:pPr>
    </w:p>
    <w:p w14:paraId="481C6AF1" w14:textId="068FD6ED" w:rsidR="00610F4D" w:rsidRPr="00B23917" w:rsidRDefault="00610F4D" w:rsidP="00E2299F">
      <w:pPr>
        <w:pStyle w:val="ListParagraph"/>
        <w:numPr>
          <w:ilvl w:val="0"/>
          <w:numId w:val="5"/>
        </w:numPr>
        <w:rPr>
          <w:b/>
          <w:bCs/>
          <w:caps/>
          <w:szCs w:val="24"/>
        </w:rPr>
      </w:pPr>
      <w:r w:rsidRPr="00B23917">
        <w:rPr>
          <w:b/>
          <w:bCs/>
          <w:caps/>
          <w:szCs w:val="24"/>
        </w:rPr>
        <w:t>LEGAL PROTECTIONS</w:t>
      </w:r>
    </w:p>
    <w:p w14:paraId="2BB891C9" w14:textId="77777777" w:rsidR="00610F4D" w:rsidRPr="00222909" w:rsidRDefault="00610F4D" w:rsidP="00610F4D">
      <w:pPr>
        <w:jc w:val="both"/>
        <w:rPr>
          <w:b/>
          <w:bCs/>
          <w:szCs w:val="24"/>
        </w:rPr>
      </w:pPr>
    </w:p>
    <w:p w14:paraId="319002B6" w14:textId="77777777" w:rsidR="00D74215" w:rsidRPr="00222909" w:rsidRDefault="00D74215" w:rsidP="005D6CD0">
      <w:pPr>
        <w:pStyle w:val="ListParagraph"/>
        <w:numPr>
          <w:ilvl w:val="3"/>
          <w:numId w:val="38"/>
        </w:numPr>
        <w:ind w:left="1080"/>
        <w:jc w:val="both"/>
        <w:rPr>
          <w:b/>
          <w:bCs/>
          <w:szCs w:val="24"/>
        </w:rPr>
      </w:pPr>
      <w:r w:rsidRPr="00222909">
        <w:rPr>
          <w:b/>
          <w:bCs/>
          <w:szCs w:val="24"/>
        </w:rPr>
        <w:t>Model #555 (IRMA) Section 115 - Immunity and Indemnification of the Receiver and Assistants</w:t>
      </w:r>
    </w:p>
    <w:p w14:paraId="7CC4CF3D" w14:textId="77777777" w:rsidR="00D74215" w:rsidRPr="00222909" w:rsidRDefault="00D74215" w:rsidP="00D74215">
      <w:pPr>
        <w:keepNext/>
        <w:jc w:val="both"/>
        <w:rPr>
          <w:szCs w:val="24"/>
        </w:rPr>
      </w:pPr>
    </w:p>
    <w:p w14:paraId="254F502C" w14:textId="77777777" w:rsidR="00D74215" w:rsidRPr="00222909" w:rsidRDefault="00D74215" w:rsidP="00D74215">
      <w:pPr>
        <w:jc w:val="both"/>
        <w:rPr>
          <w:szCs w:val="24"/>
        </w:rPr>
      </w:pPr>
      <w:r w:rsidRPr="00222909">
        <w:rPr>
          <w:szCs w:val="24"/>
        </w:rPr>
        <w:t xml:space="preserve">Many jurisdictions provide statutory or common law immunity for receivers acting within the scope of their official duties. Such statutory protections may be based on </w:t>
      </w:r>
      <w:r w:rsidRPr="00222909">
        <w:rPr>
          <w:i/>
          <w:iCs/>
          <w:szCs w:val="24"/>
        </w:rPr>
        <w:t xml:space="preserve">Insurer Receivership Model Act </w:t>
      </w:r>
      <w:r w:rsidRPr="00222909">
        <w:rPr>
          <w:szCs w:val="24"/>
        </w:rPr>
        <w:t xml:space="preserve">(Model #555, “IRMA”) section 115 - Immunity and Indemnification of the Receiver and Assistants, or similar language from the preceding </w:t>
      </w:r>
      <w:r w:rsidRPr="00222909">
        <w:rPr>
          <w:i/>
          <w:iCs/>
          <w:szCs w:val="24"/>
        </w:rPr>
        <w:t xml:space="preserve">Insurer Rehabilitation and Liquidation Model Act </w:t>
      </w:r>
      <w:r w:rsidRPr="00222909">
        <w:rPr>
          <w:szCs w:val="24"/>
        </w:rPr>
        <w:t>(ILRMA) section 9. Because the availability and scope of these protections vary by jurisdiction, receivers should become familiar with the statutory and common law protections available under applicable state and federal law and conduct the administration of the estate in a manner consistent with those protections.</w:t>
      </w:r>
    </w:p>
    <w:p w14:paraId="6EC368F2" w14:textId="77777777" w:rsidR="00D74215" w:rsidRPr="00222909" w:rsidRDefault="00D74215" w:rsidP="00D74215">
      <w:pPr>
        <w:jc w:val="both"/>
        <w:rPr>
          <w:szCs w:val="24"/>
        </w:rPr>
      </w:pPr>
    </w:p>
    <w:p w14:paraId="599DF842" w14:textId="77777777" w:rsidR="00D74215" w:rsidRPr="00222909" w:rsidRDefault="00D74215" w:rsidP="00D74215">
      <w:pPr>
        <w:jc w:val="both"/>
        <w:rPr>
          <w:szCs w:val="24"/>
        </w:rPr>
      </w:pPr>
      <w:r w:rsidRPr="00222909">
        <w:rPr>
          <w:szCs w:val="24"/>
        </w:rPr>
        <w:t xml:space="preserve">From the standpoint of protecting the receiver and establishing an appropriate administrative record, the receiver should consider seeking </w:t>
      </w:r>
      <w:proofErr w:type="gramStart"/>
      <w:r w:rsidRPr="00222909">
        <w:rPr>
          <w:szCs w:val="24"/>
        </w:rPr>
        <w:t>advance</w:t>
      </w:r>
      <w:proofErr w:type="gramEnd"/>
      <w:r w:rsidRPr="00222909">
        <w:rPr>
          <w:szCs w:val="24"/>
        </w:rPr>
        <w:t xml:space="preserve"> approval from the receivership court for material MSP compliance initiatives or operational decisions involving significant uncertainty, potential liability, competing legal or administrative considerations, or questions concerning the allocation of legal and operational responsibilities.  Court approval may provide additional protection by creating a clear record of the information presented to the court, the receiver’s reasoning, and the court’s authorization of the proposed course of action.  Service upon the United States, CMS, or other appropriate governmental entities, as applicable, also provides notice of the receiver’s proposed approach to MSP compliance and affords those entities an opportunity to object, offer additional guidance, or otherwise be heard before the receiver proceeds.</w:t>
      </w:r>
    </w:p>
    <w:p w14:paraId="1C49EEFE" w14:textId="77777777" w:rsidR="00D74215" w:rsidRPr="00222909" w:rsidRDefault="00D74215" w:rsidP="00D74215">
      <w:pPr>
        <w:pStyle w:val="ListParagraph"/>
        <w:ind w:left="1440"/>
        <w:jc w:val="both"/>
        <w:rPr>
          <w:szCs w:val="24"/>
        </w:rPr>
      </w:pPr>
    </w:p>
    <w:p w14:paraId="61CA9A49" w14:textId="5C3DE1E7" w:rsidR="00204C62" w:rsidRPr="00222909" w:rsidRDefault="0011494F" w:rsidP="005D6CD0">
      <w:pPr>
        <w:pStyle w:val="ListParagraph"/>
        <w:numPr>
          <w:ilvl w:val="3"/>
          <w:numId w:val="38"/>
        </w:numPr>
        <w:ind w:left="1080"/>
        <w:jc w:val="both"/>
        <w:rPr>
          <w:b/>
          <w:bCs/>
          <w:szCs w:val="24"/>
        </w:rPr>
      </w:pPr>
      <w:r w:rsidRPr="00222909">
        <w:rPr>
          <w:b/>
          <w:bCs/>
          <w:szCs w:val="24"/>
        </w:rPr>
        <w:t xml:space="preserve">Issues with Legal </w:t>
      </w:r>
      <w:r w:rsidR="00CB1BB3" w:rsidRPr="00222909">
        <w:rPr>
          <w:b/>
          <w:bCs/>
          <w:szCs w:val="24"/>
        </w:rPr>
        <w:t>P</w:t>
      </w:r>
      <w:r w:rsidRPr="00222909">
        <w:rPr>
          <w:b/>
          <w:bCs/>
          <w:szCs w:val="24"/>
        </w:rPr>
        <w:t xml:space="preserve">rotections </w:t>
      </w:r>
    </w:p>
    <w:p w14:paraId="70866CC5" w14:textId="2EE9FE39" w:rsidR="0011494F" w:rsidRPr="00222909" w:rsidRDefault="0011494F" w:rsidP="00204C62">
      <w:pPr>
        <w:pStyle w:val="ListParagraph"/>
        <w:jc w:val="both"/>
        <w:rPr>
          <w:b/>
          <w:bCs/>
          <w:szCs w:val="24"/>
        </w:rPr>
      </w:pPr>
      <w:r w:rsidRPr="00222909">
        <w:rPr>
          <w:b/>
          <w:bCs/>
          <w:szCs w:val="24"/>
        </w:rPr>
        <w:t xml:space="preserve"> </w:t>
      </w:r>
    </w:p>
    <w:p w14:paraId="7007AE5C" w14:textId="77777777" w:rsidR="0011494F" w:rsidRPr="00222909" w:rsidRDefault="0011494F" w:rsidP="00CB1BB3">
      <w:pPr>
        <w:keepNext/>
        <w:jc w:val="both"/>
        <w:rPr>
          <w:szCs w:val="24"/>
        </w:rPr>
      </w:pPr>
      <w:r w:rsidRPr="00222909">
        <w:rPr>
          <w:szCs w:val="24"/>
        </w:rPr>
        <w:lastRenderedPageBreak/>
        <w:t>The administration of MSP obligations presents legal issues that extend beyond reporting and reimbursement requirements.  In addition to complying with applicable MSP requirements, receivers should understand the legal protections available under applicable law and recognize circumstances in which guidance or other relief from the receivership court may be appropriate.</w:t>
      </w:r>
    </w:p>
    <w:p w14:paraId="71B8F5BB" w14:textId="77777777" w:rsidR="0011494F" w:rsidRPr="00B23917" w:rsidRDefault="0011494F" w:rsidP="005A63BD">
      <w:pPr>
        <w:pStyle w:val="ListParagraph"/>
        <w:rPr>
          <w:szCs w:val="24"/>
        </w:rPr>
      </w:pPr>
    </w:p>
    <w:p w14:paraId="21DE6CE8" w14:textId="7EDF9C85" w:rsidR="00CB1BB3" w:rsidRPr="00222909" w:rsidRDefault="0011494F" w:rsidP="005D6CD0">
      <w:pPr>
        <w:pStyle w:val="ListParagraph"/>
        <w:numPr>
          <w:ilvl w:val="3"/>
          <w:numId w:val="38"/>
        </w:numPr>
        <w:ind w:left="1080"/>
        <w:jc w:val="both"/>
        <w:rPr>
          <w:b/>
          <w:bCs/>
          <w:szCs w:val="24"/>
        </w:rPr>
      </w:pPr>
      <w:r w:rsidRPr="00222909">
        <w:rPr>
          <w:b/>
          <w:bCs/>
          <w:szCs w:val="24"/>
        </w:rPr>
        <w:t xml:space="preserve">Federal Priority Act </w:t>
      </w:r>
    </w:p>
    <w:p w14:paraId="44F37510" w14:textId="77777777" w:rsidR="00D75F6F" w:rsidRPr="00222909" w:rsidRDefault="00D75F6F" w:rsidP="00D75F6F">
      <w:pPr>
        <w:pStyle w:val="ListParagraph"/>
        <w:keepNext/>
        <w:jc w:val="both"/>
        <w:rPr>
          <w:szCs w:val="24"/>
        </w:rPr>
      </w:pPr>
    </w:p>
    <w:p w14:paraId="30E2A7E1" w14:textId="0C0E77F1" w:rsidR="0011494F" w:rsidRPr="00222909" w:rsidRDefault="0011494F" w:rsidP="00CB1BB3">
      <w:pPr>
        <w:keepNext/>
        <w:jc w:val="both"/>
        <w:rPr>
          <w:szCs w:val="24"/>
        </w:rPr>
      </w:pPr>
      <w:r w:rsidRPr="00222909">
        <w:rPr>
          <w:szCs w:val="24"/>
        </w:rPr>
        <w:t xml:space="preserve">The DOJ has in the past taken the position that </w:t>
      </w:r>
      <w:r w:rsidR="001E29FF">
        <w:t>certain federal government</w:t>
      </w:r>
      <w:r w:rsidR="001E29FF" w:rsidRPr="00222909">
        <w:rPr>
          <w:szCs w:val="24"/>
        </w:rPr>
        <w:t xml:space="preserve"> </w:t>
      </w:r>
      <w:r w:rsidRPr="00222909">
        <w:rPr>
          <w:szCs w:val="24"/>
        </w:rPr>
        <w:t>obligations</w:t>
      </w:r>
      <w:r w:rsidR="008D52EA">
        <w:rPr>
          <w:szCs w:val="24"/>
        </w:rPr>
        <w:t xml:space="preserve"> </w:t>
      </w:r>
      <w:r w:rsidRPr="00222909">
        <w:rPr>
          <w:szCs w:val="24"/>
        </w:rPr>
        <w:t>are entitled to priority under the Federal Priority Statute notwithstanding contrary priority schemes under state law and has inquired into MSP compliance as part of the 3713 release process.</w:t>
      </w:r>
      <w:r w:rsidRPr="00222909">
        <w:rPr>
          <w:rStyle w:val="FootnoteReference"/>
          <w:szCs w:val="24"/>
        </w:rPr>
        <w:footnoteReference w:id="53"/>
      </w:r>
      <w:r w:rsidRPr="00222909">
        <w:rPr>
          <w:szCs w:val="24"/>
        </w:rPr>
        <w:t xml:space="preserve">  As a result, unresolved MSP obligations may affect distributions to claimants, delay the granting of a release, and subject the receivership to additional scrutiny.</w:t>
      </w:r>
    </w:p>
    <w:p w14:paraId="6B7EC7F8" w14:textId="77777777" w:rsidR="00CB1BB3" w:rsidRPr="00222909" w:rsidRDefault="00CB1BB3" w:rsidP="00EC4076">
      <w:pPr>
        <w:jc w:val="both"/>
        <w:rPr>
          <w:szCs w:val="24"/>
        </w:rPr>
      </w:pPr>
    </w:p>
    <w:p w14:paraId="31DA0DB6" w14:textId="6D04C823" w:rsidR="0011494F" w:rsidRPr="00222909" w:rsidRDefault="0011494F" w:rsidP="00EC4076">
      <w:pPr>
        <w:jc w:val="both"/>
        <w:rPr>
          <w:szCs w:val="24"/>
        </w:rPr>
      </w:pPr>
      <w:r w:rsidRPr="00222909">
        <w:rPr>
          <w:szCs w:val="24"/>
        </w:rPr>
        <w:t>Consistent with these considerations, where material questions exist concerning the priority or treatment of MSP obligations, the receiver should consider seeking direction from the receivership court before making distributions other than administrative expenses.  Before making material distributions, other than the payment of administrative expenses, the receiver should evaluate, to the extent reasonably practicable, the status of required reporting, any unfulfilled or continuing reporting responsibilities, and any known, reasonably identifiable, or reasonably anticipated reimbursement obligations.  Where material obligations remain unresolved, the receiver should consider whether appropriate reserves or other protective measures are warranted under the circumstances.</w:t>
      </w:r>
    </w:p>
    <w:p w14:paraId="154CC40E" w14:textId="77777777" w:rsidR="0011494F" w:rsidRPr="00222909" w:rsidRDefault="0011494F" w:rsidP="0011494F">
      <w:pPr>
        <w:pStyle w:val="ListParagraph"/>
        <w:jc w:val="both"/>
        <w:rPr>
          <w:szCs w:val="24"/>
        </w:rPr>
      </w:pPr>
    </w:p>
    <w:p w14:paraId="1A8E9AF5" w14:textId="221C19AA" w:rsidR="009C0E5C" w:rsidRPr="00222909" w:rsidRDefault="009C0E5C" w:rsidP="005D6CD0">
      <w:pPr>
        <w:pStyle w:val="ListParagraph"/>
        <w:numPr>
          <w:ilvl w:val="3"/>
          <w:numId w:val="38"/>
        </w:numPr>
        <w:ind w:left="1080"/>
        <w:jc w:val="both"/>
        <w:rPr>
          <w:b/>
          <w:bCs/>
          <w:szCs w:val="24"/>
        </w:rPr>
      </w:pPr>
      <w:r w:rsidRPr="00222909">
        <w:rPr>
          <w:b/>
          <w:bCs/>
          <w:szCs w:val="24"/>
        </w:rPr>
        <w:t xml:space="preserve">Seek Court Guidance and Approval </w:t>
      </w:r>
      <w:r w:rsidR="000E0076" w:rsidRPr="00222909">
        <w:rPr>
          <w:b/>
          <w:bCs/>
          <w:szCs w:val="24"/>
        </w:rPr>
        <w:t>as Appropriate</w:t>
      </w:r>
    </w:p>
    <w:p w14:paraId="6BDB77FA" w14:textId="77777777" w:rsidR="009C0E5C" w:rsidRPr="00222909" w:rsidRDefault="009C0E5C" w:rsidP="009C0E5C">
      <w:pPr>
        <w:pStyle w:val="ListParagraph"/>
        <w:ind w:left="1080"/>
        <w:jc w:val="both"/>
        <w:rPr>
          <w:b/>
          <w:bCs/>
          <w:szCs w:val="24"/>
        </w:rPr>
      </w:pPr>
    </w:p>
    <w:p w14:paraId="5D969CE4" w14:textId="49917BFB" w:rsidR="009C0E5C" w:rsidRPr="00222909" w:rsidRDefault="009C0E5C" w:rsidP="009C0E5C">
      <w:pPr>
        <w:jc w:val="both"/>
        <w:rPr>
          <w:szCs w:val="24"/>
        </w:rPr>
      </w:pPr>
      <w:r w:rsidRPr="00222909">
        <w:rPr>
          <w:szCs w:val="24"/>
        </w:rPr>
        <w:t xml:space="preserve">Consider </w:t>
      </w:r>
      <w:r w:rsidR="009D4EAB" w:rsidRPr="00222909">
        <w:rPr>
          <w:szCs w:val="24"/>
        </w:rPr>
        <w:t>the best</w:t>
      </w:r>
      <w:r w:rsidRPr="00222909">
        <w:rPr>
          <w:szCs w:val="24"/>
        </w:rPr>
        <w:t xml:space="preserve"> practice whereby the receiver of the estate seeks court guidance and approval for all due diligence and reimbursements. Before making distributions to claimant, consider tendering an MSP related compliance report to the court. With that application, to the extent there are uncurable MSP related defects, the receivers can inform the court how the receiver has tried to cure those defects. The receiver can ask the court to render an opinion with a finding that sufficient due diligence was made. Having court approval on these topics may help if CMS or the DOJ later assert a </w:t>
      </w:r>
      <w:r w:rsidR="009D4EAB" w:rsidRPr="00222909">
        <w:rPr>
          <w:szCs w:val="24"/>
        </w:rPr>
        <w:t>claim,</w:t>
      </w:r>
      <w:r w:rsidRPr="00222909">
        <w:rPr>
          <w:szCs w:val="24"/>
        </w:rPr>
        <w:t xml:space="preserve"> especially for personal liability. With receivership court approval, there is a better case for judicial immunity.</w:t>
      </w:r>
    </w:p>
    <w:p w14:paraId="005DFFFF" w14:textId="77777777" w:rsidR="00C919E7" w:rsidRPr="00222909" w:rsidRDefault="00C919E7" w:rsidP="003F1740">
      <w:pPr>
        <w:jc w:val="both"/>
        <w:rPr>
          <w:szCs w:val="24"/>
        </w:rPr>
      </w:pPr>
    </w:p>
    <w:p w14:paraId="66245359" w14:textId="0ABB02D5" w:rsidR="00C919E7" w:rsidRPr="00B23917" w:rsidRDefault="00C919E7" w:rsidP="00E2299F">
      <w:pPr>
        <w:pStyle w:val="ListParagraph"/>
        <w:numPr>
          <w:ilvl w:val="0"/>
          <w:numId w:val="5"/>
        </w:numPr>
        <w:rPr>
          <w:b/>
          <w:bCs/>
          <w:caps/>
          <w:szCs w:val="24"/>
        </w:rPr>
      </w:pPr>
      <w:r w:rsidRPr="00B23917">
        <w:rPr>
          <w:b/>
          <w:bCs/>
          <w:caps/>
          <w:szCs w:val="24"/>
        </w:rPr>
        <w:t>Best Practices</w:t>
      </w:r>
      <w:r w:rsidR="002627FD" w:rsidRPr="00B23917">
        <w:rPr>
          <w:b/>
          <w:bCs/>
          <w:caps/>
          <w:szCs w:val="24"/>
        </w:rPr>
        <w:t xml:space="preserve"> for communication</w:t>
      </w:r>
    </w:p>
    <w:p w14:paraId="39E6CB35" w14:textId="77777777" w:rsidR="00D74215" w:rsidRPr="00B23917" w:rsidRDefault="00D74215" w:rsidP="00D74215">
      <w:pPr>
        <w:pStyle w:val="ListParagraph"/>
        <w:rPr>
          <w:b/>
          <w:bCs/>
          <w:caps/>
          <w:szCs w:val="24"/>
        </w:rPr>
      </w:pPr>
    </w:p>
    <w:p w14:paraId="1A9E742C" w14:textId="77777777" w:rsidR="00C919E7" w:rsidRPr="00222909" w:rsidRDefault="00C919E7" w:rsidP="00D74215">
      <w:pPr>
        <w:jc w:val="both"/>
        <w:rPr>
          <w:szCs w:val="24"/>
        </w:rPr>
      </w:pPr>
      <w:r w:rsidRPr="00222909">
        <w:rPr>
          <w:szCs w:val="24"/>
        </w:rPr>
        <w:t>The receiver’s MSP compliance efforts should be reasonable and proportionate to the potential exposure presented.  The receiver should tailor those efforts to the nature, size, complexity, and potential exposure of the receivership, recognizing that not every estate requires the same level of investigation or administrative effort.</w:t>
      </w:r>
    </w:p>
    <w:p w14:paraId="4BDB729B" w14:textId="77777777" w:rsidR="00C919E7" w:rsidRPr="00222909" w:rsidRDefault="00C919E7" w:rsidP="00C919E7">
      <w:pPr>
        <w:pStyle w:val="ListParagraph"/>
        <w:jc w:val="both"/>
        <w:rPr>
          <w:szCs w:val="24"/>
        </w:rPr>
      </w:pPr>
    </w:p>
    <w:p w14:paraId="3CC88E1C" w14:textId="77777777" w:rsidR="00C919E7" w:rsidRPr="00222909" w:rsidRDefault="00C919E7" w:rsidP="00D74215">
      <w:pPr>
        <w:jc w:val="both"/>
        <w:rPr>
          <w:szCs w:val="24"/>
        </w:rPr>
      </w:pPr>
      <w:r w:rsidRPr="00222909">
        <w:rPr>
          <w:szCs w:val="24"/>
        </w:rPr>
        <w:t xml:space="preserve">The receiver should not assume that all MSP responsibilities must be performed by the receivership estate.  Depending on applicable law, the nature of the insurance program, contractual arrangements, the involvement of guaranty associations, third-party administrators, insureds, claimants, their respective </w:t>
      </w:r>
      <w:r w:rsidRPr="00222909">
        <w:rPr>
          <w:szCs w:val="24"/>
        </w:rPr>
        <w:lastRenderedPageBreak/>
        <w:t>counsel, and other participants, responsibility for particular reporting, reimbursement, or information-gathering activities may appropriately rest with, or be shared among, different persons or entities.</w:t>
      </w:r>
      <w:r w:rsidRPr="00222909">
        <w:rPr>
          <w:rStyle w:val="FootnoteReference"/>
          <w:szCs w:val="24"/>
        </w:rPr>
        <w:footnoteReference w:id="54"/>
      </w:r>
      <w:r w:rsidRPr="00222909">
        <w:rPr>
          <w:szCs w:val="24"/>
        </w:rPr>
        <w:t xml:space="preserve">  Early identification and documentation of those responsibilities promote efficient administration and reduce duplication of effort.</w:t>
      </w:r>
    </w:p>
    <w:p w14:paraId="75008DED" w14:textId="77777777" w:rsidR="00C919E7" w:rsidRPr="00222909" w:rsidRDefault="00C919E7" w:rsidP="00C919E7">
      <w:pPr>
        <w:pStyle w:val="ListParagraph"/>
        <w:jc w:val="both"/>
        <w:rPr>
          <w:szCs w:val="24"/>
        </w:rPr>
      </w:pPr>
    </w:p>
    <w:p w14:paraId="3151C16C" w14:textId="77777777" w:rsidR="00C919E7" w:rsidRPr="00222909" w:rsidRDefault="00C919E7" w:rsidP="00D74215">
      <w:pPr>
        <w:jc w:val="both"/>
        <w:rPr>
          <w:szCs w:val="24"/>
        </w:rPr>
      </w:pPr>
      <w:r w:rsidRPr="00222909">
        <w:rPr>
          <w:szCs w:val="24"/>
        </w:rPr>
        <w:t>Throughout the receivership, the receiver should maintain documentation of material MSP assumptions, decisions, communications, and compliance efforts.  Contemporaneous documentation assists in demonstrating the receiver’s diligence and facilitates the administration of the estate if questions arise later.</w:t>
      </w:r>
    </w:p>
    <w:p w14:paraId="28761DAF" w14:textId="77777777" w:rsidR="00C919E7" w:rsidRPr="00222909" w:rsidRDefault="00C919E7" w:rsidP="00C919E7">
      <w:pPr>
        <w:pStyle w:val="ListParagraph"/>
        <w:jc w:val="both"/>
        <w:rPr>
          <w:szCs w:val="24"/>
        </w:rPr>
      </w:pPr>
    </w:p>
    <w:p w14:paraId="565D870F" w14:textId="77777777" w:rsidR="00C919E7" w:rsidRPr="00222909" w:rsidRDefault="00C919E7" w:rsidP="00D74215">
      <w:pPr>
        <w:jc w:val="both"/>
        <w:rPr>
          <w:szCs w:val="24"/>
        </w:rPr>
      </w:pPr>
      <w:r w:rsidRPr="00222909">
        <w:rPr>
          <w:szCs w:val="24"/>
        </w:rPr>
        <w:t xml:space="preserve">Effective administration of MSP obligations requires ongoing communication and coordination among the receiver, CMS, guaranty associations, the receivership court, and other interested </w:t>
      </w:r>
      <w:proofErr w:type="gramStart"/>
      <w:r w:rsidRPr="00222909">
        <w:rPr>
          <w:szCs w:val="24"/>
        </w:rPr>
        <w:t>persons</w:t>
      </w:r>
      <w:proofErr w:type="gramEnd"/>
      <w:r w:rsidRPr="00222909">
        <w:rPr>
          <w:szCs w:val="24"/>
        </w:rPr>
        <w:t xml:space="preserve"> and entities.  The following practices should be </w:t>
      </w:r>
      <w:proofErr w:type="gramStart"/>
      <w:r w:rsidRPr="00222909">
        <w:rPr>
          <w:szCs w:val="24"/>
        </w:rPr>
        <w:t>considered,</w:t>
      </w:r>
      <w:proofErr w:type="gramEnd"/>
      <w:r w:rsidRPr="00222909">
        <w:rPr>
          <w:szCs w:val="24"/>
        </w:rPr>
        <w:t xml:space="preserve"> as appropriate.</w:t>
      </w:r>
    </w:p>
    <w:p w14:paraId="5D132509" w14:textId="77777777" w:rsidR="00C919E7" w:rsidRPr="00222909" w:rsidRDefault="00C919E7" w:rsidP="00C919E7">
      <w:pPr>
        <w:pStyle w:val="ListParagraph"/>
        <w:jc w:val="both"/>
        <w:rPr>
          <w:szCs w:val="24"/>
        </w:rPr>
      </w:pPr>
    </w:p>
    <w:p w14:paraId="4280BB43" w14:textId="447C7DE6" w:rsidR="00C919E7" w:rsidRPr="00222909" w:rsidRDefault="00C919E7" w:rsidP="00D74215">
      <w:pPr>
        <w:jc w:val="both"/>
        <w:rPr>
          <w:szCs w:val="24"/>
        </w:rPr>
      </w:pPr>
      <w:r w:rsidRPr="00222909">
        <w:rPr>
          <w:i/>
          <w:iCs/>
          <w:szCs w:val="24"/>
        </w:rPr>
        <w:t xml:space="preserve">Practice Note: </w:t>
      </w:r>
      <w:r w:rsidRPr="00222909">
        <w:rPr>
          <w:szCs w:val="24"/>
        </w:rPr>
        <w:t>Depending upon the size and complexity of the estate, the receiver may consider maintaining a centralized MSP responsibility matrix or issue log identifying applicable reporting programs, the persons and entities responsible, reporting status, known reimbursement matters, information deficiencies, material communications, and unresolved issues requiring further action.</w:t>
      </w:r>
    </w:p>
    <w:p w14:paraId="5F9CCFE1" w14:textId="77777777" w:rsidR="00C919E7" w:rsidRPr="00222909" w:rsidRDefault="00C919E7" w:rsidP="00C919E7">
      <w:pPr>
        <w:pStyle w:val="ListParagraph"/>
        <w:jc w:val="both"/>
        <w:rPr>
          <w:szCs w:val="24"/>
        </w:rPr>
      </w:pPr>
    </w:p>
    <w:p w14:paraId="1DDFE313" w14:textId="7684A435" w:rsidR="00C919E7" w:rsidRPr="00222909" w:rsidRDefault="00C919E7" w:rsidP="002627FD">
      <w:pPr>
        <w:pStyle w:val="ListParagraph"/>
        <w:numPr>
          <w:ilvl w:val="0"/>
          <w:numId w:val="30"/>
        </w:numPr>
        <w:jc w:val="both"/>
        <w:rPr>
          <w:b/>
          <w:bCs/>
          <w:szCs w:val="24"/>
        </w:rPr>
      </w:pPr>
      <w:r w:rsidRPr="00222909">
        <w:rPr>
          <w:b/>
          <w:bCs/>
          <w:szCs w:val="24"/>
        </w:rPr>
        <w:t>Communication with CMS</w:t>
      </w:r>
    </w:p>
    <w:p w14:paraId="62ADE6CF" w14:textId="77777777" w:rsidR="00020FFB" w:rsidRPr="00222909" w:rsidRDefault="00020FFB" w:rsidP="00020FFB">
      <w:pPr>
        <w:jc w:val="both"/>
        <w:rPr>
          <w:szCs w:val="24"/>
        </w:rPr>
      </w:pPr>
    </w:p>
    <w:p w14:paraId="31171ECE" w14:textId="4403D923" w:rsidR="00C919E7" w:rsidRPr="00222909" w:rsidRDefault="00C919E7" w:rsidP="00020FFB">
      <w:pPr>
        <w:jc w:val="both"/>
        <w:rPr>
          <w:szCs w:val="24"/>
        </w:rPr>
      </w:pPr>
      <w:r w:rsidRPr="00222909">
        <w:rPr>
          <w:szCs w:val="24"/>
        </w:rPr>
        <w:t>Where the insurer’s business or claim inventory presents material MSP reporting or reimbursement issues, the receiver should consider establishing appropriate communication with CMS and its contractors early in the receivership.  Early communication may assist in identifying reporting responsibilities, resolving reimbursement questions, understanding available reporting and reimbursement resources, and addressing administrative or operational challenges.  When beneficiary-specific information is sought from CMS or its contractors, the receiver should determine whether proof of representation, a consent to release, or other authorization is required.</w:t>
      </w:r>
    </w:p>
    <w:p w14:paraId="5F058293" w14:textId="77777777" w:rsidR="00C919E7" w:rsidRPr="00222909" w:rsidRDefault="00C919E7" w:rsidP="00C919E7">
      <w:pPr>
        <w:pStyle w:val="ListParagraph"/>
        <w:ind w:left="1440"/>
        <w:jc w:val="both"/>
        <w:rPr>
          <w:szCs w:val="24"/>
        </w:rPr>
      </w:pPr>
    </w:p>
    <w:p w14:paraId="716F3504" w14:textId="77777777" w:rsidR="00C919E7" w:rsidRPr="00222909" w:rsidRDefault="00C919E7" w:rsidP="00020FFB">
      <w:pPr>
        <w:jc w:val="both"/>
        <w:rPr>
          <w:szCs w:val="24"/>
        </w:rPr>
      </w:pPr>
      <w:r w:rsidRPr="00222909">
        <w:rPr>
          <w:szCs w:val="24"/>
        </w:rPr>
        <w:t>Because questions concerning MSP obligations may arise throughout the administration of the estate, the receiver should document and retain records of significant communications with CMS and its contractors.</w:t>
      </w:r>
    </w:p>
    <w:p w14:paraId="34DCFEE1" w14:textId="77777777" w:rsidR="00913397" w:rsidRPr="00222909" w:rsidRDefault="00913397">
      <w:pPr>
        <w:rPr>
          <w:szCs w:val="24"/>
        </w:rPr>
      </w:pPr>
    </w:p>
    <w:p w14:paraId="5AC4EB85" w14:textId="147361BE" w:rsidR="00AE4855" w:rsidRPr="00222909" w:rsidRDefault="00AE4855" w:rsidP="002627FD">
      <w:pPr>
        <w:pStyle w:val="ListParagraph"/>
        <w:numPr>
          <w:ilvl w:val="0"/>
          <w:numId w:val="30"/>
        </w:numPr>
        <w:jc w:val="both"/>
        <w:rPr>
          <w:b/>
          <w:bCs/>
          <w:szCs w:val="24"/>
        </w:rPr>
      </w:pPr>
      <w:r w:rsidRPr="00222909">
        <w:rPr>
          <w:b/>
          <w:bCs/>
          <w:szCs w:val="24"/>
        </w:rPr>
        <w:t xml:space="preserve">Communication with Guaranty Associations </w:t>
      </w:r>
    </w:p>
    <w:p w14:paraId="2D9FB794" w14:textId="77777777" w:rsidR="005B7EA7" w:rsidRPr="00B23917" w:rsidRDefault="005B7EA7" w:rsidP="002613B6">
      <w:pPr>
        <w:jc w:val="both"/>
        <w:rPr>
          <w:szCs w:val="24"/>
          <w:highlight w:val="yellow"/>
        </w:rPr>
      </w:pPr>
    </w:p>
    <w:p w14:paraId="0B81E387" w14:textId="428CCD41" w:rsidR="008F099C" w:rsidRPr="00222909" w:rsidRDefault="002613B6" w:rsidP="008F099C">
      <w:pPr>
        <w:jc w:val="both"/>
        <w:rPr>
          <w:szCs w:val="24"/>
        </w:rPr>
      </w:pPr>
      <w:r w:rsidRPr="00222909">
        <w:rPr>
          <w:szCs w:val="24"/>
        </w:rPr>
        <w:t>Early and ongoing communication between the receiver and affected guaranty associations</w:t>
      </w:r>
      <w:r w:rsidR="007A0591" w:rsidRPr="00222909">
        <w:rPr>
          <w:rStyle w:val="FootnoteReference"/>
          <w:szCs w:val="24"/>
        </w:rPr>
        <w:footnoteReference w:id="55"/>
      </w:r>
      <w:r w:rsidRPr="00222909">
        <w:rPr>
          <w:szCs w:val="24"/>
        </w:rPr>
        <w:t xml:space="preserve">, </w:t>
      </w:r>
      <w:r w:rsidR="001F1F6D" w:rsidRPr="00222909">
        <w:rPr>
          <w:szCs w:val="24"/>
        </w:rPr>
        <w:t>in the event of liquidation</w:t>
      </w:r>
      <w:r w:rsidRPr="00222909">
        <w:rPr>
          <w:szCs w:val="24"/>
        </w:rPr>
        <w:t xml:space="preserve">, is essential to the effective administration of MSP obligations. </w:t>
      </w:r>
      <w:r w:rsidR="008F099C" w:rsidRPr="00222909">
        <w:rPr>
          <w:szCs w:val="24"/>
        </w:rPr>
        <w:t xml:space="preserve">The receiver and guaranty associations should understand </w:t>
      </w:r>
      <w:r w:rsidR="001E6F19" w:rsidRPr="00222909">
        <w:rPr>
          <w:szCs w:val="24"/>
        </w:rPr>
        <w:t>each other’s</w:t>
      </w:r>
      <w:r w:rsidR="008F099C" w:rsidRPr="00222909">
        <w:rPr>
          <w:szCs w:val="24"/>
        </w:rPr>
        <w:t xml:space="preserve"> roles</w:t>
      </w:r>
      <w:r w:rsidR="00620DDB" w:rsidRPr="00222909">
        <w:rPr>
          <w:szCs w:val="24"/>
        </w:rPr>
        <w:t xml:space="preserve"> and the work that has been completed</w:t>
      </w:r>
      <w:r w:rsidR="008F099C" w:rsidRPr="00222909">
        <w:rPr>
          <w:szCs w:val="24"/>
        </w:rPr>
        <w:t xml:space="preserve">. This </w:t>
      </w:r>
      <w:r w:rsidR="008F099C" w:rsidRPr="00222909">
        <w:rPr>
          <w:szCs w:val="24"/>
        </w:rPr>
        <w:lastRenderedPageBreak/>
        <w:t>understanding will help with coordination with CMS.</w:t>
      </w:r>
    </w:p>
    <w:p w14:paraId="5D67DC93" w14:textId="77777777" w:rsidR="002627FD" w:rsidRPr="00B23917" w:rsidRDefault="002627FD" w:rsidP="008F099C">
      <w:pPr>
        <w:jc w:val="both"/>
        <w:rPr>
          <w:szCs w:val="24"/>
        </w:rPr>
      </w:pPr>
    </w:p>
    <w:p w14:paraId="382CDBFC" w14:textId="11025E41" w:rsidR="002613B6" w:rsidRPr="00222909" w:rsidRDefault="002613B6" w:rsidP="002613B6">
      <w:pPr>
        <w:jc w:val="both"/>
        <w:rPr>
          <w:snapToGrid/>
          <w:szCs w:val="24"/>
        </w:rPr>
      </w:pPr>
      <w:r w:rsidRPr="00222909">
        <w:rPr>
          <w:szCs w:val="24"/>
        </w:rPr>
        <w:t>Because claim administration responsibilities frequently shift following liquidation, the parties should discuss their respective legal and operational responsibilities regarding claim and coverage administration, where applicable, reporting, reimbursement, information sharing, and record collection and retention as early as practicable.  In doing so, the parties should distinguish between responsibilities imposed by applicable law or CMS guidance and assumed responsibilities for performing the associated administrative functions.  For property and casualty insurers, the parties should consider whether the Uniform Data Standard M Record can be used to exchange Medicare-reporting information associated with transferred claims.</w:t>
      </w:r>
      <w:r w:rsidRPr="00222909">
        <w:rPr>
          <w:rStyle w:val="FootnoteReference"/>
          <w:szCs w:val="24"/>
        </w:rPr>
        <w:footnoteReference w:id="56"/>
      </w:r>
    </w:p>
    <w:p w14:paraId="2C0029C4" w14:textId="77777777" w:rsidR="002613B6" w:rsidRPr="00222909" w:rsidRDefault="002613B6" w:rsidP="002613B6">
      <w:pPr>
        <w:pStyle w:val="ListParagraph"/>
        <w:jc w:val="both"/>
        <w:rPr>
          <w:szCs w:val="24"/>
        </w:rPr>
      </w:pPr>
    </w:p>
    <w:p w14:paraId="1D4F082A" w14:textId="77777777" w:rsidR="002613B6" w:rsidRPr="00222909" w:rsidRDefault="002613B6" w:rsidP="002613B6">
      <w:pPr>
        <w:jc w:val="both"/>
        <w:rPr>
          <w:szCs w:val="24"/>
        </w:rPr>
      </w:pPr>
      <w:r w:rsidRPr="00222909">
        <w:rPr>
          <w:szCs w:val="24"/>
        </w:rPr>
        <w:t>The receiver should not assume that historical MSP practices or the allocation of operational responsibilities in prior receiverships will apply in every receivership.  Legal developments affecting guaranty associations have resulted in differing approaches and expectations among jurisdictions.  Accordingly, the receiver and guaranty associations should develop a common understanding of their respective legal and operational responsibilities and document the agreed allocation of administrative functions whenever practicable.</w:t>
      </w:r>
    </w:p>
    <w:p w14:paraId="7BF9036E" w14:textId="77777777" w:rsidR="002613B6" w:rsidRPr="00222909" w:rsidRDefault="002613B6" w:rsidP="002613B6">
      <w:pPr>
        <w:pStyle w:val="ListParagraph"/>
        <w:jc w:val="both"/>
        <w:rPr>
          <w:szCs w:val="24"/>
        </w:rPr>
      </w:pPr>
    </w:p>
    <w:p w14:paraId="1B057A71" w14:textId="2B1162AE" w:rsidR="002613B6" w:rsidRPr="00222909" w:rsidRDefault="002613B6" w:rsidP="002613B6">
      <w:pPr>
        <w:jc w:val="both"/>
        <w:rPr>
          <w:szCs w:val="24"/>
        </w:rPr>
      </w:pPr>
      <w:r w:rsidRPr="00222909">
        <w:rPr>
          <w:szCs w:val="24"/>
        </w:rPr>
        <w:t>Effective coordination may reduce unnecessary duplication of effort, minimize incomplete and inconsistent reporting, reduce incomplete, duplicative, or excessive reimbursement, and improve the administration of both the receivership estate and guaranty association claims.</w:t>
      </w:r>
      <w:r w:rsidR="00877CD4" w:rsidRPr="00222909">
        <w:rPr>
          <w:szCs w:val="24"/>
        </w:rPr>
        <w:t xml:space="preserve"> In liquidation, guaranty funds are often dealing directly with claimants and </w:t>
      </w:r>
      <w:r w:rsidR="002912F5">
        <w:rPr>
          <w:szCs w:val="24"/>
        </w:rPr>
        <w:t>may be</w:t>
      </w:r>
      <w:r w:rsidR="00877CD4" w:rsidRPr="00222909">
        <w:rPr>
          <w:szCs w:val="24"/>
        </w:rPr>
        <w:t xml:space="preserve"> in the best position to obtain the data needed for MSP reporting</w:t>
      </w:r>
      <w:r w:rsidR="00877CD4" w:rsidRPr="00B23917">
        <w:rPr>
          <w:szCs w:val="24"/>
        </w:rPr>
        <w:t>.</w:t>
      </w:r>
    </w:p>
    <w:p w14:paraId="3C36EEAF" w14:textId="77777777" w:rsidR="002613B6" w:rsidRPr="00222909" w:rsidRDefault="002613B6" w:rsidP="002613B6">
      <w:pPr>
        <w:pStyle w:val="ListParagraph"/>
        <w:jc w:val="both"/>
        <w:rPr>
          <w:szCs w:val="24"/>
        </w:rPr>
      </w:pPr>
    </w:p>
    <w:p w14:paraId="597F2B9A" w14:textId="7B2840F7" w:rsidR="008526DD" w:rsidRPr="00222909" w:rsidRDefault="008526DD" w:rsidP="002627FD">
      <w:pPr>
        <w:pStyle w:val="ListParagraph"/>
        <w:numPr>
          <w:ilvl w:val="0"/>
          <w:numId w:val="30"/>
        </w:numPr>
        <w:jc w:val="both"/>
        <w:rPr>
          <w:b/>
          <w:bCs/>
          <w:szCs w:val="24"/>
        </w:rPr>
      </w:pPr>
      <w:r w:rsidRPr="00222909">
        <w:rPr>
          <w:b/>
          <w:bCs/>
          <w:szCs w:val="24"/>
        </w:rPr>
        <w:t>Communication with Other Interested Parties</w:t>
      </w:r>
    </w:p>
    <w:p w14:paraId="541580F7" w14:textId="77777777" w:rsidR="00620DDB" w:rsidRPr="00222909" w:rsidRDefault="00620DDB" w:rsidP="00620DDB">
      <w:pPr>
        <w:jc w:val="both"/>
        <w:rPr>
          <w:szCs w:val="24"/>
        </w:rPr>
      </w:pPr>
    </w:p>
    <w:p w14:paraId="7EB8A7FB" w14:textId="50688079" w:rsidR="008526DD" w:rsidRPr="00222909" w:rsidRDefault="008526DD" w:rsidP="00620DDB">
      <w:pPr>
        <w:jc w:val="both"/>
        <w:rPr>
          <w:szCs w:val="24"/>
        </w:rPr>
      </w:pPr>
      <w:r w:rsidRPr="00222909">
        <w:rPr>
          <w:szCs w:val="24"/>
        </w:rPr>
        <w:t xml:space="preserve">Successful administration of MSP obligations often depends on timely communication and coordination between the receiver and other interested </w:t>
      </w:r>
      <w:proofErr w:type="gramStart"/>
      <w:r w:rsidRPr="00222909">
        <w:rPr>
          <w:szCs w:val="24"/>
        </w:rPr>
        <w:t>persons</w:t>
      </w:r>
      <w:proofErr w:type="gramEnd"/>
      <w:r w:rsidRPr="00222909">
        <w:rPr>
          <w:szCs w:val="24"/>
        </w:rPr>
        <w:t xml:space="preserve"> and entities.  As the receivership progresses, the receiver should identify the information needed from each participant, communicate expectations clearly, and document significant communications affecting the administration of MSP obligations.</w:t>
      </w:r>
    </w:p>
    <w:p w14:paraId="0D113DC0" w14:textId="77777777" w:rsidR="008526DD" w:rsidRPr="00222909" w:rsidRDefault="008526DD" w:rsidP="008526DD">
      <w:pPr>
        <w:jc w:val="both"/>
        <w:rPr>
          <w:szCs w:val="24"/>
        </w:rPr>
      </w:pPr>
    </w:p>
    <w:p w14:paraId="697AA213" w14:textId="77777777" w:rsidR="008526DD" w:rsidRPr="00222909" w:rsidRDefault="008526DD" w:rsidP="00620DDB">
      <w:pPr>
        <w:jc w:val="both"/>
        <w:rPr>
          <w:szCs w:val="24"/>
        </w:rPr>
      </w:pPr>
      <w:r w:rsidRPr="00222909">
        <w:rPr>
          <w:szCs w:val="24"/>
        </w:rPr>
        <w:t>Depending on the circumstances, the receiver may need to coordinate with insureds, policyholders, claimants, their respective counsel, medical providers, third-party administrators, and other estate professionals.  These parties may possess information necessary to determine Medicare beneficiary status, identify conditional and mistaken payments, reconstruct historical reporting activity, or otherwise facilitate compliance with applicable MSP requirements.</w:t>
      </w:r>
    </w:p>
    <w:p w14:paraId="20A89D01" w14:textId="77777777" w:rsidR="008526DD" w:rsidRPr="00222909" w:rsidRDefault="008526DD" w:rsidP="00361BA0">
      <w:pPr>
        <w:jc w:val="both"/>
        <w:rPr>
          <w:szCs w:val="24"/>
        </w:rPr>
      </w:pPr>
    </w:p>
    <w:p w14:paraId="1B851654" w14:textId="4FC02A3B" w:rsidR="008526DD" w:rsidRPr="00222909" w:rsidRDefault="008526DD" w:rsidP="008526DD">
      <w:pPr>
        <w:jc w:val="both"/>
        <w:rPr>
          <w:szCs w:val="24"/>
        </w:rPr>
      </w:pPr>
      <w:r w:rsidRPr="00222909">
        <w:rPr>
          <w:szCs w:val="24"/>
        </w:rPr>
        <w:t>Before reimbursing Medicare, the receiver should determine whether coordination with insureds, claimants, or their respective counsel is appropriate to evaluate procurement cost reductions and any other reductions or offsets recognized by applicable law or CMS guidance.</w:t>
      </w:r>
      <w:r w:rsidRPr="00222909">
        <w:rPr>
          <w:rStyle w:val="FootnoteReference"/>
          <w:szCs w:val="24"/>
        </w:rPr>
        <w:footnoteReference w:id="57"/>
      </w:r>
      <w:r w:rsidRPr="00222909">
        <w:rPr>
          <w:szCs w:val="24"/>
        </w:rPr>
        <w:t xml:space="preserve">  </w:t>
      </w:r>
      <w:r w:rsidR="00361BA0" w:rsidRPr="00222909">
        <w:rPr>
          <w:szCs w:val="24"/>
        </w:rPr>
        <w:t xml:space="preserve">One challenge is that inquiries to </w:t>
      </w:r>
      <w:r w:rsidR="00361BA0" w:rsidRPr="00222909">
        <w:rPr>
          <w:szCs w:val="24"/>
        </w:rPr>
        <w:lastRenderedPageBreak/>
        <w:t>insureds</w:t>
      </w:r>
      <w:r w:rsidR="000C07A7" w:rsidRPr="00222909">
        <w:rPr>
          <w:szCs w:val="24"/>
        </w:rPr>
        <w:t>,</w:t>
      </w:r>
      <w:r w:rsidR="00361BA0" w:rsidRPr="00222909">
        <w:rPr>
          <w:szCs w:val="24"/>
        </w:rPr>
        <w:t xml:space="preserve"> claimants</w:t>
      </w:r>
      <w:r w:rsidR="000C07A7" w:rsidRPr="00222909">
        <w:rPr>
          <w:szCs w:val="24"/>
        </w:rPr>
        <w:t xml:space="preserve"> or their representatives</w:t>
      </w:r>
      <w:r w:rsidR="00361BA0" w:rsidRPr="00222909">
        <w:rPr>
          <w:szCs w:val="24"/>
        </w:rPr>
        <w:t xml:space="preserve"> are sometimes not responded to, refused or responses may be deficient. </w:t>
      </w:r>
      <w:r w:rsidRPr="00222909">
        <w:rPr>
          <w:szCs w:val="24"/>
        </w:rPr>
        <w:t>Early coordination may avoid unnecessary overpayments, reduce disputes, and facilitate the prompt resolution of Medicare’s reimbursement claims.</w:t>
      </w:r>
      <w:r w:rsidR="00E85BAF" w:rsidRPr="00222909">
        <w:rPr>
          <w:szCs w:val="24"/>
        </w:rPr>
        <w:t xml:space="preserve"> </w:t>
      </w:r>
    </w:p>
    <w:p w14:paraId="5BB66776" w14:textId="77777777" w:rsidR="008526DD" w:rsidRPr="00222909" w:rsidRDefault="008526DD" w:rsidP="00620DDB">
      <w:pPr>
        <w:jc w:val="both"/>
        <w:rPr>
          <w:szCs w:val="24"/>
        </w:rPr>
      </w:pPr>
      <w:r w:rsidRPr="00222909">
        <w:rPr>
          <w:szCs w:val="24"/>
        </w:rPr>
        <w:t>Requests for information should be made as early as practicable in the administration of a claim or receivership.  Where information cannot be obtained after reasonable efforts, the receiver should document those efforts and consider whether additional action, including receivership court involvement, is warranted.</w:t>
      </w:r>
    </w:p>
    <w:p w14:paraId="7FABF6A0" w14:textId="77777777" w:rsidR="008526DD" w:rsidRPr="00222909" w:rsidRDefault="008526DD" w:rsidP="008526DD">
      <w:pPr>
        <w:jc w:val="both"/>
        <w:rPr>
          <w:szCs w:val="24"/>
        </w:rPr>
      </w:pPr>
    </w:p>
    <w:p w14:paraId="03215363" w14:textId="77777777" w:rsidR="008526DD" w:rsidRPr="00222909" w:rsidRDefault="008526DD" w:rsidP="002627FD">
      <w:pPr>
        <w:jc w:val="both"/>
        <w:rPr>
          <w:szCs w:val="24"/>
        </w:rPr>
      </w:pPr>
      <w:r w:rsidRPr="00222909">
        <w:rPr>
          <w:szCs w:val="24"/>
        </w:rPr>
        <w:t>Effective coordination among interested persons and entities promotes consistent claims administration, reduces unnecessary duplication of effort, and assists the receiver in identifying and resolving MSP issues before they delay the administration or closure of the estate.</w:t>
      </w:r>
    </w:p>
    <w:p w14:paraId="3088A8CD" w14:textId="77777777" w:rsidR="008526DD" w:rsidRPr="00222909" w:rsidRDefault="008526DD" w:rsidP="008526DD">
      <w:pPr>
        <w:ind w:left="1440"/>
        <w:jc w:val="both"/>
        <w:rPr>
          <w:szCs w:val="24"/>
        </w:rPr>
      </w:pPr>
    </w:p>
    <w:p w14:paraId="05C07DEC" w14:textId="77777777" w:rsidR="008526DD" w:rsidRPr="00222909" w:rsidRDefault="008526DD" w:rsidP="002627FD">
      <w:pPr>
        <w:pStyle w:val="ListParagraph"/>
        <w:numPr>
          <w:ilvl w:val="0"/>
          <w:numId w:val="30"/>
        </w:numPr>
        <w:jc w:val="both"/>
        <w:rPr>
          <w:b/>
          <w:bCs/>
          <w:szCs w:val="24"/>
        </w:rPr>
      </w:pPr>
      <w:r w:rsidRPr="00222909">
        <w:rPr>
          <w:b/>
          <w:bCs/>
          <w:szCs w:val="24"/>
        </w:rPr>
        <w:t>Communication with the Receivership Court</w:t>
      </w:r>
    </w:p>
    <w:p w14:paraId="6EE512E9" w14:textId="77777777" w:rsidR="002627FD" w:rsidRPr="00222909" w:rsidRDefault="002627FD" w:rsidP="002627FD">
      <w:pPr>
        <w:jc w:val="both"/>
        <w:rPr>
          <w:szCs w:val="24"/>
        </w:rPr>
      </w:pPr>
    </w:p>
    <w:p w14:paraId="44AB68C0" w14:textId="682F0524" w:rsidR="008526DD" w:rsidRPr="00222909" w:rsidRDefault="008526DD" w:rsidP="002627FD">
      <w:pPr>
        <w:jc w:val="both"/>
        <w:rPr>
          <w:szCs w:val="24"/>
        </w:rPr>
      </w:pPr>
      <w:r w:rsidRPr="00222909">
        <w:rPr>
          <w:szCs w:val="24"/>
        </w:rPr>
        <w:t>The receivership court plays an important role in the administration of MSP obligations.  Because MSP issues may affect claims administration, distributions, the treatment of federal claims, the closing of the estate, and the potential liability of the receiver and other estate representatives, the receiver should keep the court appropriately informed of material MSP issues affecting the administration of the receivership.</w:t>
      </w:r>
    </w:p>
    <w:p w14:paraId="33E87797" w14:textId="77777777" w:rsidR="002627FD" w:rsidRPr="00222909" w:rsidRDefault="002627FD" w:rsidP="002627FD">
      <w:pPr>
        <w:jc w:val="both"/>
        <w:rPr>
          <w:szCs w:val="24"/>
        </w:rPr>
      </w:pPr>
    </w:p>
    <w:p w14:paraId="37E4FEC0" w14:textId="06638B6D" w:rsidR="008526DD" w:rsidRPr="00222909" w:rsidRDefault="008526DD" w:rsidP="002627FD">
      <w:pPr>
        <w:jc w:val="both"/>
        <w:rPr>
          <w:szCs w:val="24"/>
        </w:rPr>
      </w:pPr>
      <w:r w:rsidRPr="00222909">
        <w:rPr>
          <w:szCs w:val="24"/>
        </w:rPr>
        <w:t>Where material MSP obligations are disputed, present significant uncertainty or potential liability, or may affect proposed distributions or estate closure, the receiver should consider whether guidance or approval from the court is appropriate.  Court approval of material MSP compliance initiatives, reporting procedures, reimbursement decisions, protective measures, or proposed distributions may provide clarity to interested parties and establish a clear record of the receiver’s administration of the estate pursuant to court direction.</w:t>
      </w:r>
    </w:p>
    <w:p w14:paraId="3194D5E7" w14:textId="77777777" w:rsidR="002627FD" w:rsidRPr="00222909" w:rsidRDefault="002627FD" w:rsidP="002627FD">
      <w:pPr>
        <w:jc w:val="both"/>
        <w:rPr>
          <w:szCs w:val="24"/>
        </w:rPr>
      </w:pPr>
    </w:p>
    <w:p w14:paraId="17DAC9CF" w14:textId="3A1ACF70" w:rsidR="008526DD" w:rsidRPr="00222909" w:rsidRDefault="008526DD" w:rsidP="002627FD">
      <w:pPr>
        <w:jc w:val="both"/>
        <w:rPr>
          <w:szCs w:val="24"/>
        </w:rPr>
      </w:pPr>
      <w:r w:rsidRPr="00222909">
        <w:rPr>
          <w:szCs w:val="24"/>
        </w:rPr>
        <w:t>The receiver should also consider advising the court of material limitations affecting the estate’s ability to satisfy MSP obligations, including incomplete records, unavailable information, uncertainty regarding reporting or reimbursement responsibilities, disputed priority issues, or conflicting legal authority.  Where complete compliance is not reasonably practicable, the receiver should document the reasonable efforts undertaken and, where appropriate, seek court approval of the proposed course of action.</w:t>
      </w:r>
    </w:p>
    <w:p w14:paraId="3A4427C2" w14:textId="77777777" w:rsidR="002627FD" w:rsidRPr="00222909" w:rsidRDefault="002627FD" w:rsidP="002627FD">
      <w:pPr>
        <w:jc w:val="both"/>
        <w:rPr>
          <w:szCs w:val="24"/>
        </w:rPr>
      </w:pPr>
    </w:p>
    <w:p w14:paraId="3408F388" w14:textId="77A9703F" w:rsidR="008526DD" w:rsidRPr="00222909" w:rsidRDefault="008526DD" w:rsidP="002627FD">
      <w:pPr>
        <w:jc w:val="both"/>
        <w:rPr>
          <w:szCs w:val="24"/>
        </w:rPr>
      </w:pPr>
      <w:r w:rsidRPr="00222909">
        <w:rPr>
          <w:szCs w:val="24"/>
        </w:rPr>
        <w:t>Before making material distributions, other than the payment of administrative expenses, or seeking to close the estate, the receiver should consider informing the court of material unresolved MSP issues and any associated protective measures proposed by the receiver.  Early consideration of these matters may reduce the likelihood that MSP issues will delay distributions or the closing of the receivership.</w:t>
      </w:r>
    </w:p>
    <w:p w14:paraId="3D3CD16D" w14:textId="77777777" w:rsidR="008526DD" w:rsidRPr="00B23917" w:rsidRDefault="008526DD" w:rsidP="00AE4855">
      <w:pPr>
        <w:jc w:val="both"/>
        <w:rPr>
          <w:szCs w:val="24"/>
        </w:rPr>
      </w:pPr>
    </w:p>
    <w:p w14:paraId="4FBE3015" w14:textId="77777777" w:rsidR="00AE4855" w:rsidRPr="00B23917" w:rsidRDefault="00AE4855" w:rsidP="00E2299F">
      <w:pPr>
        <w:pStyle w:val="ListParagraph"/>
        <w:numPr>
          <w:ilvl w:val="0"/>
          <w:numId w:val="5"/>
        </w:numPr>
        <w:rPr>
          <w:b/>
          <w:bCs/>
          <w:caps/>
          <w:szCs w:val="24"/>
        </w:rPr>
      </w:pPr>
      <w:r w:rsidRPr="00B23917">
        <w:rPr>
          <w:b/>
          <w:bCs/>
          <w:caps/>
          <w:szCs w:val="24"/>
        </w:rPr>
        <w:t>Reporting Best Practices</w:t>
      </w:r>
    </w:p>
    <w:p w14:paraId="368BD82E" w14:textId="77777777" w:rsidR="00D10DD5" w:rsidRPr="00222909" w:rsidRDefault="00D10DD5" w:rsidP="00D10DD5">
      <w:pPr>
        <w:jc w:val="both"/>
        <w:rPr>
          <w:szCs w:val="24"/>
        </w:rPr>
      </w:pPr>
    </w:p>
    <w:p w14:paraId="4D4205AC" w14:textId="7319160C" w:rsidR="00292475" w:rsidRPr="00222909" w:rsidRDefault="00292475" w:rsidP="00D10DD5">
      <w:pPr>
        <w:jc w:val="both"/>
        <w:rPr>
          <w:snapToGrid/>
          <w:szCs w:val="24"/>
        </w:rPr>
      </w:pPr>
      <w:r w:rsidRPr="00222909">
        <w:rPr>
          <w:szCs w:val="24"/>
        </w:rPr>
        <w:t xml:space="preserve">The receiver should evaluate the insurer’s MSP reporting procedures as part of the initial review of the estate.  This review should include determining whether the insurer was subject to MSP reporting requirements, whether registration with CMS is required and, if so, whether the insurer is properly registered, whether the receiver has continued access to applicable CMS reporting systems, whether required reporting was properly performed before the receivership, and whether sufficient information exists to satisfy any unfulfilled or continuing reporting obligations.  </w:t>
      </w:r>
      <w:r w:rsidR="00C97EAE" w:rsidRPr="00222909">
        <w:rPr>
          <w:szCs w:val="24"/>
        </w:rPr>
        <w:t xml:space="preserve">A challenge is that pre-receivership data does not always disclose whether MSP reporting was done. </w:t>
      </w:r>
      <w:r w:rsidRPr="00222909">
        <w:rPr>
          <w:szCs w:val="24"/>
        </w:rPr>
        <w:t xml:space="preserve">The receiver should also determine </w:t>
      </w:r>
      <w:r w:rsidRPr="00222909">
        <w:rPr>
          <w:szCs w:val="24"/>
        </w:rPr>
        <w:lastRenderedPageBreak/>
        <w:t>whether existing CMS reporting accounts, user credentials, electronic reporting connections, and vendor access remain available and, if not, promptly take appropriate steps to restore access or establish replacement reporting capabilities.</w:t>
      </w:r>
    </w:p>
    <w:p w14:paraId="2C43E718" w14:textId="77777777" w:rsidR="00D10DD5" w:rsidRPr="00222909" w:rsidRDefault="00D10DD5" w:rsidP="00D10DD5">
      <w:pPr>
        <w:jc w:val="both"/>
        <w:rPr>
          <w:szCs w:val="24"/>
        </w:rPr>
      </w:pPr>
    </w:p>
    <w:p w14:paraId="551AB251" w14:textId="1913EBA5" w:rsidR="00292475" w:rsidRPr="00222909" w:rsidRDefault="00292475" w:rsidP="00D10DD5">
      <w:pPr>
        <w:jc w:val="both"/>
        <w:rPr>
          <w:szCs w:val="24"/>
        </w:rPr>
      </w:pPr>
      <w:r w:rsidRPr="00222909">
        <w:rPr>
          <w:szCs w:val="24"/>
        </w:rPr>
        <w:t>As part of that review, the receiver should consider preservation of electronic data, claims systems, reporting files, vendor records, and other information that may bear upon historical or continuing MSP obligations.  Legacy claims systems, reporting records, correspondence with CMS or its contractors, and data maintained by third-party administrators or MSP vendors may be necessary to determine whether proper reporting occurred, reconstruct historical reporting activity, or satisfy unfulfilled or continuing reporting requirements.  To the extent reasonably practicable, the receiver should avoid destroying, overwriting, or decommissioning potentially relevant data until its relevance has been evaluated and any continuing need for its preservation has been assessed.</w:t>
      </w:r>
    </w:p>
    <w:p w14:paraId="42CDF4A1" w14:textId="77777777" w:rsidR="00D10DD5" w:rsidRPr="00222909" w:rsidRDefault="00D10DD5" w:rsidP="00D10DD5">
      <w:pPr>
        <w:jc w:val="both"/>
        <w:rPr>
          <w:szCs w:val="24"/>
        </w:rPr>
      </w:pPr>
    </w:p>
    <w:p w14:paraId="7D77B49D" w14:textId="58A8122C" w:rsidR="00292475" w:rsidRPr="00222909" w:rsidRDefault="00292475" w:rsidP="00D10DD5">
      <w:pPr>
        <w:jc w:val="both"/>
        <w:rPr>
          <w:szCs w:val="24"/>
        </w:rPr>
      </w:pPr>
      <w:r w:rsidRPr="00222909">
        <w:rPr>
          <w:szCs w:val="24"/>
        </w:rPr>
        <w:t>Receivers frequently encounter incomplete or inconsistent records.  Historical claim files may not identify Medicare beneficiaries, indicate whether prior reporting occurred, or contain the information necessary to complete required reporting.  Identifying these deficiencies early provides the greatest opportunity to obtain missing information while records remain available and contact information for interested parties remains current.</w:t>
      </w:r>
    </w:p>
    <w:p w14:paraId="2507080A" w14:textId="77777777" w:rsidR="00D10DD5" w:rsidRPr="00222909" w:rsidRDefault="00D10DD5" w:rsidP="00D10DD5">
      <w:pPr>
        <w:jc w:val="both"/>
        <w:rPr>
          <w:szCs w:val="24"/>
        </w:rPr>
      </w:pPr>
    </w:p>
    <w:p w14:paraId="1250D465" w14:textId="3F331059" w:rsidR="00292475" w:rsidRPr="00222909" w:rsidRDefault="00292475" w:rsidP="00D10DD5">
      <w:pPr>
        <w:jc w:val="both"/>
        <w:rPr>
          <w:szCs w:val="24"/>
        </w:rPr>
      </w:pPr>
      <w:r w:rsidRPr="00222909">
        <w:rPr>
          <w:szCs w:val="24"/>
        </w:rPr>
        <w:t>Where reporting obligations continue during the receivership, the receiver should establish procedures to identify reportable claims, collect and preserve required information, monitor reporting deadlines, and maintain documentation supporting reporting decisions, submissions, and outcomes.  In collecting required information, the receiver should document reasonable efforts to obtain missing information and, where applicable and appropriate, comply with any CMS safe harbor requirements.</w:t>
      </w:r>
      <w:r w:rsidRPr="00222909">
        <w:rPr>
          <w:rStyle w:val="FootnoteReference"/>
          <w:szCs w:val="24"/>
        </w:rPr>
        <w:footnoteReference w:id="58"/>
      </w:r>
      <w:r w:rsidRPr="00222909">
        <w:rPr>
          <w:szCs w:val="24"/>
        </w:rPr>
        <w:t xml:space="preserve"> If third-party administrators or other vendors assist with claims administration, the receiver should determine whether those persons or entities are responsible for performing any MSP reporting functions and periodically confirm performance of those functions in writing where appropriate.</w:t>
      </w:r>
    </w:p>
    <w:p w14:paraId="0E412C91" w14:textId="77777777" w:rsidR="00D10DD5" w:rsidRPr="00222909" w:rsidRDefault="00D10DD5" w:rsidP="00D10DD5">
      <w:pPr>
        <w:jc w:val="both"/>
        <w:rPr>
          <w:szCs w:val="24"/>
        </w:rPr>
      </w:pPr>
    </w:p>
    <w:p w14:paraId="4E73065D" w14:textId="1D137376" w:rsidR="00292475" w:rsidRPr="00222909" w:rsidRDefault="00292475" w:rsidP="00D10DD5">
      <w:pPr>
        <w:jc w:val="both"/>
        <w:rPr>
          <w:szCs w:val="24"/>
        </w:rPr>
      </w:pPr>
      <w:r w:rsidRPr="00222909">
        <w:rPr>
          <w:szCs w:val="24"/>
        </w:rPr>
        <w:t>Where legal responsibility for reporting is uncertain, the receiver should evaluate applicable law and CMS guidance and consult with affected parties and counsel as appropriate to determine the RRE.  The receiver should separately identify the person or entity that will perform any required reporting functions, determine whether and how reporting functions should be allocated, document any allocation of those functions and the basis for that allocation, and periodically obtain written confirmation of performance where appropriate.  Early identification of legal and operational responsibilities reduces the likelihood of gaps in reporting or duplicate reporting.</w:t>
      </w:r>
    </w:p>
    <w:p w14:paraId="470795ED" w14:textId="77777777" w:rsidR="00152245" w:rsidRPr="00222909" w:rsidRDefault="00152245" w:rsidP="00D10DD5">
      <w:pPr>
        <w:jc w:val="both"/>
        <w:rPr>
          <w:szCs w:val="24"/>
        </w:rPr>
      </w:pPr>
    </w:p>
    <w:p w14:paraId="4760F455" w14:textId="77777777" w:rsidR="004F0560" w:rsidRPr="00222909" w:rsidRDefault="004F0560" w:rsidP="00B23917">
      <w:pPr>
        <w:pStyle w:val="ListParagraph"/>
        <w:numPr>
          <w:ilvl w:val="0"/>
          <w:numId w:val="35"/>
        </w:numPr>
        <w:jc w:val="both"/>
        <w:rPr>
          <w:b/>
          <w:bCs/>
          <w:szCs w:val="24"/>
        </w:rPr>
      </w:pPr>
      <w:r w:rsidRPr="00222909">
        <w:rPr>
          <w:b/>
          <w:bCs/>
          <w:szCs w:val="24"/>
        </w:rPr>
        <w:t>Tools to use for Research and Reporting</w:t>
      </w:r>
    </w:p>
    <w:p w14:paraId="6D8A4D99" w14:textId="77777777" w:rsidR="004F0560" w:rsidRPr="00222909" w:rsidRDefault="004F0560" w:rsidP="004F0560">
      <w:pPr>
        <w:jc w:val="both"/>
        <w:rPr>
          <w:szCs w:val="24"/>
        </w:rPr>
      </w:pPr>
    </w:p>
    <w:p w14:paraId="6DCFD5EC" w14:textId="77777777" w:rsidR="004F0560" w:rsidRPr="00222909" w:rsidRDefault="004F0560" w:rsidP="004F0560">
      <w:pPr>
        <w:jc w:val="both"/>
        <w:rPr>
          <w:snapToGrid/>
          <w:szCs w:val="24"/>
        </w:rPr>
      </w:pPr>
      <w:r w:rsidRPr="00222909">
        <w:rPr>
          <w:szCs w:val="24"/>
        </w:rPr>
        <w:t>CMS provides a variety of resources that may assist receivers in administering MSP obligations. Among the most valuable are Medicare beneficiary query tools, which an RRE may use to determine whether an individual is entitled to Medicare benefits before preparing and submitting required reports.</w:t>
      </w:r>
      <w:r w:rsidRPr="00222909">
        <w:rPr>
          <w:rStyle w:val="FootnoteReference"/>
          <w:szCs w:val="24"/>
        </w:rPr>
        <w:footnoteReference w:id="59"/>
      </w:r>
      <w:r w:rsidRPr="00222909">
        <w:rPr>
          <w:szCs w:val="24"/>
        </w:rPr>
        <w:t xml:space="preserve">  Receivers </w:t>
      </w:r>
      <w:r w:rsidRPr="00222909">
        <w:rPr>
          <w:szCs w:val="24"/>
        </w:rPr>
        <w:lastRenderedPageBreak/>
        <w:t>should determine how those tools will be incorporated into reasonable procedures for identifying reportable claims or coverage and determining when reporting obligations exist.</w:t>
      </w:r>
    </w:p>
    <w:p w14:paraId="594EBBF0" w14:textId="77777777" w:rsidR="004F0560" w:rsidRPr="00222909" w:rsidRDefault="004F0560" w:rsidP="004F0560">
      <w:pPr>
        <w:jc w:val="both"/>
        <w:rPr>
          <w:szCs w:val="24"/>
        </w:rPr>
      </w:pPr>
    </w:p>
    <w:p w14:paraId="3C8CD41C" w14:textId="77777777" w:rsidR="004F0560" w:rsidRPr="00222909" w:rsidRDefault="004F0560" w:rsidP="004F0560">
      <w:pPr>
        <w:jc w:val="both"/>
        <w:rPr>
          <w:szCs w:val="24"/>
        </w:rPr>
      </w:pPr>
      <w:r w:rsidRPr="00222909">
        <w:rPr>
          <w:szCs w:val="24"/>
        </w:rPr>
        <w:t>Receivers should become familiar with available CMS reporting systems, inquiry tools, user guides, and other resources applicable to the insurer’s business.  When reporting responsibilities are significant or historical data must be reconstructed, the receiver should consider whether outside vendors with MSP expertise would assist in satisfying the estate’s MSP obligations.</w:t>
      </w:r>
    </w:p>
    <w:p w14:paraId="01B1FB8F" w14:textId="77777777" w:rsidR="004F0560" w:rsidRPr="00B23917" w:rsidRDefault="004F0560" w:rsidP="004D645F">
      <w:pPr>
        <w:pStyle w:val="ListParagraph"/>
        <w:widowControl/>
        <w:spacing w:after="160" w:line="276" w:lineRule="auto"/>
        <w:rPr>
          <w:szCs w:val="24"/>
          <w:u w:val="single"/>
        </w:rPr>
      </w:pPr>
    </w:p>
    <w:p w14:paraId="1CFA45A5" w14:textId="1A20E6E9" w:rsidR="00B811D5" w:rsidRPr="00B23917" w:rsidRDefault="00B811D5" w:rsidP="005D6CD0">
      <w:pPr>
        <w:pStyle w:val="ListParagraph"/>
        <w:widowControl/>
        <w:numPr>
          <w:ilvl w:val="4"/>
          <w:numId w:val="38"/>
        </w:numPr>
        <w:spacing w:after="160" w:line="276" w:lineRule="auto"/>
        <w:ind w:left="1440"/>
        <w:rPr>
          <w:szCs w:val="24"/>
          <w:u w:val="single"/>
        </w:rPr>
      </w:pPr>
      <w:r w:rsidRPr="00B23917">
        <w:rPr>
          <w:szCs w:val="24"/>
          <w:u w:val="single"/>
        </w:rPr>
        <w:t xml:space="preserve">CMS </w:t>
      </w:r>
      <w:r w:rsidR="00222909" w:rsidRPr="00B23917">
        <w:rPr>
          <w:szCs w:val="24"/>
          <w:u w:val="single"/>
        </w:rPr>
        <w:t>Resources Generally</w:t>
      </w:r>
    </w:p>
    <w:p w14:paraId="581F5C9B" w14:textId="235A2FD6" w:rsidR="00565A23" w:rsidRPr="00222909" w:rsidRDefault="00565A23" w:rsidP="00565A23">
      <w:pPr>
        <w:jc w:val="both"/>
        <w:rPr>
          <w:snapToGrid/>
          <w:szCs w:val="24"/>
        </w:rPr>
      </w:pPr>
      <w:r w:rsidRPr="00222909">
        <w:rPr>
          <w:szCs w:val="24"/>
        </w:rPr>
        <w:t xml:space="preserve">CMS maintains </w:t>
      </w:r>
      <w:r w:rsidR="00940572">
        <w:rPr>
          <w:szCs w:val="24"/>
        </w:rPr>
        <w:t xml:space="preserve">beneficiary-query tools and </w:t>
      </w:r>
      <w:r w:rsidRPr="00222909">
        <w:rPr>
          <w:szCs w:val="24"/>
        </w:rPr>
        <w:t>recovery resources, including the Medicare Secondary Payer Recovery Portal (MSPRP)</w:t>
      </w:r>
      <w:r w:rsidR="00BC3385" w:rsidRPr="00222909">
        <w:rPr>
          <w:szCs w:val="24"/>
        </w:rPr>
        <w:t xml:space="preserve">, described below, </w:t>
      </w:r>
      <w:r w:rsidRPr="00222909">
        <w:rPr>
          <w:szCs w:val="24"/>
        </w:rPr>
        <w:t xml:space="preserve">and contractor-administered recovery systems, through which appropriately authorized users may </w:t>
      </w:r>
      <w:r w:rsidR="00BC3385" w:rsidRPr="00222909">
        <w:rPr>
          <w:szCs w:val="24"/>
        </w:rPr>
        <w:t xml:space="preserve">ascertain whether an individual is a Medicare beneficiary, </w:t>
      </w:r>
      <w:r w:rsidRPr="00222909">
        <w:rPr>
          <w:szCs w:val="24"/>
        </w:rPr>
        <w:t>obtain conditional-payment information, submit settlement information, dispute identified claims, and monitor certain recovery matters.</w:t>
      </w:r>
      <w:r w:rsidRPr="00222909">
        <w:rPr>
          <w:rStyle w:val="FootnoteReference"/>
          <w:szCs w:val="24"/>
        </w:rPr>
        <w:footnoteReference w:id="60"/>
      </w:r>
    </w:p>
    <w:p w14:paraId="04A165B4" w14:textId="77777777" w:rsidR="00BC3385" w:rsidRPr="00222909" w:rsidRDefault="00BC3385" w:rsidP="004F0560">
      <w:pPr>
        <w:jc w:val="both"/>
        <w:rPr>
          <w:szCs w:val="24"/>
        </w:rPr>
      </w:pPr>
    </w:p>
    <w:p w14:paraId="089B6A16" w14:textId="3F218969" w:rsidR="004F0560" w:rsidRPr="00222909" w:rsidRDefault="004F0560" w:rsidP="004F0560">
      <w:pPr>
        <w:jc w:val="both"/>
        <w:rPr>
          <w:szCs w:val="24"/>
        </w:rPr>
      </w:pPr>
      <w:r w:rsidRPr="00222909">
        <w:rPr>
          <w:szCs w:val="24"/>
        </w:rPr>
        <w:t xml:space="preserve">For NGHP, the RRE should use the CMS </w:t>
      </w:r>
      <w:r w:rsidR="00420EAF" w:rsidRPr="00222909">
        <w:rPr>
          <w:szCs w:val="24"/>
        </w:rPr>
        <w:t>portal</w:t>
      </w:r>
      <w:r w:rsidRPr="00222909">
        <w:rPr>
          <w:szCs w:val="24"/>
        </w:rPr>
        <w:t xml:space="preserve"> to confirm Medicare beneficiary status before submitting TPOC or ORM reports. This will prevent reporting errors and avoid triggering unnecessary recovery activity. With respect to GHP querying, the RRE submits a query-only input file to be used to confirm whether an individual is a Medicare beneficiary without reporting coverage data. This is useful to verify Medicare status before COB reporting, obtain the CMS validated Medicare beneficiary identifier, audit or reconstruct historical enrollment, or check whether prior reporting may have or likely occurred. It can be a critical tool for reconstruction as needed in receivership. </w:t>
      </w:r>
      <w:r w:rsidR="00E74D70" w:rsidRPr="00222909">
        <w:rPr>
          <w:szCs w:val="24"/>
        </w:rPr>
        <w:t>Note that q</w:t>
      </w:r>
      <w:r w:rsidRPr="00222909">
        <w:rPr>
          <w:szCs w:val="24"/>
        </w:rPr>
        <w:t xml:space="preserve">uerying </w:t>
      </w:r>
      <w:r w:rsidR="00E74D70" w:rsidRPr="00222909">
        <w:rPr>
          <w:szCs w:val="24"/>
        </w:rPr>
        <w:t xml:space="preserve">the portal </w:t>
      </w:r>
      <w:r w:rsidRPr="00222909">
        <w:rPr>
          <w:szCs w:val="24"/>
        </w:rPr>
        <w:t xml:space="preserve">is not a substitute for reporting. </w:t>
      </w:r>
    </w:p>
    <w:p w14:paraId="16226D34" w14:textId="77777777" w:rsidR="00E74D70" w:rsidRPr="00222909" w:rsidRDefault="00E74D70" w:rsidP="00E74D70">
      <w:pPr>
        <w:pStyle w:val="ListParagraph"/>
        <w:ind w:left="0"/>
        <w:jc w:val="both"/>
        <w:rPr>
          <w:szCs w:val="24"/>
        </w:rPr>
      </w:pPr>
    </w:p>
    <w:p w14:paraId="477CC635" w14:textId="586AD962" w:rsidR="00E74D70" w:rsidRPr="00222909" w:rsidRDefault="00E74D70" w:rsidP="00E74D70">
      <w:pPr>
        <w:pStyle w:val="ListParagraph"/>
        <w:ind w:left="0"/>
        <w:jc w:val="both"/>
        <w:rPr>
          <w:szCs w:val="24"/>
        </w:rPr>
      </w:pPr>
      <w:r w:rsidRPr="00222909">
        <w:rPr>
          <w:szCs w:val="24"/>
        </w:rPr>
        <w:t>Receivers should become familiar with the available recovery resources applicable to the receivership and establish appropriate procedures for documenting communications and maintaining records relating to Medicare recovery efforts.</w:t>
      </w:r>
    </w:p>
    <w:p w14:paraId="18CCBD24" w14:textId="77777777" w:rsidR="00E74D70" w:rsidRPr="00222909" w:rsidRDefault="00E74D70" w:rsidP="00E74D70">
      <w:pPr>
        <w:pStyle w:val="ListParagraph"/>
        <w:ind w:left="0"/>
        <w:jc w:val="both"/>
        <w:rPr>
          <w:szCs w:val="24"/>
        </w:rPr>
      </w:pPr>
    </w:p>
    <w:p w14:paraId="0180D869" w14:textId="77777777" w:rsidR="00E74D70" w:rsidRPr="00222909" w:rsidRDefault="00E74D70" w:rsidP="00E74D70">
      <w:pPr>
        <w:pStyle w:val="ListParagraph"/>
        <w:ind w:left="0"/>
        <w:jc w:val="both"/>
        <w:rPr>
          <w:szCs w:val="24"/>
        </w:rPr>
      </w:pPr>
      <w:r w:rsidRPr="00222909">
        <w:rPr>
          <w:szCs w:val="24"/>
        </w:rPr>
        <w:t>The receiver should periodically evaluate whether available CMS resources and any retained vendors continue to provide adequate support for the estate’s MSP compliance efforts.</w:t>
      </w:r>
    </w:p>
    <w:p w14:paraId="4D41734E" w14:textId="77777777" w:rsidR="004F0560" w:rsidRPr="00222909" w:rsidRDefault="004F0560" w:rsidP="004F0560">
      <w:pPr>
        <w:jc w:val="both"/>
        <w:rPr>
          <w:szCs w:val="24"/>
        </w:rPr>
      </w:pPr>
    </w:p>
    <w:p w14:paraId="10CDFA6F" w14:textId="4162FA83" w:rsidR="009450EA" w:rsidRPr="00B23917" w:rsidRDefault="00220462" w:rsidP="005D6CD0">
      <w:pPr>
        <w:pStyle w:val="ListParagraph"/>
        <w:widowControl/>
        <w:numPr>
          <w:ilvl w:val="4"/>
          <w:numId w:val="38"/>
        </w:numPr>
        <w:spacing w:after="160" w:line="276" w:lineRule="auto"/>
        <w:ind w:left="1440"/>
        <w:rPr>
          <w:szCs w:val="24"/>
          <w:u w:val="single"/>
        </w:rPr>
      </w:pPr>
      <w:r w:rsidRPr="00B23917">
        <w:rPr>
          <w:szCs w:val="24"/>
          <w:u w:val="single"/>
        </w:rPr>
        <w:t>Medicare Secondary Payer</w:t>
      </w:r>
      <w:r w:rsidR="009450EA" w:rsidRPr="00B23917">
        <w:rPr>
          <w:szCs w:val="24"/>
          <w:u w:val="single"/>
        </w:rPr>
        <w:t xml:space="preserve"> Recovery Portal </w:t>
      </w:r>
    </w:p>
    <w:p w14:paraId="542748ED" w14:textId="0D7EEBB8" w:rsidR="004F0560" w:rsidRDefault="004F0560" w:rsidP="002018C2">
      <w:pPr>
        <w:jc w:val="both"/>
        <w:rPr>
          <w:szCs w:val="24"/>
        </w:rPr>
      </w:pPr>
      <w:proofErr w:type="gramStart"/>
      <w:r w:rsidRPr="00222909">
        <w:rPr>
          <w:szCs w:val="24"/>
        </w:rPr>
        <w:t>The MSPRP</w:t>
      </w:r>
      <w:proofErr w:type="gramEnd"/>
      <w:r w:rsidRPr="00222909">
        <w:rPr>
          <w:szCs w:val="24"/>
        </w:rPr>
        <w:t xml:space="preserve"> is a secure, web-based platform managed by the CMS that may be utilized as an operational tool for identifying, auditing, and resolving past conditional payment </w:t>
      </w:r>
      <w:proofErr w:type="gramStart"/>
      <w:r w:rsidRPr="00222909">
        <w:rPr>
          <w:szCs w:val="24"/>
        </w:rPr>
        <w:t>liens</w:t>
      </w:r>
      <w:proofErr w:type="gramEnd"/>
      <w:r w:rsidRPr="00222909">
        <w:rPr>
          <w:szCs w:val="24"/>
        </w:rPr>
        <w:t xml:space="preserve">. Note that the receiver or designated third-party administrator must register as the official Account Manager using the insolvent </w:t>
      </w:r>
      <w:r w:rsidRPr="00222909">
        <w:rPr>
          <w:szCs w:val="24"/>
        </w:rPr>
        <w:lastRenderedPageBreak/>
        <w:t>insurer’s Employer Identification Number (EIN) or National Provider Identifier, as well as uploading a copy of the liquidation/receivership Order and an official Letter of Authority (LOA). To be accepted by CMS, a valid LOA must: (i) be drafted on the official letterhead of the state department of insurance of receivership estate; (ii) reference the specific name of the insolvent insurance company and its corporate details (e.g. EIN); (iii) explicitly mention the state receivership court, the judge, and the specific date of the liquidation or rehabilitation order; (iv) state the exact name, company name, address, and contact information of the person or vendor being granted authority; (v) clearly state that the agent has the power to "receive conditional payment information, submit disputes, upload settlement documentation, and negotiate lien resolutions" for all claims under the insurer's umbrella; and (vi) be signed and dated by the rehabilitator, liquidator, or the special deputy receiver with the legal authority to bind the estate. A receiver may request “global” access or a consolidated portal view to track all active Medicare recovery cases under one dashboard. Managing the portal typically requires technical knowledge of Medicare billing codes.</w:t>
      </w:r>
    </w:p>
    <w:p w14:paraId="2CC3D57F" w14:textId="77777777" w:rsidR="00454B44" w:rsidRPr="00222909" w:rsidRDefault="00454B44" w:rsidP="002018C2">
      <w:pPr>
        <w:jc w:val="both"/>
        <w:rPr>
          <w:szCs w:val="24"/>
        </w:rPr>
      </w:pPr>
    </w:p>
    <w:p w14:paraId="02258BEF" w14:textId="77777777" w:rsidR="004F0560" w:rsidRPr="00222909" w:rsidRDefault="004F0560" w:rsidP="002018C2">
      <w:pPr>
        <w:jc w:val="both"/>
        <w:rPr>
          <w:szCs w:val="24"/>
        </w:rPr>
      </w:pPr>
      <w:r w:rsidRPr="00222909">
        <w:rPr>
          <w:szCs w:val="24"/>
        </w:rPr>
        <w:t>Authorized users can view real-time Conditional Payment Letters (CPLs) and Conditional Payment Notices (CPNs). This allows the receiver to estimate and record current Medicare claims on the estate’s financial balance sheets. Note that CPLs are non-binding, preliminary estimates. A receiver cannot legally rely on a CPL to calculate the estate's final balance sheet. Also, because CMS can update a conditional payment figure and issue time-sensitive CPNs at any time, the portal’s “Action Items” queue should be routinely monitored.</w:t>
      </w:r>
    </w:p>
    <w:p w14:paraId="000A2F1A" w14:textId="77777777" w:rsidR="00BC3385" w:rsidRPr="00222909" w:rsidRDefault="00BC3385" w:rsidP="002018C2">
      <w:pPr>
        <w:jc w:val="both"/>
        <w:rPr>
          <w:szCs w:val="24"/>
        </w:rPr>
      </w:pPr>
    </w:p>
    <w:p w14:paraId="75760F83" w14:textId="3EC754BA" w:rsidR="004F0560" w:rsidRDefault="004F0560" w:rsidP="002018C2">
      <w:pPr>
        <w:jc w:val="both"/>
        <w:rPr>
          <w:szCs w:val="24"/>
        </w:rPr>
      </w:pPr>
      <w:r w:rsidRPr="00222909">
        <w:rPr>
          <w:szCs w:val="24"/>
        </w:rPr>
        <w:t xml:space="preserve">The portal includes an interface to dispute unrelated medical charges that CMS has swept into a workers' comp or auto accident </w:t>
      </w:r>
      <w:proofErr w:type="gramStart"/>
      <w:r w:rsidRPr="00222909">
        <w:rPr>
          <w:szCs w:val="24"/>
        </w:rPr>
        <w:t>lien</w:t>
      </w:r>
      <w:proofErr w:type="gramEnd"/>
      <w:r w:rsidRPr="00222909">
        <w:rPr>
          <w:szCs w:val="24"/>
        </w:rPr>
        <w:t xml:space="preserve">. Authorized users may select specific line-item charges and upload electronic proof to get those charges removed from the </w:t>
      </w:r>
      <w:proofErr w:type="gramStart"/>
      <w:r w:rsidRPr="00222909">
        <w:rPr>
          <w:szCs w:val="24"/>
        </w:rPr>
        <w:t>lien</w:t>
      </w:r>
      <w:proofErr w:type="gramEnd"/>
      <w:r w:rsidRPr="00222909">
        <w:rPr>
          <w:szCs w:val="24"/>
        </w:rPr>
        <w:t>. Every dollar paid to CMS for an unrelated claim is a dollar unlawfully taken away from the insolvent estate's valid policyholders and creditors.</w:t>
      </w:r>
    </w:p>
    <w:p w14:paraId="6ACBFD99" w14:textId="77777777" w:rsidR="00B072A7" w:rsidRPr="00222909" w:rsidRDefault="00B072A7" w:rsidP="002018C2">
      <w:pPr>
        <w:jc w:val="both"/>
        <w:rPr>
          <w:szCs w:val="24"/>
        </w:rPr>
      </w:pPr>
    </w:p>
    <w:p w14:paraId="4D3DFD91" w14:textId="5E9669C5" w:rsidR="004F0560" w:rsidRPr="00222909" w:rsidRDefault="004F0560" w:rsidP="002018C2">
      <w:pPr>
        <w:jc w:val="both"/>
        <w:rPr>
          <w:szCs w:val="24"/>
        </w:rPr>
      </w:pPr>
      <w:r w:rsidRPr="00222909">
        <w:rPr>
          <w:szCs w:val="24"/>
        </w:rPr>
        <w:t xml:space="preserve">The portal also provides for the upload of electronic settlement documents, as well as the generation of final conditional payment amounts and Final Demand Letters (FDLs). If a settlement is pending, the portal allows authorized users to input the settlement amount and attorneys’ fees to instantly generate a final conditional payment amount, expediting the process. When an open claim is formally settled or a pro-rata distribution is prepared, the final settlement agreement, judgement, or distribution order is uploaded directly through the portal which triggers CMS to generate an FDL, the only legally binding dollar figure a receiver may pay to permanently resolve the lien. Note that in order to use this self-service tool all disputes regarding unrelated medical charges must be resolved, CMS must have issued a CPL within the last 90 days, the target date of the settlement must be within 120 days of the date the information was input into the portal, and the final settlement agreement must be uploaded into the portal within 30 days of execution. </w:t>
      </w:r>
      <w:r w:rsidR="00912B85" w:rsidRPr="00222909">
        <w:rPr>
          <w:szCs w:val="24"/>
        </w:rPr>
        <w:t>If</w:t>
      </w:r>
      <w:r w:rsidRPr="00222909">
        <w:rPr>
          <w:szCs w:val="24"/>
        </w:rPr>
        <w:t xml:space="preserve"> the signed agreement matches the "pending" numbers initially input, the instant calculation becomes the official, legally binding final demand</w:t>
      </w:r>
      <w:r w:rsidR="002018C2" w:rsidRPr="00222909">
        <w:rPr>
          <w:szCs w:val="24"/>
        </w:rPr>
        <w:t>.</w:t>
      </w:r>
    </w:p>
    <w:p w14:paraId="5E358083" w14:textId="77777777" w:rsidR="004F0560" w:rsidRPr="00B23917" w:rsidRDefault="004F0560" w:rsidP="004F0560">
      <w:pPr>
        <w:pStyle w:val="ListParagraph"/>
        <w:widowControl/>
        <w:spacing w:after="160" w:line="276" w:lineRule="auto"/>
        <w:ind w:left="2160"/>
        <w:rPr>
          <w:szCs w:val="24"/>
        </w:rPr>
      </w:pPr>
    </w:p>
    <w:p w14:paraId="4B9D205E" w14:textId="2238BE08" w:rsidR="00454B44" w:rsidRPr="00B23917" w:rsidRDefault="00454B44" w:rsidP="00B23917">
      <w:pPr>
        <w:widowControl/>
        <w:spacing w:after="160" w:line="276" w:lineRule="auto"/>
        <w:ind w:left="1080" w:hanging="360"/>
        <w:rPr>
          <w:b/>
          <w:bCs/>
          <w:szCs w:val="24"/>
        </w:rPr>
      </w:pPr>
      <w:r w:rsidRPr="00B23917">
        <w:rPr>
          <w:b/>
          <w:bCs/>
          <w:szCs w:val="24"/>
        </w:rPr>
        <w:t xml:space="preserve">2. </w:t>
      </w:r>
      <w:r w:rsidR="004F0560" w:rsidRPr="00B23917">
        <w:rPr>
          <w:b/>
          <w:bCs/>
          <w:szCs w:val="24"/>
        </w:rPr>
        <w:t>R</w:t>
      </w:r>
      <w:r w:rsidR="00845854" w:rsidRPr="00B23917">
        <w:rPr>
          <w:b/>
          <w:bCs/>
          <w:szCs w:val="24"/>
        </w:rPr>
        <w:t>eview MSP Compliance and Identify Reporting Issues</w:t>
      </w:r>
    </w:p>
    <w:p w14:paraId="7F1A3DA2" w14:textId="77777777" w:rsidR="004F0560" w:rsidRPr="00222909" w:rsidRDefault="004F0560" w:rsidP="004F0560">
      <w:pPr>
        <w:jc w:val="both"/>
        <w:rPr>
          <w:snapToGrid/>
          <w:szCs w:val="24"/>
        </w:rPr>
      </w:pPr>
      <w:r w:rsidRPr="00222909">
        <w:rPr>
          <w:szCs w:val="24"/>
        </w:rPr>
        <w:t>As part of the receiver’s initial review of the insurer’s operations, the receiver should evaluate the insurer’s historical MSP compliance.  This review should include determining whether the insurer is appropriately registered with CMS, where registration is required, whether claims or coverage were properly reported before the receivership, whether reporting backlogs exist, whether historical reporting data appears reliable, and whether additional investigation is warranted.</w:t>
      </w:r>
    </w:p>
    <w:p w14:paraId="2CBB5C20" w14:textId="77777777" w:rsidR="004F0560" w:rsidRPr="00222909" w:rsidRDefault="004F0560" w:rsidP="004F0560">
      <w:pPr>
        <w:jc w:val="both"/>
        <w:rPr>
          <w:szCs w:val="24"/>
        </w:rPr>
      </w:pPr>
    </w:p>
    <w:p w14:paraId="2AC9FD3C" w14:textId="77777777" w:rsidR="004F0560" w:rsidRPr="00222909" w:rsidRDefault="004F0560" w:rsidP="004F0560">
      <w:pPr>
        <w:jc w:val="both"/>
        <w:rPr>
          <w:szCs w:val="24"/>
        </w:rPr>
      </w:pPr>
      <w:r w:rsidRPr="00222909">
        <w:rPr>
          <w:szCs w:val="24"/>
        </w:rPr>
        <w:t xml:space="preserve">Receivers may also incorporate MSP-related questions into initial receivership questionnaires, information requests, or transition discussions with company personnel, third-party administrators, guaranty associations, and other </w:t>
      </w:r>
      <w:proofErr w:type="gramStart"/>
      <w:r w:rsidRPr="00222909">
        <w:rPr>
          <w:szCs w:val="24"/>
        </w:rPr>
        <w:t>persons</w:t>
      </w:r>
      <w:proofErr w:type="gramEnd"/>
      <w:r w:rsidRPr="00222909">
        <w:rPr>
          <w:szCs w:val="24"/>
        </w:rPr>
        <w:t xml:space="preserve"> or entities involved in claims administration or reporting. Early identification of reporting issues generally reduces the administrative burden associated with reconstructing historical reporting activity later in the receivership. </w:t>
      </w:r>
    </w:p>
    <w:p w14:paraId="03742E0B" w14:textId="77777777" w:rsidR="00845854" w:rsidRPr="00222909" w:rsidRDefault="00845854" w:rsidP="004F0560">
      <w:pPr>
        <w:jc w:val="both"/>
        <w:rPr>
          <w:szCs w:val="24"/>
        </w:rPr>
      </w:pPr>
    </w:p>
    <w:p w14:paraId="71104C38" w14:textId="6ACDA0D0" w:rsidR="004F0560" w:rsidRPr="00B23917" w:rsidRDefault="00454B44" w:rsidP="00B23917">
      <w:pPr>
        <w:widowControl/>
        <w:spacing w:after="160" w:line="276" w:lineRule="auto"/>
        <w:ind w:left="1080" w:hanging="360"/>
        <w:rPr>
          <w:b/>
          <w:bCs/>
          <w:szCs w:val="24"/>
        </w:rPr>
      </w:pPr>
      <w:r w:rsidRPr="00B23917">
        <w:rPr>
          <w:b/>
          <w:bCs/>
          <w:szCs w:val="24"/>
        </w:rPr>
        <w:t xml:space="preserve">3. </w:t>
      </w:r>
      <w:r w:rsidR="004F0560" w:rsidRPr="00B23917">
        <w:rPr>
          <w:b/>
          <w:bCs/>
          <w:szCs w:val="24"/>
        </w:rPr>
        <w:t xml:space="preserve">Pre-Receivership </w:t>
      </w:r>
      <w:r w:rsidR="00845854" w:rsidRPr="00B23917">
        <w:rPr>
          <w:b/>
          <w:bCs/>
          <w:szCs w:val="24"/>
        </w:rPr>
        <w:t>D</w:t>
      </w:r>
      <w:r w:rsidR="004F0560" w:rsidRPr="00B23917">
        <w:rPr>
          <w:b/>
          <w:bCs/>
          <w:szCs w:val="24"/>
        </w:rPr>
        <w:t xml:space="preserve">ata </w:t>
      </w:r>
      <w:r w:rsidR="00845854" w:rsidRPr="00B23917">
        <w:rPr>
          <w:b/>
          <w:bCs/>
          <w:szCs w:val="24"/>
        </w:rPr>
        <w:t>C</w:t>
      </w:r>
      <w:r w:rsidR="004F0560" w:rsidRPr="00B23917">
        <w:rPr>
          <w:b/>
          <w:bCs/>
          <w:szCs w:val="24"/>
        </w:rPr>
        <w:t>hallenges</w:t>
      </w:r>
    </w:p>
    <w:p w14:paraId="1948F370" w14:textId="1AC413DE" w:rsidR="004F0560" w:rsidRPr="00222909" w:rsidRDefault="004F0560" w:rsidP="004F0560">
      <w:pPr>
        <w:jc w:val="both"/>
        <w:rPr>
          <w:snapToGrid/>
          <w:szCs w:val="24"/>
        </w:rPr>
      </w:pPr>
      <w:r w:rsidRPr="00222909">
        <w:rPr>
          <w:szCs w:val="24"/>
        </w:rPr>
        <w:t xml:space="preserve">The quality of pre-receivership data varies considerably from one receivership to another.  Legacy claims systems may not contain sufficient information to determine Medicare beneficiary status, identify whether prior reporting occurred and whether it was properly performed, </w:t>
      </w:r>
      <w:r w:rsidR="00C3718B" w:rsidRPr="00222909">
        <w:rPr>
          <w:szCs w:val="24"/>
        </w:rPr>
        <w:t>satisfies</w:t>
      </w:r>
      <w:r w:rsidRPr="00222909">
        <w:rPr>
          <w:szCs w:val="24"/>
        </w:rPr>
        <w:t xml:space="preserve"> current reporting requirements, or identify potential reimbursement obligations and determine the status of Medicare reimbursement claims.  In some cases, relevant records may no longer exist.</w:t>
      </w:r>
    </w:p>
    <w:p w14:paraId="1EAFC32A" w14:textId="77777777" w:rsidR="004F0560" w:rsidRPr="00222909" w:rsidRDefault="004F0560" w:rsidP="004F0560">
      <w:pPr>
        <w:jc w:val="both"/>
        <w:rPr>
          <w:szCs w:val="24"/>
        </w:rPr>
      </w:pPr>
    </w:p>
    <w:p w14:paraId="57DEF3EE" w14:textId="77777777" w:rsidR="004F0560" w:rsidRPr="00222909" w:rsidRDefault="004F0560" w:rsidP="004F0560">
      <w:pPr>
        <w:jc w:val="both"/>
        <w:rPr>
          <w:szCs w:val="24"/>
        </w:rPr>
      </w:pPr>
      <w:r w:rsidRPr="00222909">
        <w:rPr>
          <w:szCs w:val="24"/>
        </w:rPr>
        <w:t>Receivers should assess the completeness and reliability of available data as early as practicable and preserve information reasonably necessary to satisfy any unfulfilled or continuing MSP obligations.</w:t>
      </w:r>
    </w:p>
    <w:p w14:paraId="1F40CADA" w14:textId="77777777" w:rsidR="004F0560" w:rsidRPr="00222909" w:rsidRDefault="004F0560" w:rsidP="004F0560">
      <w:pPr>
        <w:pStyle w:val="ListParagraph"/>
        <w:ind w:left="1440"/>
        <w:jc w:val="both"/>
        <w:rPr>
          <w:szCs w:val="24"/>
        </w:rPr>
      </w:pPr>
    </w:p>
    <w:p w14:paraId="13B2DB6C" w14:textId="77777777" w:rsidR="004F0560" w:rsidRPr="00222909" w:rsidRDefault="004F0560" w:rsidP="004F0560">
      <w:pPr>
        <w:jc w:val="both"/>
        <w:rPr>
          <w:szCs w:val="24"/>
        </w:rPr>
      </w:pPr>
      <w:r w:rsidRPr="00222909">
        <w:rPr>
          <w:szCs w:val="24"/>
        </w:rPr>
        <w:t>Where material deficiencies are identified, the receiver should document those deficiencies, the reasonable efforts undertaken to obtain missing information, and the effect of those deficiencies on the administration of the estate.</w:t>
      </w:r>
    </w:p>
    <w:p w14:paraId="4C374357" w14:textId="4F5C7988" w:rsidR="0040156B" w:rsidRPr="00B23917" w:rsidRDefault="0040156B" w:rsidP="00B23917">
      <w:pPr>
        <w:widowControl/>
        <w:spacing w:after="160" w:line="276" w:lineRule="auto"/>
        <w:rPr>
          <w:szCs w:val="24"/>
        </w:rPr>
      </w:pPr>
    </w:p>
    <w:p w14:paraId="6AFF83D8" w14:textId="47C7849D" w:rsidR="001433B7" w:rsidRPr="00B23917" w:rsidRDefault="001005B5" w:rsidP="00E2299F">
      <w:pPr>
        <w:pStyle w:val="ListParagraph"/>
        <w:numPr>
          <w:ilvl w:val="0"/>
          <w:numId w:val="5"/>
        </w:numPr>
        <w:rPr>
          <w:b/>
          <w:bCs/>
          <w:caps/>
          <w:szCs w:val="24"/>
        </w:rPr>
      </w:pPr>
      <w:r w:rsidRPr="00B23917">
        <w:rPr>
          <w:b/>
          <w:bCs/>
          <w:caps/>
          <w:szCs w:val="24"/>
        </w:rPr>
        <w:t>Reimbursement Best Practices</w:t>
      </w:r>
    </w:p>
    <w:p w14:paraId="5DEFED20" w14:textId="77777777" w:rsidR="0040156B" w:rsidRPr="00B23917" w:rsidRDefault="0040156B" w:rsidP="0040156B">
      <w:pPr>
        <w:pStyle w:val="ListParagraph"/>
        <w:rPr>
          <w:b/>
          <w:bCs/>
          <w:caps/>
          <w:szCs w:val="24"/>
        </w:rPr>
      </w:pPr>
    </w:p>
    <w:p w14:paraId="36B83FAB" w14:textId="77777777" w:rsidR="001433B7" w:rsidRPr="00222909" w:rsidRDefault="001433B7" w:rsidP="001433B7">
      <w:pPr>
        <w:pStyle w:val="ListParagraph"/>
        <w:ind w:left="0"/>
        <w:jc w:val="both"/>
        <w:rPr>
          <w:snapToGrid/>
          <w:szCs w:val="24"/>
        </w:rPr>
      </w:pPr>
      <w:r w:rsidRPr="00222909">
        <w:rPr>
          <w:szCs w:val="24"/>
        </w:rPr>
        <w:t>The receiver should evaluate potential reimbursement obligations independently from reporting obligations.  Completion of required reporting does not resolve Medicare’s reimbursement rights.</w:t>
      </w:r>
    </w:p>
    <w:p w14:paraId="556F517F" w14:textId="77777777" w:rsidR="001433B7" w:rsidRPr="00222909" w:rsidRDefault="001433B7" w:rsidP="001433B7">
      <w:pPr>
        <w:pStyle w:val="ListParagraph"/>
        <w:ind w:left="0"/>
        <w:jc w:val="both"/>
        <w:rPr>
          <w:szCs w:val="24"/>
        </w:rPr>
      </w:pPr>
    </w:p>
    <w:p w14:paraId="2A964ED4" w14:textId="266BA2DB" w:rsidR="001433B7" w:rsidRPr="00222909" w:rsidRDefault="001433B7" w:rsidP="001433B7">
      <w:pPr>
        <w:pStyle w:val="ListParagraph"/>
        <w:ind w:left="0"/>
        <w:jc w:val="both"/>
        <w:rPr>
          <w:szCs w:val="24"/>
        </w:rPr>
      </w:pPr>
      <w:r w:rsidRPr="00222909">
        <w:rPr>
          <w:szCs w:val="24"/>
        </w:rPr>
        <w:t xml:space="preserve">Reasonable procedures should be established to identify </w:t>
      </w:r>
      <w:r w:rsidR="00F607E3" w:rsidRPr="00222909">
        <w:rPr>
          <w:szCs w:val="24"/>
        </w:rPr>
        <w:t>existing</w:t>
      </w:r>
      <w:r w:rsidRPr="00222909">
        <w:rPr>
          <w:szCs w:val="24"/>
        </w:rPr>
        <w:t xml:space="preserve"> reimbursement claims, detect potential conditional and mistaken payments, evaluate reimbursement obligations, document reimbursement decisions, and collect and retain supporting records.  Where material reimbursement obligations are disputed or uncertain, the receiver should evaluate whether additional investigation, appropriate reserves, other protective measures, or court direction is warranted before making distributions that could impair the estate’s ability to address those obligations.</w:t>
      </w:r>
    </w:p>
    <w:p w14:paraId="635ADEC0" w14:textId="77777777" w:rsidR="001433B7" w:rsidRPr="00222909" w:rsidRDefault="001433B7" w:rsidP="001433B7">
      <w:pPr>
        <w:pStyle w:val="ListParagraph"/>
        <w:ind w:left="0"/>
        <w:jc w:val="both"/>
        <w:rPr>
          <w:szCs w:val="24"/>
        </w:rPr>
      </w:pPr>
    </w:p>
    <w:p w14:paraId="30204D62" w14:textId="77777777" w:rsidR="001433B7" w:rsidRPr="00222909" w:rsidRDefault="001433B7" w:rsidP="001433B7">
      <w:pPr>
        <w:pStyle w:val="ListParagraph"/>
        <w:ind w:left="0"/>
        <w:jc w:val="both"/>
        <w:rPr>
          <w:szCs w:val="24"/>
        </w:rPr>
      </w:pPr>
      <w:r w:rsidRPr="00222909">
        <w:rPr>
          <w:szCs w:val="24"/>
        </w:rPr>
        <w:t>The receiver should make reasonable efforts to determine whether the amount asserted by Medicare is subject to any applicable reduction or offset.</w:t>
      </w:r>
      <w:r w:rsidRPr="00222909">
        <w:rPr>
          <w:rStyle w:val="FootnoteReference"/>
          <w:szCs w:val="24"/>
        </w:rPr>
        <w:footnoteReference w:id="61"/>
      </w:r>
      <w:r w:rsidRPr="00222909">
        <w:rPr>
          <w:szCs w:val="24"/>
        </w:rPr>
        <w:t xml:space="preserve">  Coordination with insureds, claimants, their respective representatives, and other interested parties may assist in identifying applicable reductions or offsets, litigation expenses, or other matters recognized by applicable law or CMS guidance that affect the amount of Medicare’s reimbursement claim.  Documentation supporting any reduction, offset, or reimbursement determination should be collected and preserved.</w:t>
      </w:r>
    </w:p>
    <w:p w14:paraId="62457613" w14:textId="77777777" w:rsidR="001433B7" w:rsidRPr="00222909" w:rsidRDefault="001433B7" w:rsidP="001433B7">
      <w:pPr>
        <w:pStyle w:val="ListParagraph"/>
        <w:ind w:left="0"/>
        <w:jc w:val="both"/>
        <w:rPr>
          <w:szCs w:val="24"/>
        </w:rPr>
      </w:pPr>
    </w:p>
    <w:p w14:paraId="1DCFB010" w14:textId="77777777" w:rsidR="001433B7" w:rsidRPr="00222909" w:rsidRDefault="001433B7" w:rsidP="001433B7">
      <w:pPr>
        <w:pStyle w:val="ListParagraph"/>
        <w:ind w:left="0"/>
        <w:jc w:val="both"/>
        <w:rPr>
          <w:szCs w:val="24"/>
        </w:rPr>
      </w:pPr>
      <w:r w:rsidRPr="00222909">
        <w:rPr>
          <w:szCs w:val="24"/>
        </w:rPr>
        <w:t xml:space="preserve">In appropriate circumstances, reimbursement issues may be addressed through coordination with the insured, the claimant, or their respective representatives, including agreements allocating operational responsibility for reimbursement administration outside the estate and requiring indemnification of the </w:t>
      </w:r>
      <w:r w:rsidRPr="00222909">
        <w:rPr>
          <w:szCs w:val="24"/>
        </w:rPr>
        <w:lastRenderedPageBreak/>
        <w:t>estate in the event of noncompliance.  Subject to applicable law and court approval, such arrangements may be incorporated into claims-administration procedures or imposed by court order as a condition precedent to distribution.  Although these arrangements may reduce the receiver’s administrative burden and mitigate potential liability or financial exposure, they do not necessarily eliminate risk.  Any allocation or indemnification agreement binds only the parties to it and does not, by itself, restrict the recovery rights of the United States.  Accordingly, the receiver should evaluate whether the proposed arrangements provide adequate protection under the circumstances, taking into account factors such as the financial ability of the indemnifying party to satisfy its obligations, the completeness and reliability of available information, the magnitude of the potential exposure, and whether additional safeguards are warranted.  These arrangements should therefore be viewed as one component of the receiver’s overall risk assessment and should not necessarily replace other appropriate safeguards where material exposure remains.  The receiver should distinguish between contractual arrangements governing the administration of reimbursement obligations and Medicare’s independent statutory recovery rights.</w:t>
      </w:r>
    </w:p>
    <w:p w14:paraId="43A224A3" w14:textId="77777777" w:rsidR="001433B7" w:rsidRPr="00222909" w:rsidRDefault="001433B7" w:rsidP="001433B7">
      <w:pPr>
        <w:pStyle w:val="ListParagraph"/>
        <w:ind w:left="0"/>
        <w:jc w:val="both"/>
        <w:rPr>
          <w:szCs w:val="24"/>
        </w:rPr>
      </w:pPr>
    </w:p>
    <w:p w14:paraId="3E645E5A" w14:textId="77777777" w:rsidR="001433B7" w:rsidRPr="00222909" w:rsidRDefault="001433B7" w:rsidP="001433B7">
      <w:pPr>
        <w:jc w:val="both"/>
        <w:rPr>
          <w:szCs w:val="24"/>
        </w:rPr>
      </w:pPr>
      <w:r w:rsidRPr="00222909">
        <w:rPr>
          <w:szCs w:val="24"/>
        </w:rPr>
        <w:t>Where material reimbursement obligations cannot be resolved before distributions, other than administrative expenses, the receiver should consider whether appropriate reserves or other protective measures are warranted under applicable law and the circumstances of the receivership.  Before making final distributions or seeking to close the estate, the receiver should make reasonable efforts to determine whether known or reasonably identifiable reimbursement obligations have been resolved and whether any unresolved obligations require additional protective measures, court direction, or other appropriate action.</w:t>
      </w:r>
    </w:p>
    <w:p w14:paraId="15CBA89F" w14:textId="77777777" w:rsidR="001433B7" w:rsidRPr="00B23917" w:rsidRDefault="001433B7" w:rsidP="005877BC">
      <w:pPr>
        <w:pStyle w:val="ListParagraph"/>
        <w:widowControl/>
        <w:spacing w:after="160" w:line="276" w:lineRule="auto"/>
        <w:ind w:left="2160"/>
        <w:rPr>
          <w:szCs w:val="24"/>
        </w:rPr>
      </w:pPr>
    </w:p>
    <w:p w14:paraId="3082B8D0" w14:textId="669076BD" w:rsidR="001005B5" w:rsidRPr="00222909" w:rsidRDefault="001005B5" w:rsidP="00B23917">
      <w:pPr>
        <w:pStyle w:val="ListParagraph"/>
        <w:numPr>
          <w:ilvl w:val="0"/>
          <w:numId w:val="36"/>
        </w:numPr>
        <w:jc w:val="both"/>
        <w:rPr>
          <w:b/>
          <w:bCs/>
          <w:szCs w:val="24"/>
        </w:rPr>
      </w:pPr>
      <w:r w:rsidRPr="00222909">
        <w:rPr>
          <w:b/>
          <w:bCs/>
          <w:szCs w:val="24"/>
        </w:rPr>
        <w:t xml:space="preserve">Does Receiver have the obligation to report if the GA is reporting? </w:t>
      </w:r>
    </w:p>
    <w:p w14:paraId="15DA7FE5" w14:textId="77777777" w:rsidR="009C0E5C" w:rsidRPr="00222909" w:rsidRDefault="009C0E5C" w:rsidP="009C0E5C">
      <w:pPr>
        <w:pStyle w:val="ListParagraph"/>
        <w:ind w:left="1080" w:hanging="360"/>
        <w:jc w:val="both"/>
        <w:rPr>
          <w:b/>
          <w:bCs/>
          <w:szCs w:val="24"/>
        </w:rPr>
      </w:pPr>
    </w:p>
    <w:p w14:paraId="132CCECF" w14:textId="77777777" w:rsidR="00AC7AD0" w:rsidRPr="00222909" w:rsidRDefault="00AC7AD0" w:rsidP="00AC7AD0">
      <w:pPr>
        <w:pStyle w:val="ListParagraph"/>
        <w:ind w:left="0"/>
        <w:jc w:val="both"/>
        <w:rPr>
          <w:snapToGrid/>
          <w:szCs w:val="24"/>
        </w:rPr>
      </w:pPr>
      <w:r w:rsidRPr="00222909">
        <w:rPr>
          <w:szCs w:val="24"/>
        </w:rPr>
        <w:t>Questions occasionally arise regarding whether a receiver has reporting obligations when a guaranty association pays, but does not report, covered claims, including where the receiver subsequently reimburses the guaranty association.  The answer may depend on the nature of the claims, the legal and operational responsibilities of the affected persons and entities, applicable law, and CMS guidance.</w:t>
      </w:r>
    </w:p>
    <w:p w14:paraId="3906847C" w14:textId="77777777" w:rsidR="00AC7AD0" w:rsidRPr="00222909" w:rsidRDefault="00AC7AD0" w:rsidP="00AC7AD0">
      <w:pPr>
        <w:pStyle w:val="ListParagraph"/>
        <w:ind w:left="0"/>
        <w:jc w:val="both"/>
        <w:rPr>
          <w:szCs w:val="24"/>
        </w:rPr>
      </w:pPr>
    </w:p>
    <w:p w14:paraId="4A15661C" w14:textId="77777777" w:rsidR="00AC7AD0" w:rsidRPr="00222909" w:rsidRDefault="00AC7AD0" w:rsidP="00AC7AD0">
      <w:pPr>
        <w:pStyle w:val="ListParagraph"/>
        <w:ind w:left="0"/>
        <w:jc w:val="both"/>
        <w:rPr>
          <w:szCs w:val="24"/>
        </w:rPr>
      </w:pPr>
      <w:r w:rsidRPr="00222909">
        <w:rPr>
          <w:szCs w:val="24"/>
        </w:rPr>
        <w:t>Rather than relying on assumptions or historical practice, the receiver should determine which person or entity is legally responsible for reporting each applicable category of claims and separately identify the person or entity that will perform any required reporting functions.  The receiver should document the resulting allocation of legal responsibilities and reporting functions and periodically confirm that the agreed reporting functions are being performed.  Where legal or operational responsibilities are divided, communication among the receiver, affected guaranty associations, and other responsible persons and entities should continue throughout the receivership to promote consistent administration and reduce the risk of gaps in reporting or duplicate reporting.</w:t>
      </w:r>
    </w:p>
    <w:p w14:paraId="31FB0A94" w14:textId="77777777" w:rsidR="00AC7AD0" w:rsidRPr="00222909" w:rsidRDefault="00AC7AD0" w:rsidP="00AC7AD0">
      <w:pPr>
        <w:pStyle w:val="ListParagraph"/>
        <w:ind w:left="1440"/>
        <w:jc w:val="both"/>
        <w:rPr>
          <w:szCs w:val="24"/>
        </w:rPr>
      </w:pPr>
    </w:p>
    <w:p w14:paraId="571D7126" w14:textId="77777777" w:rsidR="006B11EA" w:rsidRPr="00222909" w:rsidRDefault="001005B5" w:rsidP="00B23917">
      <w:pPr>
        <w:pStyle w:val="ListParagraph"/>
        <w:numPr>
          <w:ilvl w:val="0"/>
          <w:numId w:val="36"/>
        </w:numPr>
        <w:jc w:val="both"/>
        <w:rPr>
          <w:b/>
          <w:bCs/>
          <w:szCs w:val="24"/>
        </w:rPr>
      </w:pPr>
      <w:r w:rsidRPr="00222909">
        <w:rPr>
          <w:b/>
          <w:bCs/>
          <w:szCs w:val="24"/>
        </w:rPr>
        <w:t>Other or Unique Situation</w:t>
      </w:r>
      <w:r w:rsidR="006B11EA" w:rsidRPr="00222909">
        <w:rPr>
          <w:b/>
          <w:bCs/>
          <w:szCs w:val="24"/>
        </w:rPr>
        <w:t>s</w:t>
      </w:r>
    </w:p>
    <w:p w14:paraId="21F8D4C9" w14:textId="48A75966" w:rsidR="001005B5" w:rsidRPr="00222909" w:rsidRDefault="001005B5" w:rsidP="006B11EA">
      <w:pPr>
        <w:pStyle w:val="ListParagraph"/>
        <w:ind w:left="1080"/>
        <w:jc w:val="both"/>
        <w:rPr>
          <w:b/>
          <w:bCs/>
          <w:szCs w:val="24"/>
        </w:rPr>
      </w:pPr>
      <w:r w:rsidRPr="00222909">
        <w:rPr>
          <w:b/>
          <w:bCs/>
          <w:szCs w:val="24"/>
        </w:rPr>
        <w:t xml:space="preserve"> </w:t>
      </w:r>
    </w:p>
    <w:p w14:paraId="2423DA55" w14:textId="77777777" w:rsidR="00ED42C3" w:rsidRPr="00222909" w:rsidRDefault="00ED42C3" w:rsidP="00ED42C3">
      <w:pPr>
        <w:jc w:val="both"/>
        <w:rPr>
          <w:snapToGrid/>
          <w:szCs w:val="24"/>
        </w:rPr>
      </w:pPr>
      <w:r w:rsidRPr="00222909">
        <w:rPr>
          <w:szCs w:val="24"/>
        </w:rPr>
        <w:t xml:space="preserve">Certain lines of business, policy structures, or claim arrangements may present unique MSP issues requiring additional analysis.  Examples include large deductible workers’ compensation programs and other arrangements in which responsibility for payment is shared among multiple </w:t>
      </w:r>
      <w:proofErr w:type="gramStart"/>
      <w:r w:rsidRPr="00222909">
        <w:rPr>
          <w:szCs w:val="24"/>
        </w:rPr>
        <w:t>persons</w:t>
      </w:r>
      <w:proofErr w:type="gramEnd"/>
      <w:r w:rsidRPr="00222909">
        <w:rPr>
          <w:szCs w:val="24"/>
        </w:rPr>
        <w:t xml:space="preserve"> or entities.</w:t>
      </w:r>
    </w:p>
    <w:p w14:paraId="0E7BBA2F" w14:textId="77777777" w:rsidR="00ED42C3" w:rsidRPr="00222909" w:rsidRDefault="00ED42C3" w:rsidP="00ED42C3">
      <w:pPr>
        <w:jc w:val="both"/>
        <w:rPr>
          <w:szCs w:val="24"/>
        </w:rPr>
      </w:pPr>
    </w:p>
    <w:p w14:paraId="3BA2659B" w14:textId="52751CF8" w:rsidR="00ED42C3" w:rsidRPr="00222909" w:rsidRDefault="00ED42C3" w:rsidP="00ED42C3">
      <w:pPr>
        <w:jc w:val="both"/>
        <w:rPr>
          <w:szCs w:val="24"/>
        </w:rPr>
      </w:pPr>
      <w:r w:rsidRPr="00222909">
        <w:rPr>
          <w:szCs w:val="24"/>
        </w:rPr>
        <w:t xml:space="preserve">Receivers should identify these situations early and determine whether they affect reporting responsibilities, reimbursement obligations, or the allocation of legal responsibilities and administrative functions among the receivership estate, guaranty associations, insureds, or other interested </w:t>
      </w:r>
      <w:proofErr w:type="gramStart"/>
      <w:r w:rsidRPr="00222909">
        <w:rPr>
          <w:szCs w:val="24"/>
        </w:rPr>
        <w:t>persons</w:t>
      </w:r>
      <w:proofErr w:type="gramEnd"/>
      <w:r w:rsidRPr="00222909">
        <w:rPr>
          <w:szCs w:val="24"/>
        </w:rPr>
        <w:t xml:space="preserve"> or </w:t>
      </w:r>
      <w:r w:rsidRPr="00222909">
        <w:rPr>
          <w:szCs w:val="24"/>
        </w:rPr>
        <w:lastRenderedPageBreak/>
        <w:t>entities.  Where appropriate, the receiver should document those determinations and coordinate responsibilities with the affected persons and entities.</w:t>
      </w:r>
    </w:p>
    <w:p w14:paraId="04B8670B" w14:textId="5D573010" w:rsidR="006007BE" w:rsidRPr="00222909" w:rsidRDefault="006007BE">
      <w:pPr>
        <w:widowControl/>
        <w:spacing w:after="160" w:line="278" w:lineRule="auto"/>
        <w:rPr>
          <w:b/>
          <w:bCs/>
          <w:caps/>
          <w:szCs w:val="24"/>
        </w:rPr>
      </w:pPr>
    </w:p>
    <w:sectPr w:rsidR="006007BE" w:rsidRPr="00222909" w:rsidSect="00154E40">
      <w:headerReference w:type="default" r:id="rId14"/>
      <w:footerReference w:type="default" r:id="rId15"/>
      <w:headerReference w:type="first" r:id="rId16"/>
      <w:footerReference w:type="first" r:id="rId17"/>
      <w:endnotePr>
        <w:numFmt w:val="decimal"/>
      </w:endnotePr>
      <w:pgSz w:w="12240" w:h="15840" w:code="1"/>
      <w:pgMar w:top="720" w:right="1080" w:bottom="1440" w:left="108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4C80F" w14:textId="77777777" w:rsidR="0024712B" w:rsidRDefault="0024712B" w:rsidP="0051753B">
      <w:r>
        <w:separator/>
      </w:r>
    </w:p>
  </w:endnote>
  <w:endnote w:type="continuationSeparator" w:id="0">
    <w:p w14:paraId="615EAA65" w14:textId="77777777" w:rsidR="0024712B" w:rsidRDefault="0024712B" w:rsidP="00517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23885"/>
      <w:docPartObj>
        <w:docPartGallery w:val="Page Numbers (Bottom of Page)"/>
        <w:docPartUnique/>
      </w:docPartObj>
    </w:sdtPr>
    <w:sdtEndPr>
      <w:rPr>
        <w:noProof/>
      </w:rPr>
    </w:sdtEndPr>
    <w:sdtContent>
      <w:p w14:paraId="7584738E" w14:textId="77777777" w:rsidR="00154E40" w:rsidRDefault="00154E40">
        <w:pPr>
          <w:pStyle w:val="Footer"/>
          <w:jc w:val="center"/>
        </w:pPr>
      </w:p>
      <w:p w14:paraId="6C5DF8FC" w14:textId="30317C90" w:rsidR="00E20B8C" w:rsidRDefault="00E20B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6A702A" w14:textId="77777777" w:rsidR="00E20B8C" w:rsidRDefault="00E20B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4322F" w14:textId="77777777" w:rsidR="0051753B" w:rsidRDefault="0051753B">
    <w:pPr>
      <w:pStyle w:val="Footer"/>
      <w:jc w:val="center"/>
    </w:pPr>
  </w:p>
  <w:sdt>
    <w:sdtPr>
      <w:id w:val="1943492076"/>
      <w:docPartObj>
        <w:docPartGallery w:val="Page Numbers (Bottom of Page)"/>
        <w:docPartUnique/>
      </w:docPartObj>
    </w:sdtPr>
    <w:sdtEndPr>
      <w:rPr>
        <w:noProof/>
      </w:rPr>
    </w:sdtEndPr>
    <w:sdtContent>
      <w:p w14:paraId="59BE422E" w14:textId="445E0720" w:rsidR="0051753B" w:rsidRDefault="005175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965BF" w14:textId="77777777" w:rsidR="0024712B" w:rsidRDefault="0024712B" w:rsidP="0051753B">
      <w:r>
        <w:separator/>
      </w:r>
    </w:p>
  </w:footnote>
  <w:footnote w:type="continuationSeparator" w:id="0">
    <w:p w14:paraId="2661FECC" w14:textId="77777777" w:rsidR="0024712B" w:rsidRDefault="0024712B" w:rsidP="0051753B">
      <w:r>
        <w:continuationSeparator/>
      </w:r>
    </w:p>
  </w:footnote>
  <w:footnote w:id="1">
    <w:p w14:paraId="09A7E86A" w14:textId="77777777" w:rsidR="00FE2806" w:rsidRPr="00C0467A" w:rsidRDefault="00FE2806" w:rsidP="001F1F6D">
      <w:pPr>
        <w:pStyle w:val="FootnoteText"/>
        <w:rPr>
          <w:color w:val="3A7C22" w:themeColor="accent6" w:themeShade="BF"/>
        </w:rPr>
      </w:pPr>
      <w:r w:rsidRPr="00154E40">
        <w:rPr>
          <w:rStyle w:val="FootnoteReference"/>
        </w:rPr>
        <w:footnoteRef/>
      </w:r>
      <w:r w:rsidRPr="00154E40">
        <w:t xml:space="preserve">  For purposes of this chapter, “reporting” refers to the submission of information required by 42 U.S.C. § 1395y(b)(7) and (8), related regulations, and Centers for Medicare &amp; Medicaid Services guidance, while “reimbursement” refers to the resolution of Medicare’s right to recover conditional or mistaken payments under 42 U.S.C. § 1395y(b)(2)(B)(ii), related regulations, and Centers for Medicare &amp; Medicaid Services guidance.  </w:t>
      </w:r>
      <w:r w:rsidRPr="00154E40">
        <w:rPr>
          <w:i/>
          <w:iCs/>
        </w:rPr>
        <w:t xml:space="preserve">See, generally, </w:t>
      </w:r>
      <w:r w:rsidRPr="00154E40">
        <w:t xml:space="preserve">42 U.S.C. § 1395y(b).  </w:t>
      </w:r>
      <w:r w:rsidRPr="00154E40">
        <w:rPr>
          <w:i/>
          <w:iCs/>
        </w:rPr>
        <w:t>See also</w:t>
      </w:r>
      <w:r w:rsidRPr="00154E40">
        <w:t xml:space="preserve"> 42 C.F.R. § parts 402; 42 C.F.R. § part 411, subpart B; 42 C.F.R. § part 1005; 45 C.F.R. § part 102.</w:t>
      </w:r>
    </w:p>
  </w:footnote>
  <w:footnote w:id="2">
    <w:p w14:paraId="6719AF45" w14:textId="77777777" w:rsidR="005775A0" w:rsidRDefault="005775A0" w:rsidP="001F1F6D">
      <w:pPr>
        <w:pStyle w:val="FootnoteText"/>
      </w:pPr>
      <w:r>
        <w:rPr>
          <w:rStyle w:val="FootnoteReference"/>
        </w:rPr>
        <w:footnoteRef/>
      </w:r>
      <w:r>
        <w:t xml:space="preserve">  </w:t>
      </w:r>
      <w:r>
        <w:rPr>
          <w:i/>
          <w:iCs/>
        </w:rPr>
        <w:t xml:space="preserve">See </w:t>
      </w:r>
      <w:hyperlink r:id="rId1" w:history="1">
        <w:r>
          <w:rPr>
            <w:rStyle w:val="Hyperlink"/>
          </w:rPr>
          <w:t>https://www.cms.gov/files/document/mmsea-111-july-13-2026-nghp-user-guide-version-8-5-chapter-i-introduction-overview.pdf</w:t>
        </w:r>
      </w:hyperlink>
      <w:r>
        <w:t xml:space="preserve"> (last accessed July 14, 2026); </w:t>
      </w:r>
      <w:hyperlink r:id="rId2" w:history="1">
        <w:r>
          <w:rPr>
            <w:rStyle w:val="Hyperlink"/>
          </w:rPr>
          <w:t>https://www.cms.gov/files/document/mmsea-section-111-ghp-user-guide-version-7-9-july-13-2026.pdf</w:t>
        </w:r>
      </w:hyperlink>
      <w:r>
        <w:t xml:space="preserve"> (last accessed July 14, 2026).</w:t>
      </w:r>
    </w:p>
  </w:footnote>
  <w:footnote w:id="3">
    <w:p w14:paraId="5F65C69A" w14:textId="77777777" w:rsidR="005775A0" w:rsidRDefault="005775A0" w:rsidP="001F1F6D">
      <w:pPr>
        <w:pStyle w:val="FootnoteText"/>
      </w:pPr>
    </w:p>
    <w:p w14:paraId="5E80E84C" w14:textId="77777777" w:rsidR="005775A0" w:rsidRDefault="005775A0" w:rsidP="001F1F6D">
      <w:pPr>
        <w:pStyle w:val="FootnoteText"/>
      </w:pPr>
      <w:r>
        <w:rPr>
          <w:rStyle w:val="FootnoteReference"/>
        </w:rPr>
        <w:footnoteRef/>
      </w:r>
      <w:r>
        <w:t xml:space="preserve">  </w:t>
      </w:r>
      <w:r>
        <w:rPr>
          <w:i/>
          <w:iCs/>
        </w:rPr>
        <w:t xml:space="preserve">See </w:t>
      </w:r>
      <w:hyperlink r:id="rId3" w:history="1">
        <w:r>
          <w:rPr>
            <w:rStyle w:val="Hyperlink"/>
          </w:rPr>
          <w:t>https://www.cms.gov/files/document/mmsea-111-july-13-2026-nghp-user-guide-version-8-5-chapter-i-introduction-overview.pdf</w:t>
        </w:r>
      </w:hyperlink>
      <w:r>
        <w:t xml:space="preserve"> (last accessed July 14, 2026); </w:t>
      </w:r>
      <w:hyperlink r:id="rId4" w:history="1">
        <w:r>
          <w:rPr>
            <w:rStyle w:val="Hyperlink"/>
          </w:rPr>
          <w:t>https://www.cms.gov/files/document/mmsea-111-july-13-2026-nghp-user-guide-version-8-5-chapter-iii-policy-guidance.pdf</w:t>
        </w:r>
      </w:hyperlink>
      <w:r>
        <w:t xml:space="preserve"> (last accessed July 30, 2026); </w:t>
      </w:r>
      <w:hyperlink r:id="rId5" w:history="1">
        <w:r>
          <w:rPr>
            <w:rStyle w:val="Hyperlink"/>
          </w:rPr>
          <w:t>https://www.cms.gov/files/document/mmsea-section-111-ghp-user-guide-version-7-9-july-13-2026.pdf</w:t>
        </w:r>
      </w:hyperlink>
      <w:r>
        <w:t xml:space="preserve"> (last accessed July 14, 2026).</w:t>
      </w:r>
    </w:p>
  </w:footnote>
  <w:footnote w:id="4">
    <w:p w14:paraId="3EF7F15B" w14:textId="77777777" w:rsidR="001B4260" w:rsidRPr="00B23917" w:rsidRDefault="001B4260" w:rsidP="001F1F6D">
      <w:pPr>
        <w:pStyle w:val="FootnoteText"/>
        <w:jc w:val="both"/>
        <w:rPr>
          <w:i/>
          <w:iCs/>
        </w:rPr>
      </w:pPr>
      <w:r w:rsidRPr="00B23917">
        <w:rPr>
          <w:rStyle w:val="FootnoteReference"/>
        </w:rPr>
        <w:footnoteRef/>
      </w:r>
      <w:r w:rsidRPr="00B23917">
        <w:t xml:space="preserve">  </w:t>
      </w:r>
      <w:r w:rsidRPr="00B23917">
        <w:rPr>
          <w:i/>
          <w:iCs/>
        </w:rPr>
        <w:t xml:space="preserve">See, generally, </w:t>
      </w:r>
      <w:r w:rsidRPr="00B23917">
        <w:t>42 U.S.C. §§ 1395y(b)(2)(B)(ii), (b)(7), and (b)(8).</w:t>
      </w:r>
    </w:p>
  </w:footnote>
  <w:footnote w:id="5">
    <w:p w14:paraId="48F2F9F0" w14:textId="77777777" w:rsidR="001B4260" w:rsidRPr="00B23917" w:rsidRDefault="001B4260" w:rsidP="001F1F6D">
      <w:pPr>
        <w:pStyle w:val="FootnoteText"/>
        <w:jc w:val="both"/>
      </w:pPr>
    </w:p>
    <w:p w14:paraId="2C6B553D" w14:textId="77777777" w:rsidR="001B4260" w:rsidRPr="00B23917" w:rsidRDefault="001B4260" w:rsidP="001F1F6D">
      <w:pPr>
        <w:pStyle w:val="FootnoteText"/>
        <w:jc w:val="both"/>
      </w:pPr>
      <w:r w:rsidRPr="00B23917">
        <w:rPr>
          <w:rStyle w:val="FootnoteReference"/>
        </w:rPr>
        <w:footnoteRef/>
      </w:r>
      <w:r w:rsidRPr="00B23917">
        <w:t xml:space="preserve">  </w:t>
      </w:r>
      <w:r w:rsidRPr="00B23917">
        <w:rPr>
          <w:i/>
          <w:iCs/>
        </w:rPr>
        <w:t xml:space="preserve">See </w:t>
      </w:r>
      <w:r w:rsidRPr="00B23917">
        <w:t>42 U.S.C. § 1395y(b)(2)(A).</w:t>
      </w:r>
    </w:p>
  </w:footnote>
  <w:footnote w:id="6">
    <w:p w14:paraId="2CB1D1F7" w14:textId="77777777" w:rsidR="001B4260" w:rsidRDefault="001B4260" w:rsidP="001F1F6D">
      <w:pPr>
        <w:pStyle w:val="FootnoteText"/>
        <w:jc w:val="both"/>
      </w:pPr>
    </w:p>
    <w:p w14:paraId="3CD0AB2D" w14:textId="77777777" w:rsidR="001B4260" w:rsidRDefault="001B4260" w:rsidP="001F1F6D">
      <w:pPr>
        <w:pStyle w:val="FootnoteText"/>
        <w:jc w:val="both"/>
      </w:pPr>
      <w:r>
        <w:rPr>
          <w:rStyle w:val="FootnoteReference"/>
        </w:rPr>
        <w:footnoteRef/>
      </w:r>
      <w:r>
        <w:t xml:space="preserve">  42 U.S.C. § 1395y(b)(2)(B)(i).  </w:t>
      </w:r>
    </w:p>
    <w:p w14:paraId="56B67293" w14:textId="77777777" w:rsidR="008A7C8F" w:rsidRDefault="008A7C8F" w:rsidP="001F1F6D">
      <w:pPr>
        <w:pStyle w:val="FootnoteText"/>
        <w:jc w:val="both"/>
      </w:pPr>
    </w:p>
  </w:footnote>
  <w:footnote w:id="7">
    <w:p w14:paraId="0033948F" w14:textId="77777777" w:rsidR="005775A0" w:rsidRDefault="005775A0" w:rsidP="001F1F6D">
      <w:pPr>
        <w:pStyle w:val="FootnoteText"/>
      </w:pPr>
      <w:r>
        <w:t xml:space="preserve"> </w:t>
      </w:r>
      <w:r>
        <w:rPr>
          <w:rStyle w:val="FootnoteReference"/>
        </w:rPr>
        <w:footnoteRef/>
      </w:r>
      <w:r>
        <w:t xml:space="preserve">  </w:t>
      </w:r>
      <w:r>
        <w:rPr>
          <w:i/>
          <w:iCs/>
        </w:rPr>
        <w:t xml:space="preserve">See </w:t>
      </w:r>
      <w:hyperlink r:id="rId6" w:history="1">
        <w:r>
          <w:rPr>
            <w:rStyle w:val="Hyperlink"/>
          </w:rPr>
          <w:t>https://www.cms.gov/about-cms</w:t>
        </w:r>
      </w:hyperlink>
      <w:r>
        <w:t xml:space="preserve"> (last accessed July 14, 2026); </w:t>
      </w:r>
      <w:hyperlink r:id="rId7" w:history="1">
        <w:r>
          <w:rPr>
            <w:rStyle w:val="Hyperlink"/>
          </w:rPr>
          <w:t>https://www.cms.gov/medicare/coordination-benefits-recovery/overview</w:t>
        </w:r>
      </w:hyperlink>
      <w:r>
        <w:t xml:space="preserve"> (last accessed July 14, 2026); </w:t>
      </w:r>
      <w:hyperlink r:id="rId8" w:history="1">
        <w:r>
          <w:rPr>
            <w:rStyle w:val="Hyperlink"/>
          </w:rPr>
          <w:t>https://www.cms.gov/files/document/medicare-secondary-payer-commercial-repayment-center-fiscal-year-2023.pdf</w:t>
        </w:r>
      </w:hyperlink>
      <w:r>
        <w:t xml:space="preserve"> (last accessed July 14, 2026).</w:t>
      </w:r>
    </w:p>
  </w:footnote>
  <w:footnote w:id="8">
    <w:p w14:paraId="55D6CF18" w14:textId="77777777" w:rsidR="005775A0" w:rsidRDefault="005775A0" w:rsidP="001F1F6D">
      <w:pPr>
        <w:pStyle w:val="FootnoteText"/>
      </w:pPr>
    </w:p>
    <w:p w14:paraId="2CD3BED0" w14:textId="77777777" w:rsidR="005775A0" w:rsidRDefault="005775A0" w:rsidP="001F1F6D">
      <w:pPr>
        <w:pStyle w:val="FootnoteText"/>
      </w:pPr>
      <w:r>
        <w:rPr>
          <w:rStyle w:val="FootnoteReference"/>
        </w:rPr>
        <w:footnoteRef/>
      </w:r>
      <w:r>
        <w:t xml:space="preserve">  </w:t>
      </w:r>
      <w:r>
        <w:rPr>
          <w:i/>
          <w:iCs/>
        </w:rPr>
        <w:t xml:space="preserve">See </w:t>
      </w:r>
      <w:hyperlink r:id="rId9" w:history="1">
        <w:r>
          <w:rPr>
            <w:rStyle w:val="Hyperlink"/>
          </w:rPr>
          <w:t>https://www.cms.gov/medicare/coordination-benefits-recovery/overview</w:t>
        </w:r>
      </w:hyperlink>
      <w:r>
        <w:t xml:space="preserve"> (last accessed July 14, 2026); </w:t>
      </w:r>
      <w:hyperlink r:id="rId10" w:history="1">
        <w:r>
          <w:rPr>
            <w:rStyle w:val="Hyperlink"/>
          </w:rPr>
          <w:t>https://www.cms.gov/files/document/medicare-secondary-payer-commercial-repayment-center-fiscal-year-2023.pdf</w:t>
        </w:r>
      </w:hyperlink>
      <w:r>
        <w:t xml:space="preserve"> (last accessed July 14, 2026); </w:t>
      </w:r>
      <w:hyperlink r:id="rId11" w:history="1">
        <w:r>
          <w:rPr>
            <w:rStyle w:val="Hyperlink"/>
          </w:rPr>
          <w:t>https://www.cms.gov/regulations-and-guidance/guidance/manuals/internet-only-manuals-ioms-items/cms019017</w:t>
        </w:r>
      </w:hyperlink>
      <w:r>
        <w:t xml:space="preserve"> (last accessed July 14, 2026).</w:t>
      </w:r>
    </w:p>
  </w:footnote>
  <w:footnote w:id="9">
    <w:p w14:paraId="524BF36C" w14:textId="77777777" w:rsidR="005775A0" w:rsidRDefault="005775A0" w:rsidP="00B23917">
      <w:pPr>
        <w:pStyle w:val="FootnoteText"/>
      </w:pPr>
    </w:p>
    <w:p w14:paraId="46C66979" w14:textId="77777777" w:rsidR="005775A0" w:rsidRDefault="005775A0" w:rsidP="001F1F6D">
      <w:pPr>
        <w:pStyle w:val="FootnoteText"/>
      </w:pPr>
      <w:r>
        <w:rPr>
          <w:rStyle w:val="FootnoteReference"/>
        </w:rPr>
        <w:footnoteRef/>
      </w:r>
      <w:r>
        <w:t xml:space="preserve">  </w:t>
      </w:r>
      <w:r>
        <w:rPr>
          <w:i/>
          <w:iCs/>
        </w:rPr>
        <w:t xml:space="preserve">See </w:t>
      </w:r>
      <w:r>
        <w:t xml:space="preserve">31 U.S.C. § 3711(g); 28 U.S.C. § 516; </w:t>
      </w:r>
      <w:hyperlink r:id="rId12" w:history="1">
        <w:r>
          <w:rPr>
            <w:rStyle w:val="Hyperlink"/>
          </w:rPr>
          <w:t>https://www.cms.gov/files/document/chapter-7-msp-recovery.pdf</w:t>
        </w:r>
      </w:hyperlink>
      <w:r>
        <w:t xml:space="preserve"> (last accessed July 14, 2026); </w:t>
      </w:r>
      <w:hyperlink r:id="rId13" w:history="1">
        <w:r>
          <w:rPr>
            <w:rStyle w:val="Hyperlink"/>
          </w:rPr>
          <w:t>https://www.cms.gov/regulations-and-guidance/guidance/manuals/downloads/fin106c04pdf.pdf</w:t>
        </w:r>
      </w:hyperlink>
      <w:r>
        <w:t xml:space="preserve"> (last accessed July 14, 2026).</w:t>
      </w:r>
    </w:p>
  </w:footnote>
  <w:footnote w:id="10">
    <w:p w14:paraId="44C92EBC" w14:textId="77777777" w:rsidR="005775A0" w:rsidRDefault="005775A0" w:rsidP="001F1F6D">
      <w:pPr>
        <w:pStyle w:val="FootnoteText"/>
      </w:pPr>
    </w:p>
    <w:p w14:paraId="7512ABB9" w14:textId="77777777" w:rsidR="005775A0" w:rsidRDefault="005775A0" w:rsidP="001F1F6D">
      <w:pPr>
        <w:pStyle w:val="FootnoteText"/>
      </w:pPr>
      <w:r>
        <w:rPr>
          <w:rStyle w:val="FootnoteReference"/>
        </w:rPr>
        <w:footnoteRef/>
      </w:r>
      <w:r>
        <w:t xml:space="preserve">  </w:t>
      </w:r>
      <w:r>
        <w:rPr>
          <w:i/>
          <w:iCs/>
        </w:rPr>
        <w:t xml:space="preserve">See </w:t>
      </w:r>
      <w:r>
        <w:t>28 U.S.C. § 516;</w:t>
      </w:r>
      <w:r>
        <w:rPr>
          <w:i/>
          <w:iCs/>
        </w:rPr>
        <w:t xml:space="preserve"> </w:t>
      </w:r>
      <w:hyperlink r:id="rId14" w:history="1">
        <w:r>
          <w:rPr>
            <w:rStyle w:val="Hyperlink"/>
          </w:rPr>
          <w:t>https://www.cms.gov/regulations-and-guidance/guidance/manuals/downloads/fin106c04pdf.pdf</w:t>
        </w:r>
      </w:hyperlink>
      <w:r>
        <w:t xml:space="preserve"> (last accessed July 14, 2026).</w:t>
      </w:r>
    </w:p>
  </w:footnote>
  <w:footnote w:id="11">
    <w:p w14:paraId="6852D8B5" w14:textId="77777777" w:rsidR="005775A0" w:rsidRDefault="005775A0" w:rsidP="001F1F6D">
      <w:pPr>
        <w:pStyle w:val="FootnoteText"/>
      </w:pPr>
    </w:p>
    <w:p w14:paraId="4D508560" w14:textId="77777777" w:rsidR="005775A0" w:rsidRDefault="005775A0" w:rsidP="001F1F6D">
      <w:pPr>
        <w:pStyle w:val="FootnoteText"/>
      </w:pPr>
      <w:r>
        <w:rPr>
          <w:rStyle w:val="FootnoteReference"/>
        </w:rPr>
        <w:footnoteRef/>
      </w:r>
      <w:r>
        <w:t xml:space="preserve">  </w:t>
      </w:r>
      <w:r>
        <w:rPr>
          <w:i/>
          <w:iCs/>
        </w:rPr>
        <w:t>See</w:t>
      </w:r>
      <w:r>
        <w:t xml:space="preserve"> 31 U.S.C. § 3713.</w:t>
      </w:r>
    </w:p>
  </w:footnote>
  <w:footnote w:id="12">
    <w:p w14:paraId="251983C0" w14:textId="77777777" w:rsidR="005775A0" w:rsidRDefault="005775A0" w:rsidP="001F1F6D">
      <w:pPr>
        <w:pStyle w:val="FootnoteText"/>
      </w:pPr>
      <w:r>
        <w:rPr>
          <w:rStyle w:val="FootnoteReference"/>
        </w:rPr>
        <w:footnoteRef/>
      </w:r>
      <w:r>
        <w:t xml:space="preserve">  </w:t>
      </w:r>
      <w:r>
        <w:rPr>
          <w:i/>
          <w:iCs/>
        </w:rPr>
        <w:t xml:space="preserve">See </w:t>
      </w:r>
      <w:r>
        <w:t xml:space="preserve">42 U.S.C. § 1395y(b)(2)(B)(ii), (b)(7), and (b)(8); 42 C.F.R. § part 411, subpart B; </w:t>
      </w:r>
      <w:hyperlink r:id="rId15" w:history="1">
        <w:r>
          <w:rPr>
            <w:rStyle w:val="Hyperlink"/>
          </w:rPr>
          <w:t>https://www.cms.gov/medicare/coordination-of-benefits-and-recovery/mandatory-insurer-reporting-for-non-group-health-plans/nghp-training-material/downloads/query-file.pdf</w:t>
        </w:r>
      </w:hyperlink>
      <w:r>
        <w:t xml:space="preserve"> (last accessed July 14, 2026); </w:t>
      </w:r>
      <w:hyperlink r:id="rId16" w:history="1">
        <w:r>
          <w:rPr>
            <w:rStyle w:val="Hyperlink"/>
          </w:rPr>
          <w:t>https://www.cms.gov/medicare/coordination-of-benefits-and-recovery/mandatory-insurer-reporting-for-non-group-health-plans/nghp-training-material/downloads/beneficiary-lookup.pdf</w:t>
        </w:r>
      </w:hyperlink>
      <w:r>
        <w:t xml:space="preserve"> (last accessed July 14, 2026); </w:t>
      </w:r>
      <w:hyperlink r:id="rId17" w:history="1">
        <w:r>
          <w:rPr>
            <w:rStyle w:val="Hyperlink"/>
          </w:rPr>
          <w:t>https://www.cms.gov/medicare/coordination-of-benefits-and-recovery/mandatory-insurer-reporting-for-group-health-plans/ghp-training-material/downloads/querying-for-medicare-entitlement-information.pdf</w:t>
        </w:r>
      </w:hyperlink>
      <w:r>
        <w:t xml:space="preserve"> (last accessed July 14, 2026).</w:t>
      </w:r>
    </w:p>
    <w:p w14:paraId="5EE0285A" w14:textId="77777777" w:rsidR="005775A0" w:rsidRDefault="005775A0" w:rsidP="001F1F6D">
      <w:pPr>
        <w:pStyle w:val="FootnoteText"/>
        <w:rPr>
          <w:i/>
          <w:iCs/>
        </w:rPr>
      </w:pPr>
    </w:p>
  </w:footnote>
  <w:footnote w:id="13">
    <w:p w14:paraId="5878E919" w14:textId="77777777" w:rsidR="005775A0" w:rsidRDefault="005775A0" w:rsidP="001F1F6D">
      <w:pPr>
        <w:pStyle w:val="FootnoteText"/>
      </w:pPr>
      <w:r>
        <w:rPr>
          <w:rStyle w:val="FootnoteReference"/>
        </w:rPr>
        <w:footnoteRef/>
      </w:r>
      <w:r>
        <w:t xml:space="preserve"> </w:t>
      </w:r>
      <w:r>
        <w:rPr>
          <w:i/>
          <w:iCs/>
        </w:rPr>
        <w:t xml:space="preserve">See, e.g., </w:t>
      </w:r>
      <w:r>
        <w:t>42 C.F.R. § 402.1 (c)(22)(ii)(A).</w:t>
      </w:r>
    </w:p>
  </w:footnote>
  <w:footnote w:id="14">
    <w:p w14:paraId="31934D35" w14:textId="77777777" w:rsidR="005775A0" w:rsidRDefault="005775A0" w:rsidP="001F1F6D">
      <w:pPr>
        <w:pStyle w:val="FootnoteText"/>
      </w:pPr>
    </w:p>
    <w:p w14:paraId="7B05BE05" w14:textId="77777777" w:rsidR="005775A0" w:rsidRDefault="005775A0" w:rsidP="001F1F6D">
      <w:pPr>
        <w:pStyle w:val="FootnoteText"/>
      </w:pPr>
      <w:r>
        <w:rPr>
          <w:rStyle w:val="FootnoteReference"/>
        </w:rPr>
        <w:footnoteRef/>
      </w:r>
      <w:r>
        <w:t xml:space="preserve"> </w:t>
      </w:r>
      <w:r>
        <w:rPr>
          <w:i/>
          <w:iCs/>
        </w:rPr>
        <w:t xml:space="preserve">See </w:t>
      </w:r>
      <w:r>
        <w:t>42 U.S.C. § 1395y(b)(2)(B)(ii), (b)(7), and (b)(8); 42 C.F.R. § part 411, subpart B.</w:t>
      </w:r>
    </w:p>
  </w:footnote>
  <w:footnote w:id="15">
    <w:p w14:paraId="223CDB59" w14:textId="77777777" w:rsidR="00011F8C" w:rsidRDefault="00011F8C" w:rsidP="001F1F6D">
      <w:pPr>
        <w:pStyle w:val="FootnoteText"/>
      </w:pPr>
      <w:r>
        <w:rPr>
          <w:rStyle w:val="FootnoteReference"/>
        </w:rPr>
        <w:footnoteRef/>
      </w:r>
      <w:r>
        <w:t xml:space="preserve">  </w:t>
      </w:r>
      <w:r>
        <w:rPr>
          <w:i/>
          <w:iCs/>
        </w:rPr>
        <w:t xml:space="preserve">E.g., California Ins. Guarantee </w:t>
      </w:r>
      <w:proofErr w:type="spellStart"/>
      <w:r>
        <w:rPr>
          <w:i/>
          <w:iCs/>
        </w:rPr>
        <w:t>Ass’n</w:t>
      </w:r>
      <w:proofErr w:type="spellEnd"/>
      <w:r>
        <w:rPr>
          <w:i/>
          <w:iCs/>
        </w:rPr>
        <w:t xml:space="preserve"> v. Azar</w:t>
      </w:r>
      <w:r>
        <w:t xml:space="preserve">, 940 F.3d 1061 (9th Cir. 2019); </w:t>
      </w:r>
      <w:r>
        <w:rPr>
          <w:i/>
          <w:iCs/>
        </w:rPr>
        <w:t>Illinois Ins. Guar. Fund v. Becerra</w:t>
      </w:r>
      <w:r>
        <w:t>, No. 24 C 1522, 2025 WL 240930 (N.D. Ill. Jan. 17, 2025).</w:t>
      </w:r>
    </w:p>
    <w:p w14:paraId="13B79BCF" w14:textId="77777777" w:rsidR="00011F8C" w:rsidRDefault="00011F8C" w:rsidP="00011F8C">
      <w:pPr>
        <w:pStyle w:val="FootnoteText"/>
        <w:ind w:firstLine="720"/>
      </w:pPr>
    </w:p>
  </w:footnote>
  <w:footnote w:id="16">
    <w:p w14:paraId="10F8C1FC" w14:textId="77777777" w:rsidR="006E0BF3" w:rsidRDefault="006E0BF3" w:rsidP="00F44DA2">
      <w:pPr>
        <w:pStyle w:val="FootnoteText"/>
        <w:jc w:val="both"/>
      </w:pPr>
      <w:r>
        <w:rPr>
          <w:rStyle w:val="FootnoteReference"/>
        </w:rPr>
        <w:footnoteRef/>
      </w:r>
      <w:r>
        <w:t xml:space="preserve">  </w:t>
      </w:r>
      <w:r>
        <w:rPr>
          <w:i/>
          <w:iCs/>
        </w:rPr>
        <w:t>See</w:t>
      </w:r>
      <w:r>
        <w:t xml:space="preserve"> </w:t>
      </w:r>
      <w:hyperlink r:id="rId18" w:history="1">
        <w:r>
          <w:rPr>
            <w:rStyle w:val="Hyperlink"/>
          </w:rPr>
          <w:t>https://www.cms.gov/files/document/mmsea-111-july-13-2026-nghp-user-guide-version-8-5-chapter-iv-technical-information.pdf</w:t>
        </w:r>
      </w:hyperlink>
      <w:r>
        <w:t xml:space="preserve"> (last accessed July 14, 2026); </w:t>
      </w:r>
      <w:hyperlink r:id="rId19" w:history="1">
        <w:r>
          <w:rPr>
            <w:rStyle w:val="Hyperlink"/>
          </w:rPr>
          <w:t>https://www.cms.gov/files/document/mmsea-section-111-ghp-user-guide-version-7-9-july-13-2026.pdf</w:t>
        </w:r>
      </w:hyperlink>
      <w:r>
        <w:t xml:space="preserve"> (last accessed July 14, 2026).</w:t>
      </w:r>
    </w:p>
    <w:p w14:paraId="32368916" w14:textId="77777777" w:rsidR="006E0BF3" w:rsidRDefault="006E0BF3" w:rsidP="00F44DA2">
      <w:pPr>
        <w:pStyle w:val="FootnoteText"/>
        <w:ind w:firstLine="720"/>
        <w:jc w:val="both"/>
      </w:pPr>
    </w:p>
  </w:footnote>
  <w:footnote w:id="17">
    <w:p w14:paraId="5073FC30" w14:textId="77777777" w:rsidR="00F772A6" w:rsidRDefault="00F772A6" w:rsidP="00F44DA2">
      <w:pPr>
        <w:pStyle w:val="FootnoteText"/>
        <w:jc w:val="both"/>
      </w:pPr>
      <w:r>
        <w:rPr>
          <w:rStyle w:val="FootnoteReference"/>
        </w:rPr>
        <w:footnoteRef/>
      </w:r>
      <w:r>
        <w:t xml:space="preserve">  </w:t>
      </w:r>
      <w:r>
        <w:rPr>
          <w:i/>
          <w:iCs/>
        </w:rPr>
        <w:t>See</w:t>
      </w:r>
      <w:r>
        <w:t xml:space="preserve"> </w:t>
      </w:r>
      <w:hyperlink r:id="rId20" w:history="1">
        <w:r>
          <w:rPr>
            <w:rStyle w:val="Hyperlink"/>
          </w:rPr>
          <w:t>https://www.cms.gov/files/document/mmsea-111-july-13-2026-nghp-user-guide-version-8-5-chapter-i-introduction-overview.pdf</w:t>
        </w:r>
      </w:hyperlink>
      <w:r>
        <w:t xml:space="preserve"> (last accessed July 14, 2026).</w:t>
      </w:r>
    </w:p>
    <w:p w14:paraId="0C9E952F" w14:textId="77777777" w:rsidR="00F772A6" w:rsidRDefault="00F772A6" w:rsidP="00F44DA2">
      <w:pPr>
        <w:pStyle w:val="FootnoteText"/>
        <w:jc w:val="both"/>
      </w:pPr>
    </w:p>
  </w:footnote>
  <w:footnote w:id="18">
    <w:p w14:paraId="7135CEBB" w14:textId="77777777" w:rsidR="006E0BF3" w:rsidRDefault="006E0BF3" w:rsidP="00F44DA2">
      <w:pPr>
        <w:pStyle w:val="FootnoteText"/>
        <w:jc w:val="both"/>
      </w:pPr>
      <w:r>
        <w:rPr>
          <w:rStyle w:val="FootnoteReference"/>
        </w:rPr>
        <w:footnoteRef/>
      </w:r>
      <w:r>
        <w:rPr>
          <w:i/>
          <w:iCs/>
        </w:rPr>
        <w:t xml:space="preserve">  See </w:t>
      </w:r>
      <w:hyperlink r:id="rId21" w:history="1">
        <w:r>
          <w:rPr>
            <w:rStyle w:val="Hyperlink"/>
          </w:rPr>
          <w:t>https://www.cms.gov/files/document/mmsea-111-july-13-2026-nghp-user-guide-version-8-5-chapter-i-introduction-overview.pdf</w:t>
        </w:r>
      </w:hyperlink>
      <w:r>
        <w:t xml:space="preserve"> (last accessed July 14, 2026); </w:t>
      </w:r>
      <w:hyperlink r:id="rId22" w:history="1">
        <w:r>
          <w:rPr>
            <w:rStyle w:val="Hyperlink"/>
          </w:rPr>
          <w:t>https://www.cms.gov/files/document/mmsea-section-111-ghp-user-guide-version-7-9-july-13-2026.pdf</w:t>
        </w:r>
      </w:hyperlink>
      <w:r>
        <w:t xml:space="preserve"> (last accessed July 14, 2026).</w:t>
      </w:r>
    </w:p>
    <w:p w14:paraId="1D340E39" w14:textId="77777777" w:rsidR="008A7C8F" w:rsidRDefault="008A7C8F" w:rsidP="00F44DA2">
      <w:pPr>
        <w:pStyle w:val="FootnoteText"/>
        <w:jc w:val="both"/>
      </w:pPr>
    </w:p>
  </w:footnote>
  <w:footnote w:id="19">
    <w:p w14:paraId="3E17BE4C" w14:textId="77777777" w:rsidR="00F772A6" w:rsidRDefault="00F772A6" w:rsidP="00F44DA2">
      <w:pPr>
        <w:pStyle w:val="FootnoteText"/>
        <w:jc w:val="both"/>
      </w:pPr>
      <w:r>
        <w:rPr>
          <w:rStyle w:val="FootnoteReference"/>
        </w:rPr>
        <w:footnoteRef/>
      </w:r>
      <w:r>
        <w:t xml:space="preserve">  </w:t>
      </w:r>
      <w:r>
        <w:rPr>
          <w:i/>
          <w:iCs/>
        </w:rPr>
        <w:t xml:space="preserve">See </w:t>
      </w:r>
      <w:hyperlink r:id="rId23" w:history="1">
        <w:r>
          <w:rPr>
            <w:rStyle w:val="Hyperlink"/>
          </w:rPr>
          <w:t>https://www.cms.gov/files/document/mmsea-111-july-13-2026-nghp-user-guide-version-8-5-chapter-iii-policy-guidance.pdf</w:t>
        </w:r>
      </w:hyperlink>
      <w:r>
        <w:t xml:space="preserve"> (last accessed July 30, 2026).</w:t>
      </w:r>
    </w:p>
    <w:p w14:paraId="2FEC4792" w14:textId="77777777" w:rsidR="00F772A6" w:rsidRDefault="00F772A6" w:rsidP="00F44DA2">
      <w:pPr>
        <w:pStyle w:val="FootnoteText"/>
        <w:jc w:val="both"/>
      </w:pPr>
    </w:p>
  </w:footnote>
  <w:footnote w:id="20">
    <w:p w14:paraId="2FFB6B69" w14:textId="77777777" w:rsidR="0058394E" w:rsidRDefault="0058394E" w:rsidP="001F1F6D">
      <w:pPr>
        <w:pStyle w:val="FootnoteText"/>
        <w:rPr>
          <w:i/>
          <w:iCs/>
        </w:rPr>
      </w:pPr>
      <w:r>
        <w:rPr>
          <w:rStyle w:val="FootnoteReference"/>
        </w:rPr>
        <w:footnoteRef/>
      </w:r>
      <w:r>
        <w:t xml:space="preserve"> </w:t>
      </w:r>
      <w:r>
        <w:rPr>
          <w:i/>
          <w:iCs/>
        </w:rPr>
        <w:t>See</w:t>
      </w:r>
      <w:r>
        <w:t xml:space="preserve"> </w:t>
      </w:r>
      <w:r>
        <w:rPr>
          <w:i/>
          <w:iCs/>
        </w:rPr>
        <w:t>id.</w:t>
      </w:r>
      <w:r>
        <w:t xml:space="preserve"> </w:t>
      </w:r>
    </w:p>
  </w:footnote>
  <w:footnote w:id="21">
    <w:p w14:paraId="5B5467A5" w14:textId="77777777" w:rsidR="0058394E" w:rsidRDefault="0058394E" w:rsidP="001F1F6D">
      <w:pPr>
        <w:pStyle w:val="FootnoteText"/>
      </w:pPr>
    </w:p>
    <w:p w14:paraId="5019103D" w14:textId="77777777" w:rsidR="0058394E" w:rsidRDefault="0058394E" w:rsidP="001F1F6D">
      <w:pPr>
        <w:pStyle w:val="FootnoteText"/>
        <w:rPr>
          <w:i/>
          <w:iCs/>
        </w:rPr>
      </w:pPr>
      <w:r>
        <w:rPr>
          <w:rStyle w:val="FootnoteReference"/>
        </w:rPr>
        <w:footnoteRef/>
      </w:r>
      <w:r>
        <w:t xml:space="preserve"> </w:t>
      </w:r>
      <w:r>
        <w:rPr>
          <w:i/>
          <w:iCs/>
        </w:rPr>
        <w:t>See id.</w:t>
      </w:r>
    </w:p>
  </w:footnote>
  <w:footnote w:id="22">
    <w:p w14:paraId="6C90D231" w14:textId="77777777" w:rsidR="0058394E" w:rsidRDefault="0058394E" w:rsidP="001F1F6D">
      <w:pPr>
        <w:pStyle w:val="FootnoteText"/>
      </w:pPr>
    </w:p>
    <w:p w14:paraId="0ADCA06F" w14:textId="77777777" w:rsidR="0058394E" w:rsidRDefault="0058394E" w:rsidP="001F1F6D">
      <w:pPr>
        <w:pStyle w:val="FootnoteText"/>
        <w:rPr>
          <w:i/>
          <w:iCs/>
        </w:rPr>
      </w:pPr>
      <w:r>
        <w:rPr>
          <w:rStyle w:val="FootnoteReference"/>
        </w:rPr>
        <w:footnoteRef/>
      </w:r>
      <w:r>
        <w:t xml:space="preserve"> </w:t>
      </w:r>
      <w:r>
        <w:rPr>
          <w:i/>
          <w:iCs/>
        </w:rPr>
        <w:t>See id.</w:t>
      </w:r>
    </w:p>
  </w:footnote>
  <w:footnote w:id="23">
    <w:p w14:paraId="121E620D" w14:textId="77777777" w:rsidR="00DA0D09" w:rsidRDefault="00DA0D09" w:rsidP="00DA0D09">
      <w:pPr>
        <w:pStyle w:val="FootnoteText"/>
        <w:ind w:firstLine="720"/>
      </w:pPr>
    </w:p>
    <w:p w14:paraId="32A44572" w14:textId="77777777" w:rsidR="00DA0D09" w:rsidRDefault="00DA0D09" w:rsidP="001F1F6D">
      <w:pPr>
        <w:pStyle w:val="FootnoteText"/>
      </w:pPr>
      <w:r>
        <w:rPr>
          <w:rStyle w:val="FootnoteReference"/>
        </w:rPr>
        <w:footnoteRef/>
      </w:r>
      <w:r>
        <w:t xml:space="preserve">  </w:t>
      </w:r>
      <w:r>
        <w:rPr>
          <w:i/>
          <w:iCs/>
        </w:rPr>
        <w:t>See id.</w:t>
      </w:r>
    </w:p>
  </w:footnote>
  <w:footnote w:id="24">
    <w:p w14:paraId="6308ED25" w14:textId="77777777" w:rsidR="00DA0D09" w:rsidRDefault="00DA0D09" w:rsidP="001F1F6D">
      <w:pPr>
        <w:pStyle w:val="FootnoteText"/>
      </w:pPr>
    </w:p>
    <w:p w14:paraId="687E9043" w14:textId="77777777" w:rsidR="00DA0D09" w:rsidRDefault="00DA0D09" w:rsidP="001F1F6D">
      <w:pPr>
        <w:pStyle w:val="FootnoteText"/>
        <w:rPr>
          <w:i/>
          <w:iCs/>
        </w:rPr>
      </w:pPr>
      <w:r>
        <w:rPr>
          <w:rStyle w:val="FootnoteReference"/>
        </w:rPr>
        <w:footnoteRef/>
      </w:r>
      <w:r>
        <w:t xml:space="preserve">  </w:t>
      </w:r>
      <w:r>
        <w:rPr>
          <w:i/>
          <w:iCs/>
        </w:rPr>
        <w:t>See id.</w:t>
      </w:r>
    </w:p>
  </w:footnote>
  <w:footnote w:id="25">
    <w:p w14:paraId="5A7142CA" w14:textId="77777777" w:rsidR="00DA0D09" w:rsidRDefault="00DA0D09" w:rsidP="001F1F6D">
      <w:pPr>
        <w:pStyle w:val="FootnoteText"/>
      </w:pPr>
    </w:p>
    <w:p w14:paraId="461C212A" w14:textId="691458AC" w:rsidR="00DA0D09" w:rsidRDefault="00DA0D09" w:rsidP="001F1F6D">
      <w:pPr>
        <w:pStyle w:val="FootnoteText"/>
        <w:tabs>
          <w:tab w:val="clear" w:pos="360"/>
        </w:tabs>
        <w:rPr>
          <w:i/>
          <w:iCs/>
        </w:rPr>
      </w:pPr>
      <w:r>
        <w:rPr>
          <w:rStyle w:val="FootnoteReference"/>
        </w:rPr>
        <w:footnoteRef/>
      </w:r>
      <w:r>
        <w:t xml:space="preserve"> </w:t>
      </w:r>
      <w:r>
        <w:rPr>
          <w:i/>
          <w:iCs/>
        </w:rPr>
        <w:t>See id.</w:t>
      </w:r>
    </w:p>
  </w:footnote>
  <w:footnote w:id="26">
    <w:p w14:paraId="403123AC" w14:textId="77777777" w:rsidR="00DA0D09" w:rsidRDefault="00DA0D09" w:rsidP="001F1F6D">
      <w:pPr>
        <w:pStyle w:val="FootnoteText"/>
      </w:pPr>
    </w:p>
    <w:p w14:paraId="3832480A" w14:textId="77777777" w:rsidR="00DA0D09" w:rsidRDefault="00DA0D09" w:rsidP="001F1F6D">
      <w:pPr>
        <w:pStyle w:val="FootnoteText"/>
        <w:rPr>
          <w:i/>
          <w:iCs/>
        </w:rPr>
      </w:pPr>
      <w:r>
        <w:rPr>
          <w:rStyle w:val="FootnoteReference"/>
        </w:rPr>
        <w:footnoteRef/>
      </w:r>
      <w:r>
        <w:t xml:space="preserve">  </w:t>
      </w:r>
      <w:r>
        <w:rPr>
          <w:i/>
          <w:iCs/>
        </w:rPr>
        <w:t>See id.</w:t>
      </w:r>
    </w:p>
  </w:footnote>
  <w:footnote w:id="27">
    <w:p w14:paraId="7C027734" w14:textId="77777777" w:rsidR="00DA0D09" w:rsidRDefault="00DA0D09" w:rsidP="001F1F6D">
      <w:pPr>
        <w:pStyle w:val="FootnoteText"/>
      </w:pPr>
    </w:p>
    <w:p w14:paraId="05A4025A" w14:textId="77777777" w:rsidR="00DA0D09" w:rsidRDefault="00DA0D09" w:rsidP="001F1F6D">
      <w:pPr>
        <w:pStyle w:val="FootnoteText"/>
        <w:rPr>
          <w:i/>
          <w:iCs/>
        </w:rPr>
      </w:pPr>
      <w:r>
        <w:rPr>
          <w:rStyle w:val="FootnoteReference"/>
        </w:rPr>
        <w:footnoteRef/>
      </w:r>
      <w:r>
        <w:t xml:space="preserve">  </w:t>
      </w:r>
      <w:r>
        <w:rPr>
          <w:i/>
          <w:iCs/>
        </w:rPr>
        <w:t>See id.</w:t>
      </w:r>
    </w:p>
  </w:footnote>
  <w:footnote w:id="28">
    <w:p w14:paraId="7FFADEEE" w14:textId="77777777" w:rsidR="00DA0D09" w:rsidRDefault="00DA0D09" w:rsidP="001F1F6D">
      <w:pPr>
        <w:pStyle w:val="FootnoteText"/>
      </w:pPr>
    </w:p>
    <w:p w14:paraId="56473F0E" w14:textId="77777777" w:rsidR="00DA0D09" w:rsidRDefault="00DA0D09" w:rsidP="001F1F6D">
      <w:pPr>
        <w:pStyle w:val="FootnoteText"/>
        <w:rPr>
          <w:i/>
          <w:iCs/>
        </w:rPr>
      </w:pPr>
      <w:r>
        <w:rPr>
          <w:rStyle w:val="FootnoteReference"/>
        </w:rPr>
        <w:footnoteRef/>
      </w:r>
      <w:r>
        <w:t xml:space="preserve">  </w:t>
      </w:r>
      <w:r>
        <w:rPr>
          <w:i/>
          <w:iCs/>
        </w:rPr>
        <w:t>See id.</w:t>
      </w:r>
    </w:p>
  </w:footnote>
  <w:footnote w:id="29">
    <w:p w14:paraId="064AD9D3" w14:textId="77777777" w:rsidR="00DA0D09" w:rsidRDefault="00DA0D09" w:rsidP="001F1F6D">
      <w:pPr>
        <w:pStyle w:val="FootnoteText"/>
      </w:pPr>
    </w:p>
    <w:p w14:paraId="0093300C" w14:textId="77777777" w:rsidR="00DA0D09" w:rsidRDefault="00DA0D09" w:rsidP="001F1F6D">
      <w:pPr>
        <w:pStyle w:val="FootnoteText"/>
        <w:rPr>
          <w:i/>
          <w:iCs/>
        </w:rPr>
      </w:pPr>
      <w:r>
        <w:rPr>
          <w:rStyle w:val="FootnoteReference"/>
        </w:rPr>
        <w:footnoteRef/>
      </w:r>
      <w:r>
        <w:t xml:space="preserve">  </w:t>
      </w:r>
      <w:r>
        <w:rPr>
          <w:i/>
          <w:iCs/>
        </w:rPr>
        <w:t>See id.</w:t>
      </w:r>
    </w:p>
  </w:footnote>
  <w:footnote w:id="30">
    <w:p w14:paraId="29A6FF46" w14:textId="77777777" w:rsidR="00DA0D09" w:rsidRDefault="00DA0D09" w:rsidP="001F1F6D">
      <w:pPr>
        <w:pStyle w:val="FootnoteText"/>
      </w:pPr>
    </w:p>
    <w:p w14:paraId="069BDBC7" w14:textId="77777777" w:rsidR="00DA0D09" w:rsidRDefault="00DA0D09" w:rsidP="001F1F6D">
      <w:pPr>
        <w:pStyle w:val="FootnoteText"/>
        <w:rPr>
          <w:i/>
          <w:iCs/>
        </w:rPr>
      </w:pPr>
      <w:r>
        <w:rPr>
          <w:rStyle w:val="FootnoteReference"/>
        </w:rPr>
        <w:footnoteRef/>
      </w:r>
      <w:r>
        <w:t xml:space="preserve">  </w:t>
      </w:r>
      <w:r>
        <w:rPr>
          <w:i/>
          <w:iCs/>
        </w:rPr>
        <w:t>See id.</w:t>
      </w:r>
    </w:p>
  </w:footnote>
  <w:footnote w:id="31">
    <w:p w14:paraId="6E1FF3C7" w14:textId="77777777" w:rsidR="00320956" w:rsidRDefault="00320956" w:rsidP="001F1F6D">
      <w:pPr>
        <w:pStyle w:val="FootnoteText"/>
      </w:pPr>
    </w:p>
    <w:p w14:paraId="5AD80B2F" w14:textId="77777777" w:rsidR="00320956" w:rsidRDefault="00320956" w:rsidP="001F1F6D">
      <w:pPr>
        <w:pStyle w:val="FootnoteText"/>
        <w:rPr>
          <w:i/>
          <w:iCs/>
        </w:rPr>
      </w:pPr>
      <w:r>
        <w:rPr>
          <w:rStyle w:val="FootnoteReference"/>
        </w:rPr>
        <w:footnoteRef/>
      </w:r>
      <w:r>
        <w:t xml:space="preserve">  </w:t>
      </w:r>
      <w:r>
        <w:rPr>
          <w:i/>
          <w:iCs/>
        </w:rPr>
        <w:t xml:space="preserve">See </w:t>
      </w:r>
      <w:hyperlink r:id="rId24" w:history="1">
        <w:r>
          <w:rPr>
            <w:rStyle w:val="Hyperlink"/>
          </w:rPr>
          <w:t>https://www.cms.gov/files/document/mmsea-section-111-ghp-user-guide-version-7-9-july-13-2026.pdf</w:t>
        </w:r>
      </w:hyperlink>
      <w:r>
        <w:t xml:space="preserve"> (last accessed July 14, 2026).</w:t>
      </w:r>
    </w:p>
  </w:footnote>
  <w:footnote w:id="32">
    <w:p w14:paraId="2D31E783" w14:textId="77777777" w:rsidR="00320956" w:rsidRDefault="00320956" w:rsidP="001F1F6D">
      <w:pPr>
        <w:pStyle w:val="FootnoteText"/>
      </w:pPr>
    </w:p>
    <w:p w14:paraId="6E8B5378" w14:textId="77777777" w:rsidR="00320956" w:rsidRDefault="00320956" w:rsidP="001F1F6D">
      <w:pPr>
        <w:pStyle w:val="FootnoteText"/>
        <w:rPr>
          <w:i/>
          <w:iCs/>
        </w:rPr>
      </w:pPr>
      <w:r>
        <w:rPr>
          <w:rStyle w:val="FootnoteReference"/>
        </w:rPr>
        <w:footnoteRef/>
      </w:r>
      <w:r>
        <w:t xml:space="preserve">  </w:t>
      </w:r>
      <w:r>
        <w:rPr>
          <w:i/>
          <w:iCs/>
        </w:rPr>
        <w:t>See id.</w:t>
      </w:r>
    </w:p>
  </w:footnote>
  <w:footnote w:id="33">
    <w:p w14:paraId="720E1C59" w14:textId="77777777" w:rsidR="00320956" w:rsidRDefault="00320956" w:rsidP="00320956">
      <w:pPr>
        <w:pStyle w:val="FootnoteText"/>
      </w:pPr>
    </w:p>
    <w:p w14:paraId="226288FB" w14:textId="77777777" w:rsidR="00320956" w:rsidRDefault="00320956" w:rsidP="001F1F6D">
      <w:pPr>
        <w:pStyle w:val="FootnoteText"/>
      </w:pPr>
      <w:r>
        <w:rPr>
          <w:rStyle w:val="FootnoteReference"/>
        </w:rPr>
        <w:footnoteRef/>
      </w:r>
      <w:r>
        <w:t xml:space="preserve">  </w:t>
      </w:r>
      <w:r>
        <w:rPr>
          <w:i/>
          <w:iCs/>
        </w:rPr>
        <w:t xml:space="preserve">See </w:t>
      </w:r>
      <w:r>
        <w:t>42 U.S.C. § 1395y(b)(2)(B)(ii) and (iii); 42 C.F.R. §§ 411.21 and 411.22.</w:t>
      </w:r>
    </w:p>
  </w:footnote>
  <w:footnote w:id="34">
    <w:p w14:paraId="392DC865" w14:textId="77777777" w:rsidR="00320956" w:rsidRDefault="00320956" w:rsidP="001F1F6D">
      <w:pPr>
        <w:pStyle w:val="FootnoteText"/>
      </w:pPr>
    </w:p>
    <w:p w14:paraId="2C6DA1E9" w14:textId="77777777" w:rsidR="00320956" w:rsidRDefault="00320956" w:rsidP="001F1F6D">
      <w:pPr>
        <w:pStyle w:val="FootnoteText"/>
      </w:pPr>
      <w:r>
        <w:rPr>
          <w:rStyle w:val="FootnoteReference"/>
        </w:rPr>
        <w:footnoteRef/>
      </w:r>
      <w:r>
        <w:t xml:space="preserve">  </w:t>
      </w:r>
      <w:r>
        <w:rPr>
          <w:i/>
          <w:iCs/>
        </w:rPr>
        <w:t xml:space="preserve">See </w:t>
      </w:r>
      <w:r>
        <w:t>42 U.S.C. § 1395y(b)(2)(B)(ii); 42 C.F.R. §§ 411.21 and 411.22.</w:t>
      </w:r>
    </w:p>
  </w:footnote>
  <w:footnote w:id="35">
    <w:p w14:paraId="04E92B9C" w14:textId="77777777" w:rsidR="00320956" w:rsidRDefault="00320956" w:rsidP="001F1F6D">
      <w:pPr>
        <w:pStyle w:val="FootnoteText"/>
      </w:pPr>
    </w:p>
    <w:p w14:paraId="003AA97C" w14:textId="77777777" w:rsidR="00320956" w:rsidRDefault="00320956" w:rsidP="001F1F6D">
      <w:pPr>
        <w:pStyle w:val="FootnoteText"/>
      </w:pPr>
      <w:r>
        <w:rPr>
          <w:rStyle w:val="FootnoteReference"/>
        </w:rPr>
        <w:footnoteRef/>
      </w:r>
      <w:r>
        <w:t xml:space="preserve">  </w:t>
      </w:r>
      <w:r>
        <w:rPr>
          <w:i/>
          <w:iCs/>
        </w:rPr>
        <w:t xml:space="preserve">See </w:t>
      </w:r>
      <w:r>
        <w:t>42 U.S.C. § 1395y(b)(2)(B)(ii); 42 C.F.R. §§ 411.21 and 411.22.</w:t>
      </w:r>
    </w:p>
    <w:p w14:paraId="6584BB28" w14:textId="77777777" w:rsidR="00320956" w:rsidRDefault="00320956" w:rsidP="001F1F6D">
      <w:pPr>
        <w:pStyle w:val="FootnoteText"/>
        <w:rPr>
          <w:i/>
          <w:iCs/>
        </w:rPr>
      </w:pPr>
    </w:p>
  </w:footnote>
  <w:footnote w:id="36">
    <w:p w14:paraId="300CE7D1" w14:textId="77777777" w:rsidR="00320956" w:rsidRDefault="00320956" w:rsidP="001F1F6D">
      <w:pPr>
        <w:pStyle w:val="FootnoteText"/>
      </w:pPr>
      <w:r>
        <w:rPr>
          <w:rStyle w:val="FootnoteReference"/>
        </w:rPr>
        <w:footnoteRef/>
      </w:r>
      <w:r>
        <w:t xml:space="preserve">  </w:t>
      </w:r>
      <w:r>
        <w:rPr>
          <w:i/>
          <w:iCs/>
        </w:rPr>
        <w:t xml:space="preserve">See </w:t>
      </w:r>
      <w:r>
        <w:t>42 U.S.C. § 1395y(b)(2)(B)(ii) and (iii); 42 C.F.R. §§ 411.21 and 411.22.</w:t>
      </w:r>
    </w:p>
  </w:footnote>
  <w:footnote w:id="37">
    <w:p w14:paraId="7A260F92" w14:textId="77777777" w:rsidR="00320956" w:rsidRDefault="00320956" w:rsidP="001F1F6D">
      <w:pPr>
        <w:pStyle w:val="FootnoteText"/>
      </w:pPr>
    </w:p>
    <w:p w14:paraId="21303B4B" w14:textId="77777777" w:rsidR="00320956" w:rsidRDefault="00320956" w:rsidP="001F1F6D">
      <w:pPr>
        <w:pStyle w:val="FootnoteText"/>
      </w:pPr>
      <w:r>
        <w:rPr>
          <w:rStyle w:val="FootnoteReference"/>
        </w:rPr>
        <w:footnoteRef/>
      </w:r>
      <w:r>
        <w:t xml:space="preserve">  </w:t>
      </w:r>
      <w:r>
        <w:rPr>
          <w:i/>
          <w:iCs/>
        </w:rPr>
        <w:t>See</w:t>
      </w:r>
      <w:r>
        <w:t xml:space="preserve"> </w:t>
      </w:r>
      <w:hyperlink r:id="rId25" w:history="1">
        <w:r>
          <w:rPr>
            <w:rStyle w:val="Hyperlink"/>
          </w:rPr>
          <w:t>https://www.cms.gov/files/document/mmsea-111-july-13-2026-nghp-user-guide-version-8-5-chapter-iii-policy-guidance.pdf</w:t>
        </w:r>
      </w:hyperlink>
      <w:r>
        <w:t xml:space="preserve"> (last accessed July 30, 2026).</w:t>
      </w:r>
    </w:p>
  </w:footnote>
  <w:footnote w:id="38">
    <w:p w14:paraId="01ED2A47" w14:textId="77777777" w:rsidR="000906D1" w:rsidRDefault="000906D1" w:rsidP="001F1F6D">
      <w:pPr>
        <w:pStyle w:val="FootnoteText"/>
      </w:pPr>
    </w:p>
    <w:p w14:paraId="027B8F75" w14:textId="77777777" w:rsidR="000906D1" w:rsidRDefault="000906D1" w:rsidP="001F1F6D">
      <w:pPr>
        <w:pStyle w:val="FootnoteText"/>
      </w:pPr>
      <w:r>
        <w:rPr>
          <w:rStyle w:val="FootnoteReference"/>
        </w:rPr>
        <w:footnoteRef/>
      </w:r>
      <w:r>
        <w:t xml:space="preserve">  </w:t>
      </w:r>
      <w:r>
        <w:rPr>
          <w:i/>
          <w:iCs/>
        </w:rPr>
        <w:t xml:space="preserve">See </w:t>
      </w:r>
      <w:r>
        <w:t>42 U.S.C. § 1395y(b)(2)(B)(ii), (iii), (7)(B)(i), and (8)(E)(i); 42 C.F.R. § part 411, subpart B; 42 C.F.R. § part 402; 45 C.F.R. § part 102.</w:t>
      </w:r>
    </w:p>
    <w:p w14:paraId="593B2EAE" w14:textId="77777777" w:rsidR="000906D1" w:rsidRDefault="000906D1" w:rsidP="000906D1">
      <w:pPr>
        <w:pStyle w:val="FootnoteText"/>
        <w:ind w:firstLine="720"/>
        <w:rPr>
          <w:i/>
          <w:iCs/>
        </w:rPr>
      </w:pPr>
    </w:p>
  </w:footnote>
  <w:footnote w:id="39">
    <w:p w14:paraId="4E7ABC5F" w14:textId="77777777" w:rsidR="000906D1" w:rsidRDefault="000906D1" w:rsidP="001F1F6D">
      <w:pPr>
        <w:pStyle w:val="FootnoteText"/>
      </w:pPr>
      <w:r>
        <w:rPr>
          <w:rStyle w:val="FootnoteReference"/>
        </w:rPr>
        <w:footnoteRef/>
      </w:r>
      <w:r>
        <w:t xml:space="preserve">  </w:t>
      </w:r>
      <w:r>
        <w:rPr>
          <w:i/>
          <w:iCs/>
        </w:rPr>
        <w:t>See</w:t>
      </w:r>
      <w:r>
        <w:t xml:space="preserve"> 42 U.S.C. § 1395y(b)(3)(A); </w:t>
      </w:r>
      <w:r>
        <w:rPr>
          <w:i/>
          <w:iCs/>
        </w:rPr>
        <w:t>In re Avandia Marketing, Sales Practices and Product Liability Litigation</w:t>
      </w:r>
      <w:r>
        <w:t>, 685 F.3d 353 (3d Cir. 2012).</w:t>
      </w:r>
    </w:p>
    <w:p w14:paraId="559961AD" w14:textId="77777777" w:rsidR="000906D1" w:rsidRDefault="000906D1" w:rsidP="000906D1">
      <w:pPr>
        <w:pStyle w:val="FootnoteText"/>
        <w:ind w:firstLine="720"/>
      </w:pPr>
    </w:p>
  </w:footnote>
  <w:footnote w:id="40">
    <w:p w14:paraId="2E1B57D2" w14:textId="3C3CB117" w:rsidR="00DF2138" w:rsidRDefault="00DF2138">
      <w:pPr>
        <w:pStyle w:val="FootnoteText"/>
      </w:pPr>
      <w:r>
        <w:rPr>
          <w:rStyle w:val="FootnoteReference"/>
        </w:rPr>
        <w:footnoteRef/>
      </w:r>
      <w:r>
        <w:t xml:space="preserve"> </w:t>
      </w:r>
      <w:r w:rsidRPr="00DF2138">
        <w:t>28 U.S.C. § 2462</w:t>
      </w:r>
      <w:r>
        <w:t>.</w:t>
      </w:r>
    </w:p>
    <w:p w14:paraId="1B0A9A8D" w14:textId="77777777" w:rsidR="008A7C8F" w:rsidRDefault="008A7C8F">
      <w:pPr>
        <w:pStyle w:val="FootnoteText"/>
      </w:pPr>
    </w:p>
  </w:footnote>
  <w:footnote w:id="41">
    <w:p w14:paraId="1D9056D5" w14:textId="330FFD83" w:rsidR="00DF2138" w:rsidRPr="00B23917" w:rsidRDefault="00DF2138">
      <w:pPr>
        <w:pStyle w:val="FootnoteText"/>
      </w:pPr>
      <w:r>
        <w:rPr>
          <w:rStyle w:val="FootnoteReference"/>
        </w:rPr>
        <w:footnoteRef/>
      </w:r>
      <w:r w:rsidRPr="00BB0DA3">
        <w:t xml:space="preserve"> 42 U.S.C. § 1395y(b)(2)(B)(iii).</w:t>
      </w:r>
    </w:p>
    <w:p w14:paraId="313EF131" w14:textId="77777777" w:rsidR="008A7C8F" w:rsidRPr="00BB0DA3" w:rsidRDefault="008A7C8F">
      <w:pPr>
        <w:pStyle w:val="FootnoteText"/>
      </w:pPr>
    </w:p>
  </w:footnote>
  <w:footnote w:id="42">
    <w:p w14:paraId="65C2774B" w14:textId="2D84CA5B" w:rsidR="00DF2138" w:rsidRPr="00B23917" w:rsidRDefault="00DF2138">
      <w:pPr>
        <w:pStyle w:val="FootnoteText"/>
      </w:pPr>
      <w:r>
        <w:rPr>
          <w:rStyle w:val="FootnoteReference"/>
        </w:rPr>
        <w:footnoteRef/>
      </w:r>
      <w:r w:rsidRPr="00BB0DA3">
        <w:t xml:space="preserve"> </w:t>
      </w:r>
      <w:r w:rsidR="004C714B" w:rsidRPr="00BB0DA3">
        <w:t>42 U.S.C. § 1395y(b)(2)(B)(iii), (b)(8)(A), (F).</w:t>
      </w:r>
    </w:p>
    <w:p w14:paraId="1DE50F72" w14:textId="77777777" w:rsidR="008A7C8F" w:rsidRPr="00BB0DA3" w:rsidRDefault="008A7C8F">
      <w:pPr>
        <w:pStyle w:val="FootnoteText"/>
      </w:pPr>
    </w:p>
  </w:footnote>
  <w:footnote w:id="43">
    <w:p w14:paraId="2148E122" w14:textId="02264062" w:rsidR="00DF2138" w:rsidRDefault="00DF2138">
      <w:pPr>
        <w:pStyle w:val="FootnoteText"/>
      </w:pPr>
      <w:r>
        <w:rPr>
          <w:rStyle w:val="FootnoteReference"/>
        </w:rPr>
        <w:footnoteRef/>
      </w:r>
      <w:r>
        <w:t xml:space="preserve"> </w:t>
      </w:r>
      <w:r w:rsidR="004C714B" w:rsidRPr="004C714B">
        <w:t>28 U.S.C. §§ 2415(a), 2416(c)</w:t>
      </w:r>
      <w:r w:rsidR="002874A8">
        <w:t>.</w:t>
      </w:r>
    </w:p>
    <w:p w14:paraId="3F57A111" w14:textId="77777777" w:rsidR="008A7C8F" w:rsidRDefault="008A7C8F">
      <w:pPr>
        <w:pStyle w:val="FootnoteText"/>
      </w:pPr>
    </w:p>
  </w:footnote>
  <w:footnote w:id="44">
    <w:p w14:paraId="6EFC3E43" w14:textId="252856DB" w:rsidR="007F5AFE" w:rsidRDefault="007F5AFE">
      <w:pPr>
        <w:pStyle w:val="FootnoteText"/>
      </w:pPr>
      <w:r>
        <w:rPr>
          <w:rStyle w:val="FootnoteReference"/>
        </w:rPr>
        <w:footnoteRef/>
      </w:r>
      <w:r>
        <w:t xml:space="preserve"> </w:t>
      </w:r>
      <w:r w:rsidRPr="004C714B">
        <w:t>28 U.S.C. §§ 2415(a)</w:t>
      </w:r>
      <w:r>
        <w:t>.</w:t>
      </w:r>
    </w:p>
    <w:p w14:paraId="2E0CB321" w14:textId="77777777" w:rsidR="007F5AFE" w:rsidRDefault="007F5AFE">
      <w:pPr>
        <w:pStyle w:val="FootnoteText"/>
      </w:pPr>
    </w:p>
  </w:footnote>
  <w:footnote w:id="45">
    <w:p w14:paraId="133C2885" w14:textId="3B4ACD29" w:rsidR="00286D03" w:rsidRPr="00286D03" w:rsidRDefault="00DF2138" w:rsidP="00286D03">
      <w:pPr>
        <w:pStyle w:val="FootnoteText"/>
      </w:pPr>
      <w:r>
        <w:rPr>
          <w:rStyle w:val="FootnoteReference"/>
        </w:rPr>
        <w:footnoteRef/>
      </w:r>
      <w:r>
        <w:t xml:space="preserve"> </w:t>
      </w:r>
      <w:r w:rsidR="00286D03">
        <w:rPr>
          <w:i/>
          <w:iCs/>
        </w:rPr>
        <w:t xml:space="preserve">See </w:t>
      </w:r>
      <w:r w:rsidR="00286D03" w:rsidRPr="008620A0">
        <w:rPr>
          <w:i/>
          <w:iCs/>
        </w:rPr>
        <w:t>United States v. Weinberg</w:t>
      </w:r>
      <w:r w:rsidR="00286D03" w:rsidRPr="00286D03">
        <w:t>, No. CIV.A. 01-CV-0679, 2002 WL 32356399, at *3</w:t>
      </w:r>
      <w:r w:rsidR="00286D03">
        <w:t>–*5</w:t>
      </w:r>
      <w:r w:rsidR="00286D03" w:rsidRPr="00286D03">
        <w:t xml:space="preserve"> (E.D. Pa. July 1, 2002)</w:t>
      </w:r>
      <w:r w:rsidR="00286D03">
        <w:t>.</w:t>
      </w:r>
    </w:p>
    <w:p w14:paraId="0F1E6C5F" w14:textId="05EB200E" w:rsidR="002874A8" w:rsidRPr="00B23917" w:rsidRDefault="002874A8">
      <w:pPr>
        <w:pStyle w:val="FootnoteText"/>
        <w:rPr>
          <w:i/>
          <w:iCs/>
        </w:rPr>
      </w:pPr>
    </w:p>
  </w:footnote>
  <w:footnote w:id="46">
    <w:p w14:paraId="1D6AAA0B" w14:textId="2C35D8BF" w:rsidR="00DF2138" w:rsidRDefault="00DF2138">
      <w:pPr>
        <w:pStyle w:val="FootnoteText"/>
        <w:rPr>
          <w:i/>
          <w:iCs/>
        </w:rPr>
      </w:pPr>
      <w:r>
        <w:rPr>
          <w:rStyle w:val="FootnoteReference"/>
        </w:rPr>
        <w:footnoteRef/>
      </w:r>
      <w:r>
        <w:t xml:space="preserve"> </w:t>
      </w:r>
      <w:r w:rsidR="00286D03">
        <w:rPr>
          <w:i/>
          <w:iCs/>
        </w:rPr>
        <w:t>Id.</w:t>
      </w:r>
    </w:p>
    <w:p w14:paraId="37AA4459" w14:textId="77777777" w:rsidR="00286D03" w:rsidRPr="00B23917" w:rsidRDefault="00286D03">
      <w:pPr>
        <w:pStyle w:val="FootnoteText"/>
        <w:rPr>
          <w:i/>
          <w:iCs/>
        </w:rPr>
      </w:pPr>
    </w:p>
  </w:footnote>
  <w:footnote w:id="47">
    <w:p w14:paraId="766CD8D8" w14:textId="6E09BF9A" w:rsidR="00DF2138" w:rsidRDefault="00DF2138">
      <w:pPr>
        <w:pStyle w:val="FootnoteText"/>
      </w:pPr>
      <w:r>
        <w:rPr>
          <w:rStyle w:val="FootnoteReference"/>
        </w:rPr>
        <w:footnoteRef/>
      </w:r>
      <w:r>
        <w:t xml:space="preserve"> </w:t>
      </w:r>
      <w:r w:rsidR="00286D03">
        <w:rPr>
          <w:i/>
          <w:iCs/>
        </w:rPr>
        <w:t xml:space="preserve">See </w:t>
      </w:r>
      <w:r w:rsidR="00286D03" w:rsidRPr="00286D03">
        <w:t>42 U.S.C. § 1395y(b)(2)(B)(vi).</w:t>
      </w:r>
    </w:p>
    <w:p w14:paraId="49971B45" w14:textId="77777777" w:rsidR="00286D03" w:rsidRDefault="00286D03">
      <w:pPr>
        <w:pStyle w:val="FootnoteText"/>
      </w:pPr>
    </w:p>
  </w:footnote>
  <w:footnote w:id="48">
    <w:p w14:paraId="2F631D5E" w14:textId="3416FF16" w:rsidR="00954141" w:rsidRPr="00954141" w:rsidRDefault="00DF2138" w:rsidP="00954141">
      <w:pPr>
        <w:pStyle w:val="FootnoteText"/>
      </w:pPr>
      <w:r>
        <w:rPr>
          <w:rStyle w:val="FootnoteReference"/>
        </w:rPr>
        <w:footnoteRef/>
      </w:r>
      <w:r>
        <w:t xml:space="preserve"> </w:t>
      </w:r>
      <w:r w:rsidR="00954141">
        <w:rPr>
          <w:i/>
          <w:iCs/>
        </w:rPr>
        <w:t xml:space="preserve">See </w:t>
      </w:r>
      <w:r w:rsidR="00954141" w:rsidRPr="008620A0">
        <w:rPr>
          <w:i/>
          <w:iCs/>
        </w:rPr>
        <w:t>MSP Recovery Claims, Series LLC v. Phoenix Ins. Co.</w:t>
      </w:r>
      <w:r w:rsidR="00954141" w:rsidRPr="008620A0">
        <w:t>,</w:t>
      </w:r>
      <w:r w:rsidR="00954141" w:rsidRPr="00954141">
        <w:t xml:space="preserve"> 426 F. Supp. 3d 458, 4</w:t>
      </w:r>
      <w:r w:rsidR="001B7F5C">
        <w:t>86–</w:t>
      </w:r>
      <w:r w:rsidR="00954141" w:rsidRPr="00954141">
        <w:t>89 (N.D. Ohio 2019)</w:t>
      </w:r>
      <w:r w:rsidR="00954141">
        <w:t>.</w:t>
      </w:r>
    </w:p>
    <w:p w14:paraId="1D031A80" w14:textId="086A60B7" w:rsidR="00DF2138" w:rsidRDefault="00DF2138">
      <w:pPr>
        <w:pStyle w:val="FootnoteText"/>
      </w:pPr>
    </w:p>
  </w:footnote>
  <w:footnote w:id="49">
    <w:p w14:paraId="745AB377" w14:textId="0CBF667C" w:rsidR="00DF2138" w:rsidRPr="001B7F5C" w:rsidRDefault="00DF2138" w:rsidP="005577F9">
      <w:pPr>
        <w:pStyle w:val="FootnoteText"/>
      </w:pPr>
      <w:r>
        <w:rPr>
          <w:rStyle w:val="FootnoteReference"/>
        </w:rPr>
        <w:footnoteRef/>
      </w:r>
      <w:r>
        <w:t xml:space="preserve"> </w:t>
      </w:r>
      <w:r w:rsidR="00954141">
        <w:rPr>
          <w:i/>
          <w:iCs/>
        </w:rPr>
        <w:t xml:space="preserve">See </w:t>
      </w:r>
      <w:r w:rsidR="001B7F5C">
        <w:rPr>
          <w:i/>
          <w:iCs/>
        </w:rPr>
        <w:t>id.</w:t>
      </w:r>
      <w:r w:rsidR="001B7F5C">
        <w:t xml:space="preserve">; </w:t>
      </w:r>
      <w:r w:rsidR="005577F9" w:rsidRPr="00B23917">
        <w:rPr>
          <w:i/>
          <w:iCs/>
        </w:rPr>
        <w:t>MSPA Claims 1, LLC v. Bayfront HMA Med. Ctr.</w:t>
      </w:r>
      <w:r w:rsidR="005577F9">
        <w:t>, LLC, No. 17-CV-21733, 2018 WL 1400465, at *6 (S.D. Fla. Mar. 20, 2018).</w:t>
      </w:r>
    </w:p>
  </w:footnote>
  <w:footnote w:id="50">
    <w:p w14:paraId="0845B191" w14:textId="77777777" w:rsidR="00003D1C" w:rsidRDefault="00003D1C" w:rsidP="001F1F6D">
      <w:pPr>
        <w:pStyle w:val="FootnoteText"/>
      </w:pPr>
      <w:r>
        <w:rPr>
          <w:rStyle w:val="FootnoteReference"/>
        </w:rPr>
        <w:footnoteRef/>
      </w:r>
      <w:r>
        <w:t xml:space="preserve">  </w:t>
      </w:r>
      <w:r>
        <w:rPr>
          <w:i/>
          <w:iCs/>
        </w:rPr>
        <w:t xml:space="preserve">See </w:t>
      </w:r>
      <w:r>
        <w:t xml:space="preserve">31 U.S.C. § 3713. </w:t>
      </w:r>
      <w:r>
        <w:rPr>
          <w:i/>
          <w:iCs/>
        </w:rPr>
        <w:t>See also</w:t>
      </w:r>
      <w:r>
        <w:t xml:space="preserve"> </w:t>
      </w:r>
      <w:r>
        <w:rPr>
          <w:i/>
          <w:iCs/>
        </w:rPr>
        <w:t>U.S. Dept. of Treasury v. Fabe</w:t>
      </w:r>
      <w:r>
        <w:t>, 508 U.S. 491 (1993) (addressing McCarran-Ferguson reverse preemption and distinguishing between provisions enacted for policyholder protection and provisions benefiting other creditors).</w:t>
      </w:r>
    </w:p>
    <w:p w14:paraId="74B9C6EA" w14:textId="77777777" w:rsidR="00003D1C" w:rsidRDefault="00003D1C" w:rsidP="001F1F6D">
      <w:pPr>
        <w:pStyle w:val="FootnoteText"/>
        <w:rPr>
          <w:i/>
          <w:iCs/>
        </w:rPr>
      </w:pPr>
    </w:p>
  </w:footnote>
  <w:footnote w:id="51">
    <w:p w14:paraId="1610E48A" w14:textId="77777777" w:rsidR="00003D1C" w:rsidRDefault="00003D1C" w:rsidP="001F1F6D">
      <w:pPr>
        <w:pStyle w:val="FootnoteText"/>
      </w:pPr>
      <w:r>
        <w:rPr>
          <w:rStyle w:val="FootnoteReference"/>
        </w:rPr>
        <w:footnoteRef/>
      </w:r>
      <w:r>
        <w:t xml:space="preserve">  </w:t>
      </w:r>
      <w:r>
        <w:rPr>
          <w:i/>
          <w:iCs/>
        </w:rPr>
        <w:t>See Ruthardt v. United States of America</w:t>
      </w:r>
      <w:r>
        <w:t xml:space="preserve">, 303 F.3d 375, 384 (1st Cir. 2002); </w:t>
      </w:r>
      <w:r>
        <w:rPr>
          <w:i/>
          <w:iCs/>
        </w:rPr>
        <w:t>Garcia v. Island Program Designer, Inc.</w:t>
      </w:r>
      <w:r>
        <w:t>, 4 F.3d 57 (1st Cir. 1993).</w:t>
      </w:r>
    </w:p>
    <w:p w14:paraId="211C3A68" w14:textId="77777777" w:rsidR="00003D1C" w:rsidRDefault="00003D1C" w:rsidP="001F1F6D">
      <w:pPr>
        <w:pStyle w:val="FootnoteText"/>
      </w:pPr>
    </w:p>
  </w:footnote>
  <w:footnote w:id="52">
    <w:p w14:paraId="464ED5C6" w14:textId="77777777" w:rsidR="00221DDA" w:rsidRDefault="00221DDA" w:rsidP="001F1F6D">
      <w:pPr>
        <w:pStyle w:val="FootnoteText"/>
      </w:pPr>
      <w:r>
        <w:rPr>
          <w:rStyle w:val="FootnoteReference"/>
        </w:rPr>
        <w:footnoteRef/>
      </w:r>
      <w:r>
        <w:t xml:space="preserve">  </w:t>
      </w:r>
      <w:r>
        <w:rPr>
          <w:i/>
          <w:iCs/>
        </w:rPr>
        <w:t xml:space="preserve">See California Ins. Guarantee </w:t>
      </w:r>
      <w:proofErr w:type="spellStart"/>
      <w:r>
        <w:rPr>
          <w:i/>
          <w:iCs/>
        </w:rPr>
        <w:t>Ass’n</w:t>
      </w:r>
      <w:proofErr w:type="spellEnd"/>
      <w:r>
        <w:rPr>
          <w:i/>
          <w:iCs/>
        </w:rPr>
        <w:t xml:space="preserve"> v. Azar</w:t>
      </w:r>
      <w:r>
        <w:t xml:space="preserve">, 940 F.3d 1061 (9th Cir. 2019); </w:t>
      </w:r>
      <w:r>
        <w:rPr>
          <w:i/>
          <w:iCs/>
        </w:rPr>
        <w:t>Illinois Ins. Guar. Fund v. Becerra</w:t>
      </w:r>
      <w:r>
        <w:t xml:space="preserve">, No. 24 C 1522, 2025 WL 240930 (N.D. Ill. Jan. 17, 2025); </w:t>
      </w:r>
      <w:r>
        <w:rPr>
          <w:i/>
          <w:iCs/>
        </w:rPr>
        <w:t>United States v. Rhode Island Insurers’ Insolvency Fund</w:t>
      </w:r>
      <w:r>
        <w:t>, 80 F.3d 616 (1st Cir. 1996).</w:t>
      </w:r>
    </w:p>
  </w:footnote>
  <w:footnote w:id="53">
    <w:p w14:paraId="52E9195B" w14:textId="67FABD3F" w:rsidR="0011494F" w:rsidRDefault="0011494F" w:rsidP="001F1F6D">
      <w:pPr>
        <w:pStyle w:val="FootnoteText"/>
      </w:pPr>
      <w:r>
        <w:rPr>
          <w:rStyle w:val="FootnoteReference"/>
        </w:rPr>
        <w:footnoteRef/>
      </w:r>
      <w:r>
        <w:t xml:space="preserve">  </w:t>
      </w:r>
      <w:r>
        <w:rPr>
          <w:i/>
          <w:iCs/>
        </w:rPr>
        <w:t xml:space="preserve">See </w:t>
      </w:r>
      <w:r>
        <w:t xml:space="preserve">31 U.S.C. § 3713. </w:t>
      </w:r>
      <w:r>
        <w:rPr>
          <w:i/>
          <w:iCs/>
        </w:rPr>
        <w:t>See also</w:t>
      </w:r>
      <w:r>
        <w:t xml:space="preserve"> </w:t>
      </w:r>
      <w:r>
        <w:rPr>
          <w:i/>
          <w:iCs/>
        </w:rPr>
        <w:t>U.S. Dept. of Treasury v. Fabe</w:t>
      </w:r>
      <w:r>
        <w:t>, 508 U.S. 491 (1993) address</w:t>
      </w:r>
      <w:r w:rsidR="00F25958">
        <w:t>es</w:t>
      </w:r>
      <w:r>
        <w:t xml:space="preserve"> McCarran-Ferguson reverse preemption and distinguishing between provisions enacted for policyholder protection and provisions benefiting other </w:t>
      </w:r>
      <w:proofErr w:type="gramStart"/>
      <w:r>
        <w:t>creditors</w:t>
      </w:r>
      <w:r w:rsidR="00F25958">
        <w:t>, but</w:t>
      </w:r>
      <w:proofErr w:type="gramEnd"/>
      <w:r w:rsidR="00F25958">
        <w:t xml:space="preserve"> is not specific to MSP obligations</w:t>
      </w:r>
      <w:r>
        <w:t>.</w:t>
      </w:r>
    </w:p>
    <w:p w14:paraId="537E8E60" w14:textId="77777777" w:rsidR="0011494F" w:rsidRDefault="0011494F" w:rsidP="0011494F">
      <w:pPr>
        <w:pStyle w:val="FootnoteText"/>
        <w:rPr>
          <w:i/>
          <w:iCs/>
        </w:rPr>
      </w:pPr>
    </w:p>
  </w:footnote>
  <w:footnote w:id="54">
    <w:p w14:paraId="250E0118" w14:textId="77777777" w:rsidR="00C919E7" w:rsidRDefault="00C919E7" w:rsidP="001F1F6D">
      <w:pPr>
        <w:pStyle w:val="FootnoteText"/>
      </w:pPr>
      <w:r>
        <w:rPr>
          <w:rStyle w:val="FootnoteReference"/>
        </w:rPr>
        <w:footnoteRef/>
      </w:r>
      <w:r>
        <w:t xml:space="preserve">  </w:t>
      </w:r>
      <w:r>
        <w:rPr>
          <w:i/>
          <w:iCs/>
        </w:rPr>
        <w:t xml:space="preserve">See </w:t>
      </w:r>
      <w:r>
        <w:t xml:space="preserve">42 U.S.C. § 1395y(b)(2)(B)(ii), (b)(7), and (b)(8); 42 C.F.R. § part 411, subpart B; </w:t>
      </w:r>
      <w:hyperlink r:id="rId26" w:history="1">
        <w:r>
          <w:rPr>
            <w:rStyle w:val="Hyperlink"/>
          </w:rPr>
          <w:t>https://www.cms.gov/medicare/coordination-of-benefits-and-recovery/mandatory-insurer-reporting-for-non-group-health-plans/nghp-training-material/downloads/query-file.pdf</w:t>
        </w:r>
      </w:hyperlink>
      <w:r>
        <w:t xml:space="preserve"> (last accessed July 14, 2026); </w:t>
      </w:r>
      <w:hyperlink r:id="rId27" w:history="1">
        <w:r>
          <w:rPr>
            <w:rStyle w:val="Hyperlink"/>
          </w:rPr>
          <w:t>https://www.cms.gov/medicare/coordination-of-benefits-and-recovery/mandatory-insurer-reporting-for-non-group-health-plans/nghp-training-material/downloads/beneficiary-lookup.pdf</w:t>
        </w:r>
      </w:hyperlink>
      <w:r>
        <w:t xml:space="preserve"> (last accessed July 14, 2026); </w:t>
      </w:r>
      <w:hyperlink r:id="rId28" w:history="1">
        <w:r>
          <w:rPr>
            <w:rStyle w:val="Hyperlink"/>
          </w:rPr>
          <w:t>https://www.cms.gov/medicare/coordination-of-benefits-and-recovery/mandatory-insurer-reporting-for-group-health-plans/ghp-training-material/downloads/querying-for-medicare-entitlement-information.pdf</w:t>
        </w:r>
      </w:hyperlink>
      <w:r>
        <w:t xml:space="preserve"> (last accessed July 14, 2026).</w:t>
      </w:r>
    </w:p>
  </w:footnote>
  <w:footnote w:id="55">
    <w:p w14:paraId="310DADF8" w14:textId="1ACC29B3" w:rsidR="007A0591" w:rsidRDefault="007A0591" w:rsidP="007A0591">
      <w:pPr>
        <w:pStyle w:val="FootnoteText"/>
      </w:pPr>
      <w:r>
        <w:rPr>
          <w:rStyle w:val="FootnoteReference"/>
        </w:rPr>
        <w:footnoteRef/>
      </w:r>
      <w:r>
        <w:t xml:space="preserve"> Refer to Chapter 6 – Guaranty Funds of this Handbook, as well as Chapter 2 of the </w:t>
      </w:r>
      <w:r w:rsidRPr="007A0591">
        <w:rPr>
          <w:i/>
          <w:iCs/>
        </w:rPr>
        <w:t>Troubled Insurance Company Handbook</w:t>
      </w:r>
      <w:r>
        <w:t xml:space="preserve"> (regulator only)</w:t>
      </w:r>
      <w:r w:rsidRPr="007A0591">
        <w:t xml:space="preserve"> </w:t>
      </w:r>
      <w:r>
        <w:t>for general guidance on communication with guaranty associations</w:t>
      </w:r>
      <w:r w:rsidR="00BB0DA3">
        <w:t>.</w:t>
      </w:r>
    </w:p>
    <w:p w14:paraId="35C8194E" w14:textId="77777777" w:rsidR="00BB0DA3" w:rsidRDefault="00BB0DA3" w:rsidP="007A0591">
      <w:pPr>
        <w:pStyle w:val="FootnoteText"/>
      </w:pPr>
    </w:p>
  </w:footnote>
  <w:footnote w:id="56">
    <w:p w14:paraId="226F7ACE" w14:textId="77777777" w:rsidR="002613B6" w:rsidRDefault="002613B6" w:rsidP="001F1F6D">
      <w:pPr>
        <w:pStyle w:val="FootnoteText"/>
      </w:pPr>
      <w:r>
        <w:rPr>
          <w:rStyle w:val="FootnoteReference"/>
        </w:rPr>
        <w:footnoteRef/>
      </w:r>
      <w:r>
        <w:t xml:space="preserve">  </w:t>
      </w:r>
      <w:r>
        <w:rPr>
          <w:i/>
          <w:iCs/>
        </w:rPr>
        <w:t xml:space="preserve">See </w:t>
      </w:r>
      <w:hyperlink r:id="rId29" w:history="1">
        <w:r>
          <w:rPr>
            <w:rStyle w:val="Hyperlink"/>
          </w:rPr>
          <w:t>https://www.ncigf.org/assets/assessments/8-UDS-Manual.pdf</w:t>
        </w:r>
      </w:hyperlink>
      <w:r>
        <w:t xml:space="preserve"> (last accessed July 27, 2026).</w:t>
      </w:r>
    </w:p>
    <w:p w14:paraId="29C6F266" w14:textId="77777777" w:rsidR="002613B6" w:rsidRDefault="002613B6" w:rsidP="002613B6">
      <w:pPr>
        <w:pStyle w:val="FootnoteText"/>
        <w:ind w:firstLine="720"/>
      </w:pPr>
    </w:p>
  </w:footnote>
  <w:footnote w:id="57">
    <w:p w14:paraId="2DC7FE12" w14:textId="77777777" w:rsidR="00292475" w:rsidRDefault="00292475" w:rsidP="00B23917">
      <w:pPr>
        <w:pStyle w:val="FootnoteText"/>
      </w:pPr>
    </w:p>
    <w:p w14:paraId="3A0060EB" w14:textId="77777777" w:rsidR="00292475" w:rsidRDefault="00292475" w:rsidP="00B23917">
      <w:pPr>
        <w:pStyle w:val="FootnoteText"/>
      </w:pPr>
    </w:p>
    <w:p w14:paraId="669AD255" w14:textId="77777777" w:rsidR="00292475" w:rsidRDefault="00292475" w:rsidP="00B23917">
      <w:pPr>
        <w:pStyle w:val="FootnoteText"/>
      </w:pPr>
    </w:p>
    <w:p w14:paraId="56737AC0" w14:textId="77777777" w:rsidR="008526DD" w:rsidRDefault="008526DD" w:rsidP="00B23917">
      <w:pPr>
        <w:pStyle w:val="FootnoteText"/>
      </w:pPr>
      <w:r>
        <w:rPr>
          <w:i/>
          <w:iCs/>
        </w:rPr>
        <w:t xml:space="preserve">See </w:t>
      </w:r>
      <w:r>
        <w:t>42 C.F.R. § 411.37.</w:t>
      </w:r>
    </w:p>
  </w:footnote>
  <w:footnote w:id="58">
    <w:p w14:paraId="547A5906" w14:textId="13E70AB7" w:rsidR="004F0560" w:rsidRDefault="004F0560" w:rsidP="00945D29">
      <w:pPr>
        <w:pStyle w:val="FootnoteText"/>
        <w:rPr>
          <w:i/>
          <w:iCs/>
        </w:rPr>
      </w:pPr>
    </w:p>
    <w:p w14:paraId="1EEB69E3" w14:textId="5E151D7A" w:rsidR="00565A23" w:rsidRDefault="00565A23" w:rsidP="00B23917">
      <w:pPr>
        <w:pStyle w:val="FootnoteText"/>
      </w:pPr>
    </w:p>
    <w:p w14:paraId="286EBE9B" w14:textId="152E17AE" w:rsidR="00292475" w:rsidRDefault="00292475" w:rsidP="00B23917">
      <w:pPr>
        <w:pStyle w:val="FootnoteText"/>
      </w:pPr>
      <w:r>
        <w:t xml:space="preserve"> </w:t>
      </w:r>
      <w:r>
        <w:rPr>
          <w:i/>
          <w:iCs/>
        </w:rPr>
        <w:t xml:space="preserve">See </w:t>
      </w:r>
      <w:r>
        <w:t>42 C.F.R. § 402.1(c)(22)(ii).</w:t>
      </w:r>
    </w:p>
    <w:p w14:paraId="4BC92AA7" w14:textId="3B9318E0" w:rsidR="00222909" w:rsidRDefault="00222909" w:rsidP="00292475">
      <w:pPr>
        <w:pStyle w:val="FootnoteText"/>
        <w:ind w:firstLine="720"/>
      </w:pPr>
    </w:p>
  </w:footnote>
  <w:footnote w:id="59">
    <w:p w14:paraId="51FB1213" w14:textId="74B60E59" w:rsidR="00565A23" w:rsidRDefault="00565A23" w:rsidP="00945D29">
      <w:pPr>
        <w:pStyle w:val="FootnoteText"/>
      </w:pPr>
    </w:p>
    <w:p w14:paraId="3AC33D8D" w14:textId="5138AD08" w:rsidR="00565A23" w:rsidRDefault="00565A23" w:rsidP="00945D29">
      <w:pPr>
        <w:pStyle w:val="FootnoteText"/>
      </w:pPr>
    </w:p>
    <w:p w14:paraId="78B84B96" w14:textId="5138AD08" w:rsidR="004F0560" w:rsidRDefault="004F0560" w:rsidP="00B23917">
      <w:pPr>
        <w:pStyle w:val="FootnoteText"/>
        <w:rPr>
          <w:i/>
          <w:iCs/>
        </w:rPr>
      </w:pPr>
      <w:r>
        <w:t xml:space="preserve"> </w:t>
      </w:r>
      <w:r>
        <w:rPr>
          <w:i/>
          <w:iCs/>
        </w:rPr>
        <w:t xml:space="preserve">See </w:t>
      </w:r>
      <w:hyperlink r:id="rId30" w:history="1">
        <w:r>
          <w:rPr>
            <w:rStyle w:val="Hyperlink"/>
          </w:rPr>
          <w:t>https://www.cms.gov/Medicare/Coordination-of-Benefits-and-Recovery/Mandatory-Insurer-Reporting-For-Group-Health-Plans/GHP-Training-Material/Downloads/Querying-for-Medicare-Entitlement-Infornmation.pdf</w:t>
        </w:r>
      </w:hyperlink>
      <w:r>
        <w:t xml:space="preserve"> (last accessed July 26, 2026); </w:t>
      </w:r>
      <w:hyperlink r:id="rId31" w:history="1">
        <w:r>
          <w:rPr>
            <w:rStyle w:val="Hyperlink"/>
          </w:rPr>
          <w:t>https://www.cms.gov/medicare/coordination-of-benefits-and-recovery/mandatory-insurer-reporting-for-non-group-health-plans/nghp-training-material/downloads/query-file.pdf</w:t>
        </w:r>
      </w:hyperlink>
      <w:r>
        <w:t xml:space="preserve"> (last accessed July 26, 2026); </w:t>
      </w:r>
      <w:hyperlink r:id="rId32" w:history="1">
        <w:r>
          <w:rPr>
            <w:rStyle w:val="Hyperlink"/>
          </w:rPr>
          <w:t>https://www.cms.gov/Medicare/Coordination-of-Benefits-and-Recovery/Mandatory-Insurer-Reporting-For-Non-Group-Health-Plans/NGHP-Training-Material/Downloads/DDE-Best-Practices.pdf</w:t>
        </w:r>
      </w:hyperlink>
      <w:r>
        <w:t xml:space="preserve"> (last accessed July 26, 2026).</w:t>
      </w:r>
    </w:p>
  </w:footnote>
  <w:footnote w:id="60">
    <w:p w14:paraId="46309CC5" w14:textId="77777777" w:rsidR="00565A23" w:rsidRDefault="00565A23" w:rsidP="00565A23">
      <w:pPr>
        <w:pStyle w:val="FootnoteText"/>
      </w:pPr>
    </w:p>
    <w:p w14:paraId="009BB348" w14:textId="69968D0A" w:rsidR="00565A23" w:rsidRDefault="00565A23" w:rsidP="00B23917">
      <w:pPr>
        <w:pStyle w:val="FootnoteText"/>
      </w:pPr>
      <w:r>
        <w:rPr>
          <w:rStyle w:val="FootnoteReference"/>
        </w:rPr>
        <w:footnoteRef/>
      </w:r>
      <w:r>
        <w:t xml:space="preserve">  </w:t>
      </w:r>
      <w:r>
        <w:rPr>
          <w:i/>
          <w:iCs/>
        </w:rPr>
        <w:t>See</w:t>
      </w:r>
      <w:r>
        <w:t xml:space="preserve"> </w:t>
      </w:r>
      <w:hyperlink r:id="rId33" w:history="1">
        <w:r>
          <w:rPr>
            <w:rStyle w:val="Hyperlink"/>
          </w:rPr>
          <w:t>https://www.cms.gov/medicare/coordination-benefits-recovery/overview/secondary-payer-recovery-portal</w:t>
        </w:r>
      </w:hyperlink>
      <w:r>
        <w:t xml:space="preserve"> (last accessed July 26, 2026).</w:t>
      </w:r>
    </w:p>
  </w:footnote>
  <w:footnote w:id="61">
    <w:p w14:paraId="2B847412" w14:textId="70398454" w:rsidR="001433B7" w:rsidRDefault="001433B7" w:rsidP="00912B85">
      <w:pPr>
        <w:pStyle w:val="FootnoteText"/>
      </w:pPr>
      <w:r>
        <w:rPr>
          <w:rStyle w:val="FootnoteReference"/>
        </w:rPr>
        <w:footnoteRef/>
      </w:r>
      <w:r>
        <w:t xml:space="preserve"> </w:t>
      </w:r>
      <w:r>
        <w:rPr>
          <w:i/>
          <w:iCs/>
        </w:rPr>
        <w:t xml:space="preserve">See, e.g., </w:t>
      </w:r>
      <w:r>
        <w:t>42 C.F.R. § 411.37.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C3C2" w14:textId="684B6B49" w:rsidR="00E20B8C" w:rsidRDefault="00E20B8C" w:rsidP="00E20B8C">
    <w:pPr>
      <w:pStyle w:val="Header"/>
      <w:jc w:val="center"/>
      <w:rPr>
        <w:i/>
        <w:sz w:val="20"/>
        <w:szCs w:val="16"/>
      </w:rPr>
    </w:pPr>
    <w:r>
      <w:rPr>
        <w:i/>
        <w:sz w:val="20"/>
        <w:szCs w:val="16"/>
      </w:rPr>
      <w:t>DRAFT: 9/28/26</w:t>
    </w:r>
  </w:p>
  <w:p w14:paraId="62E3B403" w14:textId="5C9F4F22" w:rsidR="00E20B8C" w:rsidRPr="00DE03CA" w:rsidRDefault="00E20B8C" w:rsidP="00E20B8C">
    <w:pPr>
      <w:pStyle w:val="Header"/>
      <w:jc w:val="center"/>
      <w:rPr>
        <w:sz w:val="20"/>
        <w:szCs w:val="16"/>
      </w:rPr>
    </w:pPr>
    <w:r w:rsidRPr="00DE03CA">
      <w:rPr>
        <w:i/>
        <w:sz w:val="20"/>
        <w:szCs w:val="16"/>
      </w:rPr>
      <w:t>Receivers’ Handbook for Insurance Company Insolvencies</w:t>
    </w:r>
  </w:p>
  <w:p w14:paraId="278E5BC0" w14:textId="77777777" w:rsidR="00E20B8C" w:rsidRDefault="00E20B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2A07" w14:textId="7DE553D9" w:rsidR="00E20B8C" w:rsidRDefault="00E20B8C" w:rsidP="0051753B">
    <w:pPr>
      <w:pStyle w:val="Header"/>
      <w:jc w:val="center"/>
      <w:rPr>
        <w:i/>
        <w:sz w:val="20"/>
        <w:szCs w:val="16"/>
      </w:rPr>
    </w:pPr>
    <w:r>
      <w:rPr>
        <w:i/>
        <w:sz w:val="20"/>
        <w:szCs w:val="16"/>
      </w:rPr>
      <w:t xml:space="preserve">DRAFT: </w:t>
    </w:r>
    <w:r w:rsidR="00B23917">
      <w:rPr>
        <w:i/>
        <w:sz w:val="20"/>
        <w:szCs w:val="16"/>
      </w:rPr>
      <w:t>10/23</w:t>
    </w:r>
    <w:r>
      <w:rPr>
        <w:i/>
        <w:sz w:val="20"/>
        <w:szCs w:val="16"/>
      </w:rPr>
      <w:t>/26</w:t>
    </w:r>
  </w:p>
  <w:p w14:paraId="3F697C8B" w14:textId="42D096E2" w:rsidR="0051753B" w:rsidRPr="00DE03CA" w:rsidRDefault="0051753B" w:rsidP="0051753B">
    <w:pPr>
      <w:pStyle w:val="Header"/>
      <w:jc w:val="center"/>
      <w:rPr>
        <w:sz w:val="20"/>
        <w:szCs w:val="16"/>
      </w:rPr>
    </w:pPr>
    <w:r w:rsidRPr="00DE03CA">
      <w:rPr>
        <w:i/>
        <w:sz w:val="20"/>
        <w:szCs w:val="16"/>
      </w:rPr>
      <w:t>Receivers’ Handbook for Insurance Company Insolvencies</w:t>
    </w:r>
  </w:p>
  <w:p w14:paraId="5918D107" w14:textId="77777777" w:rsidR="0051753B" w:rsidRDefault="00517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182"/>
    <w:multiLevelType w:val="hybridMultilevel"/>
    <w:tmpl w:val="0B028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B45B37"/>
    <w:multiLevelType w:val="hybridMultilevel"/>
    <w:tmpl w:val="0FE06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8A67E0C"/>
    <w:multiLevelType w:val="hybridMultilevel"/>
    <w:tmpl w:val="0FE06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B8E69DE"/>
    <w:multiLevelType w:val="hybridMultilevel"/>
    <w:tmpl w:val="6268C376"/>
    <w:lvl w:ilvl="0" w:tplc="7EF038B8">
      <w:start w:val="5"/>
      <w:numFmt w:val="lowerLetter"/>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4" w15:restartNumberingAfterBreak="0">
    <w:nsid w:val="12F574FA"/>
    <w:multiLevelType w:val="hybridMultilevel"/>
    <w:tmpl w:val="5EDCBC66"/>
    <w:lvl w:ilvl="0" w:tplc="FA9AA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00731"/>
    <w:multiLevelType w:val="hybridMultilevel"/>
    <w:tmpl w:val="4796BF66"/>
    <w:lvl w:ilvl="0" w:tplc="5E902A0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9323FAD"/>
    <w:multiLevelType w:val="hybridMultilevel"/>
    <w:tmpl w:val="6B8A29E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3B7A32"/>
    <w:multiLevelType w:val="hybridMultilevel"/>
    <w:tmpl w:val="2CD66E0A"/>
    <w:lvl w:ilvl="0" w:tplc="A664F4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C17DF8"/>
    <w:multiLevelType w:val="hybridMultilevel"/>
    <w:tmpl w:val="BF7A2D50"/>
    <w:lvl w:ilvl="0" w:tplc="518AA7D8">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962B9"/>
    <w:multiLevelType w:val="hybridMultilevel"/>
    <w:tmpl w:val="488EC71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800BF5"/>
    <w:multiLevelType w:val="hybridMultilevel"/>
    <w:tmpl w:val="F0DCAD3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225D82"/>
    <w:multiLevelType w:val="hybridMultilevel"/>
    <w:tmpl w:val="0AE8B7A0"/>
    <w:lvl w:ilvl="0" w:tplc="FFFFFFFF">
      <w:start w:val="1"/>
      <w:numFmt w:val="lowerLetter"/>
      <w:lvlText w:val="%1."/>
      <w:lvlJc w:val="left"/>
      <w:pPr>
        <w:ind w:left="360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29CE7C50"/>
    <w:multiLevelType w:val="hybridMultilevel"/>
    <w:tmpl w:val="9DA680B8"/>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2B050E24"/>
    <w:multiLevelType w:val="hybridMultilevel"/>
    <w:tmpl w:val="72EC2C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BD67227"/>
    <w:multiLevelType w:val="hybridMultilevel"/>
    <w:tmpl w:val="6FCEB966"/>
    <w:lvl w:ilvl="0" w:tplc="B71405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D4E4ADE"/>
    <w:multiLevelType w:val="hybridMultilevel"/>
    <w:tmpl w:val="0FE06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AA93094"/>
    <w:multiLevelType w:val="hybridMultilevel"/>
    <w:tmpl w:val="A656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99189E"/>
    <w:multiLevelType w:val="hybridMultilevel"/>
    <w:tmpl w:val="3D94CB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C82764A"/>
    <w:multiLevelType w:val="hybridMultilevel"/>
    <w:tmpl w:val="78CCB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DF71FE"/>
    <w:multiLevelType w:val="hybridMultilevel"/>
    <w:tmpl w:val="8F5679B0"/>
    <w:lvl w:ilvl="0" w:tplc="32264B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9958B0"/>
    <w:multiLevelType w:val="hybridMultilevel"/>
    <w:tmpl w:val="5A6C782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4D14489A"/>
    <w:multiLevelType w:val="hybridMultilevel"/>
    <w:tmpl w:val="E76E2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2" w15:restartNumberingAfterBreak="0">
    <w:nsid w:val="4D2669DE"/>
    <w:multiLevelType w:val="hybridMultilevel"/>
    <w:tmpl w:val="F01E4A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0F57BB"/>
    <w:multiLevelType w:val="hybridMultilevel"/>
    <w:tmpl w:val="5EDCBC6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EF7685F"/>
    <w:multiLevelType w:val="hybridMultilevel"/>
    <w:tmpl w:val="9FA2A1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FC00FB7"/>
    <w:multiLevelType w:val="hybridMultilevel"/>
    <w:tmpl w:val="89B2E25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651F1C"/>
    <w:multiLevelType w:val="hybridMultilevel"/>
    <w:tmpl w:val="0FE06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7A4516B"/>
    <w:multiLevelType w:val="hybridMultilevel"/>
    <w:tmpl w:val="0FE06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932640E"/>
    <w:multiLevelType w:val="hybridMultilevel"/>
    <w:tmpl w:val="618CB2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2124B"/>
    <w:multiLevelType w:val="hybridMultilevel"/>
    <w:tmpl w:val="8DB26CAE"/>
    <w:lvl w:ilvl="0" w:tplc="FFFFFFFF">
      <w:start w:val="1"/>
      <w:numFmt w:val="decimal"/>
      <w:lvlText w:val="%1."/>
      <w:lvlJc w:val="left"/>
      <w:pPr>
        <w:ind w:left="720" w:hanging="360"/>
      </w:pPr>
    </w:lvl>
    <w:lvl w:ilvl="1" w:tplc="62D88880">
      <w:start w:val="1"/>
      <w:numFmt w:val="lowerLetter"/>
      <w:lvlText w:val="%2."/>
      <w:lvlJc w:val="left"/>
      <w:pPr>
        <w:ind w:left="1440" w:hanging="360"/>
      </w:pPr>
      <w:rPr>
        <w:rFonts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2836290"/>
    <w:multiLevelType w:val="hybridMultilevel"/>
    <w:tmpl w:val="731679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75B02B08"/>
    <w:multiLevelType w:val="hybridMultilevel"/>
    <w:tmpl w:val="0FE06F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70719DE"/>
    <w:multiLevelType w:val="hybridMultilevel"/>
    <w:tmpl w:val="0F6E2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570DFE"/>
    <w:multiLevelType w:val="hybridMultilevel"/>
    <w:tmpl w:val="0FE06F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E1B17B0"/>
    <w:multiLevelType w:val="hybridMultilevel"/>
    <w:tmpl w:val="07940ADC"/>
    <w:lvl w:ilvl="0" w:tplc="FFFFFFFF">
      <w:start w:val="1"/>
      <w:numFmt w:val="decimal"/>
      <w:lvlText w:val="%1."/>
      <w:lvlJc w:val="left"/>
      <w:pPr>
        <w:ind w:left="720" w:hanging="360"/>
      </w:pPr>
    </w:lvl>
    <w:lvl w:ilvl="1" w:tplc="150AA8BE">
      <w:start w:val="1"/>
      <w:numFmt w:val="lowerLetter"/>
      <w:lvlText w:val="%2."/>
      <w:lvlJc w:val="left"/>
      <w:pPr>
        <w:ind w:left="1440" w:hanging="360"/>
      </w:pPr>
      <w:rPr>
        <w:rFonts w:ascii="Times New Roman" w:eastAsia="Times New Roman" w:hAnsi="Times New Roman" w:cstheme="minorHAns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E44455D"/>
    <w:multiLevelType w:val="hybridMultilevel"/>
    <w:tmpl w:val="89B2E25E"/>
    <w:lvl w:ilvl="0" w:tplc="FFFFFFFF">
      <w:start w:val="8"/>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604D11"/>
    <w:multiLevelType w:val="hybridMultilevel"/>
    <w:tmpl w:val="5EDCBC6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931008510">
    <w:abstractNumId w:val="18"/>
  </w:num>
  <w:num w:numId="2" w16cid:durableId="608438590">
    <w:abstractNumId w:val="21"/>
  </w:num>
  <w:num w:numId="3" w16cid:durableId="2062092061">
    <w:abstractNumId w:val="0"/>
  </w:num>
  <w:num w:numId="4" w16cid:durableId="624969923">
    <w:abstractNumId w:val="19"/>
  </w:num>
  <w:num w:numId="5" w16cid:durableId="814491207">
    <w:abstractNumId w:val="28"/>
  </w:num>
  <w:num w:numId="6" w16cid:durableId="4702907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3497366">
    <w:abstractNumId w:val="31"/>
  </w:num>
  <w:num w:numId="8" w16cid:durableId="2101482564">
    <w:abstractNumId w:val="15"/>
  </w:num>
  <w:num w:numId="9" w16cid:durableId="814417629">
    <w:abstractNumId w:val="27"/>
  </w:num>
  <w:num w:numId="10" w16cid:durableId="470682224">
    <w:abstractNumId w:val="30"/>
  </w:num>
  <w:num w:numId="11" w16cid:durableId="1840925925">
    <w:abstractNumId w:val="2"/>
  </w:num>
  <w:num w:numId="12" w16cid:durableId="124467734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7116810">
    <w:abstractNumId w:val="3"/>
  </w:num>
  <w:num w:numId="14" w16cid:durableId="1107313555">
    <w:abstractNumId w:val="13"/>
  </w:num>
  <w:num w:numId="15" w16cid:durableId="1826361245">
    <w:abstractNumId w:val="17"/>
  </w:num>
  <w:num w:numId="16" w16cid:durableId="1792825838">
    <w:abstractNumId w:val="20"/>
  </w:num>
  <w:num w:numId="17" w16cid:durableId="741755690">
    <w:abstractNumId w:val="24"/>
  </w:num>
  <w:num w:numId="18" w16cid:durableId="1874339299">
    <w:abstractNumId w:val="29"/>
  </w:num>
  <w:num w:numId="19" w16cid:durableId="253443832">
    <w:abstractNumId w:val="1"/>
  </w:num>
  <w:num w:numId="20" w16cid:durableId="1646230049">
    <w:abstractNumId w:val="12"/>
  </w:num>
  <w:num w:numId="21" w16cid:durableId="1842040564">
    <w:abstractNumId w:val="34"/>
  </w:num>
  <w:num w:numId="22" w16cid:durableId="744452891">
    <w:abstractNumId w:val="26"/>
  </w:num>
  <w:num w:numId="23" w16cid:durableId="1626307012">
    <w:abstractNumId w:val="10"/>
  </w:num>
  <w:num w:numId="24" w16cid:durableId="397674317">
    <w:abstractNumId w:val="16"/>
  </w:num>
  <w:num w:numId="25" w16cid:durableId="129440889">
    <w:abstractNumId w:val="32"/>
  </w:num>
  <w:num w:numId="26" w16cid:durableId="1457796674">
    <w:abstractNumId w:val="6"/>
  </w:num>
  <w:num w:numId="27" w16cid:durableId="2075810612">
    <w:abstractNumId w:val="9"/>
  </w:num>
  <w:num w:numId="28" w16cid:durableId="1743140965">
    <w:abstractNumId w:val="25"/>
  </w:num>
  <w:num w:numId="29" w16cid:durableId="1257784471">
    <w:abstractNumId w:val="35"/>
  </w:num>
  <w:num w:numId="30" w16cid:durableId="1658921415">
    <w:abstractNumId w:val="4"/>
  </w:num>
  <w:num w:numId="31" w16cid:durableId="1527253703">
    <w:abstractNumId w:val="5"/>
  </w:num>
  <w:num w:numId="32" w16cid:durableId="927036389">
    <w:abstractNumId w:val="14"/>
  </w:num>
  <w:num w:numId="33" w16cid:durableId="1077097539">
    <w:abstractNumId w:val="8"/>
  </w:num>
  <w:num w:numId="34" w16cid:durableId="256448624">
    <w:abstractNumId w:val="11"/>
  </w:num>
  <w:num w:numId="35" w16cid:durableId="1218518765">
    <w:abstractNumId w:val="36"/>
  </w:num>
  <w:num w:numId="36" w16cid:durableId="2071535618">
    <w:abstractNumId w:val="23"/>
  </w:num>
  <w:num w:numId="37" w16cid:durableId="1453743049">
    <w:abstractNumId w:val="22"/>
  </w:num>
  <w:num w:numId="38" w16cid:durableId="14060333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B"/>
    <w:rsid w:val="00003D1C"/>
    <w:rsid w:val="00011F8C"/>
    <w:rsid w:val="00014B62"/>
    <w:rsid w:val="000207E2"/>
    <w:rsid w:val="00020FFB"/>
    <w:rsid w:val="00026408"/>
    <w:rsid w:val="00042AB0"/>
    <w:rsid w:val="000579A3"/>
    <w:rsid w:val="000718C3"/>
    <w:rsid w:val="000738FA"/>
    <w:rsid w:val="00083CFF"/>
    <w:rsid w:val="00086DDC"/>
    <w:rsid w:val="000906D1"/>
    <w:rsid w:val="0009690D"/>
    <w:rsid w:val="000A512E"/>
    <w:rsid w:val="000B58AC"/>
    <w:rsid w:val="000B61FD"/>
    <w:rsid w:val="000C07A7"/>
    <w:rsid w:val="000D1406"/>
    <w:rsid w:val="000E0076"/>
    <w:rsid w:val="001005B5"/>
    <w:rsid w:val="0011494F"/>
    <w:rsid w:val="00117434"/>
    <w:rsid w:val="001201E8"/>
    <w:rsid w:val="001433B7"/>
    <w:rsid w:val="00152245"/>
    <w:rsid w:val="00154E40"/>
    <w:rsid w:val="00165C40"/>
    <w:rsid w:val="001978B8"/>
    <w:rsid w:val="001A6364"/>
    <w:rsid w:val="001B4260"/>
    <w:rsid w:val="001B7F5C"/>
    <w:rsid w:val="001E17A6"/>
    <w:rsid w:val="001E29FF"/>
    <w:rsid w:val="001E6F19"/>
    <w:rsid w:val="001F1F6D"/>
    <w:rsid w:val="002018C2"/>
    <w:rsid w:val="00204C62"/>
    <w:rsid w:val="00205A32"/>
    <w:rsid w:val="00220462"/>
    <w:rsid w:val="00221DDA"/>
    <w:rsid w:val="00222909"/>
    <w:rsid w:val="002352C8"/>
    <w:rsid w:val="0024555A"/>
    <w:rsid w:val="0024712B"/>
    <w:rsid w:val="002507F6"/>
    <w:rsid w:val="002613B6"/>
    <w:rsid w:val="002627FD"/>
    <w:rsid w:val="00286D03"/>
    <w:rsid w:val="002874A8"/>
    <w:rsid w:val="002912F5"/>
    <w:rsid w:val="00292475"/>
    <w:rsid w:val="002C6AC7"/>
    <w:rsid w:val="002D335A"/>
    <w:rsid w:val="002D7396"/>
    <w:rsid w:val="002F650E"/>
    <w:rsid w:val="00320956"/>
    <w:rsid w:val="00335277"/>
    <w:rsid w:val="00337B0E"/>
    <w:rsid w:val="00361BA0"/>
    <w:rsid w:val="00364854"/>
    <w:rsid w:val="0036724D"/>
    <w:rsid w:val="00370120"/>
    <w:rsid w:val="003B499A"/>
    <w:rsid w:val="003C378D"/>
    <w:rsid w:val="003C5C9E"/>
    <w:rsid w:val="003C69B4"/>
    <w:rsid w:val="003D09A5"/>
    <w:rsid w:val="003D7A5B"/>
    <w:rsid w:val="003E757E"/>
    <w:rsid w:val="003F1740"/>
    <w:rsid w:val="0040156B"/>
    <w:rsid w:val="004021C9"/>
    <w:rsid w:val="00420EAF"/>
    <w:rsid w:val="00432AF8"/>
    <w:rsid w:val="00454B44"/>
    <w:rsid w:val="00457D34"/>
    <w:rsid w:val="004604DE"/>
    <w:rsid w:val="004674E4"/>
    <w:rsid w:val="00480FF2"/>
    <w:rsid w:val="004A2359"/>
    <w:rsid w:val="004A545C"/>
    <w:rsid w:val="004C714B"/>
    <w:rsid w:val="004D645F"/>
    <w:rsid w:val="004E4660"/>
    <w:rsid w:val="004F0560"/>
    <w:rsid w:val="005060C9"/>
    <w:rsid w:val="0051753B"/>
    <w:rsid w:val="00524AD3"/>
    <w:rsid w:val="005318C4"/>
    <w:rsid w:val="00543711"/>
    <w:rsid w:val="005577F9"/>
    <w:rsid w:val="00565A23"/>
    <w:rsid w:val="00572BAF"/>
    <w:rsid w:val="00576823"/>
    <w:rsid w:val="005775A0"/>
    <w:rsid w:val="0058394E"/>
    <w:rsid w:val="005877BC"/>
    <w:rsid w:val="005A63BD"/>
    <w:rsid w:val="005B7EA7"/>
    <w:rsid w:val="005D0A57"/>
    <w:rsid w:val="005D2CE5"/>
    <w:rsid w:val="005D6CD0"/>
    <w:rsid w:val="005E1889"/>
    <w:rsid w:val="006007BE"/>
    <w:rsid w:val="00606591"/>
    <w:rsid w:val="00606D1E"/>
    <w:rsid w:val="00610F4D"/>
    <w:rsid w:val="00620DDB"/>
    <w:rsid w:val="0063524A"/>
    <w:rsid w:val="00651F08"/>
    <w:rsid w:val="00665639"/>
    <w:rsid w:val="00671152"/>
    <w:rsid w:val="006712F0"/>
    <w:rsid w:val="00671B27"/>
    <w:rsid w:val="00676D91"/>
    <w:rsid w:val="006B11EA"/>
    <w:rsid w:val="006C0F17"/>
    <w:rsid w:val="006C200F"/>
    <w:rsid w:val="006C32CD"/>
    <w:rsid w:val="006E0BF3"/>
    <w:rsid w:val="006E78AE"/>
    <w:rsid w:val="006F1EFD"/>
    <w:rsid w:val="006F3DD9"/>
    <w:rsid w:val="00712CF1"/>
    <w:rsid w:val="00725B1C"/>
    <w:rsid w:val="0073640E"/>
    <w:rsid w:val="00764524"/>
    <w:rsid w:val="00767031"/>
    <w:rsid w:val="00770159"/>
    <w:rsid w:val="00771D08"/>
    <w:rsid w:val="00780750"/>
    <w:rsid w:val="00793D5F"/>
    <w:rsid w:val="007A0591"/>
    <w:rsid w:val="007A2961"/>
    <w:rsid w:val="007B5E04"/>
    <w:rsid w:val="007C500B"/>
    <w:rsid w:val="007D0B98"/>
    <w:rsid w:val="007D318F"/>
    <w:rsid w:val="007E6B08"/>
    <w:rsid w:val="007F01B4"/>
    <w:rsid w:val="007F0931"/>
    <w:rsid w:val="007F3F13"/>
    <w:rsid w:val="007F5AFE"/>
    <w:rsid w:val="00803D63"/>
    <w:rsid w:val="00810CB9"/>
    <w:rsid w:val="00827488"/>
    <w:rsid w:val="00836664"/>
    <w:rsid w:val="00836AB4"/>
    <w:rsid w:val="00843696"/>
    <w:rsid w:val="00845854"/>
    <w:rsid w:val="00846E76"/>
    <w:rsid w:val="008526DD"/>
    <w:rsid w:val="00854548"/>
    <w:rsid w:val="008620A0"/>
    <w:rsid w:val="008661F8"/>
    <w:rsid w:val="00871A92"/>
    <w:rsid w:val="008726C6"/>
    <w:rsid w:val="00877CD4"/>
    <w:rsid w:val="008958BA"/>
    <w:rsid w:val="008A7C8F"/>
    <w:rsid w:val="008B5EEF"/>
    <w:rsid w:val="008C0EA7"/>
    <w:rsid w:val="008D52EA"/>
    <w:rsid w:val="008D56DA"/>
    <w:rsid w:val="008F099C"/>
    <w:rsid w:val="00900E08"/>
    <w:rsid w:val="00910DD9"/>
    <w:rsid w:val="00912B85"/>
    <w:rsid w:val="00913397"/>
    <w:rsid w:val="00921744"/>
    <w:rsid w:val="0092322A"/>
    <w:rsid w:val="00934F81"/>
    <w:rsid w:val="00935FEB"/>
    <w:rsid w:val="00937279"/>
    <w:rsid w:val="00937EC0"/>
    <w:rsid w:val="00940572"/>
    <w:rsid w:val="00943FD8"/>
    <w:rsid w:val="009450EA"/>
    <w:rsid w:val="00945D29"/>
    <w:rsid w:val="00953E28"/>
    <w:rsid w:val="00954141"/>
    <w:rsid w:val="009931DF"/>
    <w:rsid w:val="009A19A6"/>
    <w:rsid w:val="009B72B1"/>
    <w:rsid w:val="009C0E5C"/>
    <w:rsid w:val="009C110D"/>
    <w:rsid w:val="009D4EAB"/>
    <w:rsid w:val="00A15C7F"/>
    <w:rsid w:val="00A243CC"/>
    <w:rsid w:val="00A271C4"/>
    <w:rsid w:val="00A44BB2"/>
    <w:rsid w:val="00A72108"/>
    <w:rsid w:val="00A94797"/>
    <w:rsid w:val="00AA6530"/>
    <w:rsid w:val="00AB1C3D"/>
    <w:rsid w:val="00AC1AB3"/>
    <w:rsid w:val="00AC6A19"/>
    <w:rsid w:val="00AC7AD0"/>
    <w:rsid w:val="00AE4855"/>
    <w:rsid w:val="00AE7FB5"/>
    <w:rsid w:val="00B072A7"/>
    <w:rsid w:val="00B1467C"/>
    <w:rsid w:val="00B22069"/>
    <w:rsid w:val="00B23917"/>
    <w:rsid w:val="00B34CF2"/>
    <w:rsid w:val="00B73E69"/>
    <w:rsid w:val="00B811D5"/>
    <w:rsid w:val="00B95023"/>
    <w:rsid w:val="00B97849"/>
    <w:rsid w:val="00BB0DA3"/>
    <w:rsid w:val="00BC3385"/>
    <w:rsid w:val="00BF57E2"/>
    <w:rsid w:val="00C0467A"/>
    <w:rsid w:val="00C10CBA"/>
    <w:rsid w:val="00C141C5"/>
    <w:rsid w:val="00C20FD5"/>
    <w:rsid w:val="00C212A4"/>
    <w:rsid w:val="00C31BCF"/>
    <w:rsid w:val="00C3718B"/>
    <w:rsid w:val="00C40870"/>
    <w:rsid w:val="00C8069D"/>
    <w:rsid w:val="00C85EE2"/>
    <w:rsid w:val="00C919E7"/>
    <w:rsid w:val="00C931D8"/>
    <w:rsid w:val="00C955D0"/>
    <w:rsid w:val="00C97EAE"/>
    <w:rsid w:val="00CA6074"/>
    <w:rsid w:val="00CB1BB3"/>
    <w:rsid w:val="00CE7BAD"/>
    <w:rsid w:val="00D10DD5"/>
    <w:rsid w:val="00D22A68"/>
    <w:rsid w:val="00D23048"/>
    <w:rsid w:val="00D35B51"/>
    <w:rsid w:val="00D460CB"/>
    <w:rsid w:val="00D558D7"/>
    <w:rsid w:val="00D74215"/>
    <w:rsid w:val="00D7573B"/>
    <w:rsid w:val="00D75F6F"/>
    <w:rsid w:val="00D8608F"/>
    <w:rsid w:val="00D87D10"/>
    <w:rsid w:val="00DA0D09"/>
    <w:rsid w:val="00DA7E83"/>
    <w:rsid w:val="00DD2523"/>
    <w:rsid w:val="00DE27D7"/>
    <w:rsid w:val="00DE5025"/>
    <w:rsid w:val="00DF2138"/>
    <w:rsid w:val="00DF7DB5"/>
    <w:rsid w:val="00E14F0B"/>
    <w:rsid w:val="00E20B8C"/>
    <w:rsid w:val="00E2299F"/>
    <w:rsid w:val="00E625AA"/>
    <w:rsid w:val="00E70F8C"/>
    <w:rsid w:val="00E710A2"/>
    <w:rsid w:val="00E74D70"/>
    <w:rsid w:val="00E806D6"/>
    <w:rsid w:val="00E81C92"/>
    <w:rsid w:val="00E821C4"/>
    <w:rsid w:val="00E84DCA"/>
    <w:rsid w:val="00E85BAF"/>
    <w:rsid w:val="00EB602E"/>
    <w:rsid w:val="00EC10E0"/>
    <w:rsid w:val="00EC4076"/>
    <w:rsid w:val="00EC7CB7"/>
    <w:rsid w:val="00EC7D31"/>
    <w:rsid w:val="00ED42C3"/>
    <w:rsid w:val="00ED53C7"/>
    <w:rsid w:val="00F0565D"/>
    <w:rsid w:val="00F25958"/>
    <w:rsid w:val="00F356E7"/>
    <w:rsid w:val="00F41AD4"/>
    <w:rsid w:val="00F44DA2"/>
    <w:rsid w:val="00F607E3"/>
    <w:rsid w:val="00F65143"/>
    <w:rsid w:val="00F772A6"/>
    <w:rsid w:val="00F80FBC"/>
    <w:rsid w:val="00F83BF6"/>
    <w:rsid w:val="00FA7F4C"/>
    <w:rsid w:val="00FB1256"/>
    <w:rsid w:val="00FB361D"/>
    <w:rsid w:val="00FD1A6A"/>
    <w:rsid w:val="00FD1BEF"/>
    <w:rsid w:val="00FE227D"/>
    <w:rsid w:val="00FE2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FC0B"/>
  <w15:chartTrackingRefBased/>
  <w15:docId w15:val="{B2A077E7-48AC-4F6C-AB24-4587C91CA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5B"/>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3D7A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A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5B"/>
    <w:rPr>
      <w:rFonts w:eastAsiaTheme="majorEastAsia" w:cstheme="majorBidi"/>
      <w:color w:val="272727" w:themeColor="text1" w:themeTint="D8"/>
    </w:rPr>
  </w:style>
  <w:style w:type="paragraph" w:styleId="Title">
    <w:name w:val="Title"/>
    <w:basedOn w:val="Normal"/>
    <w:next w:val="Normal"/>
    <w:link w:val="TitleChar"/>
    <w:uiPriority w:val="10"/>
    <w:qFormat/>
    <w:rsid w:val="003D7A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A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5B"/>
    <w:pPr>
      <w:spacing w:before="160"/>
      <w:jc w:val="center"/>
    </w:pPr>
    <w:rPr>
      <w:i/>
      <w:iCs/>
      <w:color w:val="404040" w:themeColor="text1" w:themeTint="BF"/>
    </w:rPr>
  </w:style>
  <w:style w:type="character" w:customStyle="1" w:styleId="QuoteChar">
    <w:name w:val="Quote Char"/>
    <w:basedOn w:val="DefaultParagraphFont"/>
    <w:link w:val="Quote"/>
    <w:uiPriority w:val="29"/>
    <w:rsid w:val="003D7A5B"/>
    <w:rPr>
      <w:i/>
      <w:iCs/>
      <w:color w:val="404040" w:themeColor="text1" w:themeTint="BF"/>
    </w:rPr>
  </w:style>
  <w:style w:type="paragraph" w:styleId="ListParagraph">
    <w:name w:val="List Paragraph"/>
    <w:basedOn w:val="Normal"/>
    <w:uiPriority w:val="34"/>
    <w:qFormat/>
    <w:rsid w:val="003D7A5B"/>
    <w:pPr>
      <w:ind w:left="720"/>
      <w:contextualSpacing/>
    </w:pPr>
  </w:style>
  <w:style w:type="character" w:styleId="IntenseEmphasis">
    <w:name w:val="Intense Emphasis"/>
    <w:basedOn w:val="DefaultParagraphFont"/>
    <w:uiPriority w:val="21"/>
    <w:qFormat/>
    <w:rsid w:val="003D7A5B"/>
    <w:rPr>
      <w:i/>
      <w:iCs/>
      <w:color w:val="0F4761" w:themeColor="accent1" w:themeShade="BF"/>
    </w:rPr>
  </w:style>
  <w:style w:type="paragraph" w:styleId="IntenseQuote">
    <w:name w:val="Intense Quote"/>
    <w:basedOn w:val="Normal"/>
    <w:next w:val="Normal"/>
    <w:link w:val="IntenseQuoteChar"/>
    <w:uiPriority w:val="30"/>
    <w:qFormat/>
    <w:rsid w:val="003D7A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5B"/>
    <w:rPr>
      <w:i/>
      <w:iCs/>
      <w:color w:val="0F4761" w:themeColor="accent1" w:themeShade="BF"/>
    </w:rPr>
  </w:style>
  <w:style w:type="character" w:styleId="IntenseReference">
    <w:name w:val="Intense Reference"/>
    <w:basedOn w:val="DefaultParagraphFont"/>
    <w:uiPriority w:val="32"/>
    <w:qFormat/>
    <w:rsid w:val="003D7A5B"/>
    <w:rPr>
      <w:b/>
      <w:bCs/>
      <w:smallCaps/>
      <w:color w:val="0F4761" w:themeColor="accent1" w:themeShade="BF"/>
      <w:spacing w:val="5"/>
    </w:rPr>
  </w:style>
  <w:style w:type="character" w:styleId="Hyperlink">
    <w:name w:val="Hyperlink"/>
    <w:rsid w:val="003D7A5B"/>
    <w:rPr>
      <w:color w:val="0000FF"/>
      <w:u w:val="single"/>
    </w:rPr>
  </w:style>
  <w:style w:type="table" w:styleId="TableGrid">
    <w:name w:val="Table Grid"/>
    <w:basedOn w:val="TableNormal"/>
    <w:uiPriority w:val="59"/>
    <w:rsid w:val="003D7A5B"/>
    <w:pPr>
      <w:widowControl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51753B"/>
    <w:pPr>
      <w:tabs>
        <w:tab w:val="center" w:pos="4680"/>
        <w:tab w:val="right" w:pos="9360"/>
      </w:tabs>
    </w:pPr>
  </w:style>
  <w:style w:type="character" w:customStyle="1" w:styleId="HeaderChar">
    <w:name w:val="Header Char"/>
    <w:basedOn w:val="DefaultParagraphFont"/>
    <w:link w:val="Header"/>
    <w:rsid w:val="0051753B"/>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unhideWhenUsed/>
    <w:rsid w:val="0051753B"/>
    <w:pPr>
      <w:tabs>
        <w:tab w:val="center" w:pos="4680"/>
        <w:tab w:val="right" w:pos="9360"/>
      </w:tabs>
    </w:pPr>
  </w:style>
  <w:style w:type="character" w:customStyle="1" w:styleId="FooterChar">
    <w:name w:val="Footer Char"/>
    <w:basedOn w:val="DefaultParagraphFont"/>
    <w:link w:val="Footer"/>
    <w:uiPriority w:val="99"/>
    <w:rsid w:val="0051753B"/>
    <w:rPr>
      <w:rFonts w:ascii="Times New Roman" w:eastAsia="Times New Roman" w:hAnsi="Times New Roman" w:cs="Times New Roman"/>
      <w:snapToGrid w:val="0"/>
      <w:kern w:val="0"/>
      <w:szCs w:val="20"/>
      <w14:ligatures w14:val="none"/>
    </w:rPr>
  </w:style>
  <w:style w:type="paragraph" w:styleId="FootnoteText">
    <w:name w:val="footnote text"/>
    <w:basedOn w:val="Normal"/>
    <w:link w:val="FootnoteTextChar"/>
    <w:uiPriority w:val="99"/>
    <w:semiHidden/>
    <w:unhideWhenUsed/>
    <w:rsid w:val="00C955D0"/>
    <w:pPr>
      <w:widowControl/>
      <w:tabs>
        <w:tab w:val="left" w:pos="360"/>
      </w:tabs>
    </w:pPr>
    <w:rPr>
      <w:snapToGrid/>
      <w:sz w:val="20"/>
    </w:rPr>
  </w:style>
  <w:style w:type="character" w:customStyle="1" w:styleId="FootnoteTextChar">
    <w:name w:val="Footnote Text Char"/>
    <w:basedOn w:val="DefaultParagraphFont"/>
    <w:link w:val="FootnoteText"/>
    <w:uiPriority w:val="99"/>
    <w:semiHidden/>
    <w:rsid w:val="00C955D0"/>
    <w:rPr>
      <w:rFonts w:ascii="Times New Roman" w:eastAsia="Times New Roman" w:hAnsi="Times New Roman" w:cs="Times New Roman"/>
      <w:kern w:val="0"/>
      <w:sz w:val="20"/>
      <w:szCs w:val="20"/>
      <w14:ligatures w14:val="none"/>
    </w:rPr>
  </w:style>
  <w:style w:type="paragraph" w:styleId="BodyText3">
    <w:name w:val="Body Text 3"/>
    <w:basedOn w:val="Normal"/>
    <w:link w:val="BodyText3Char"/>
    <w:semiHidden/>
    <w:unhideWhenUsed/>
    <w:qFormat/>
    <w:rsid w:val="00C955D0"/>
    <w:pPr>
      <w:widowControl/>
      <w:spacing w:after="220"/>
      <w:ind w:left="1080"/>
      <w:jc w:val="both"/>
    </w:pPr>
    <w:rPr>
      <w:snapToGrid/>
      <w:sz w:val="22"/>
      <w:szCs w:val="16"/>
    </w:rPr>
  </w:style>
  <w:style w:type="character" w:customStyle="1" w:styleId="BodyText3Char">
    <w:name w:val="Body Text 3 Char"/>
    <w:basedOn w:val="DefaultParagraphFont"/>
    <w:link w:val="BodyText3"/>
    <w:semiHidden/>
    <w:rsid w:val="00C955D0"/>
    <w:rPr>
      <w:rFonts w:ascii="Times New Roman" w:eastAsia="Times New Roman" w:hAnsi="Times New Roman" w:cs="Times New Roman"/>
      <w:kern w:val="0"/>
      <w:sz w:val="22"/>
      <w:szCs w:val="16"/>
      <w14:ligatures w14:val="none"/>
    </w:rPr>
  </w:style>
  <w:style w:type="character" w:customStyle="1" w:styleId="TOC2Char">
    <w:name w:val="TOC2 Char"/>
    <w:link w:val="TOC2"/>
    <w:locked/>
    <w:rsid w:val="00C955D0"/>
    <w:rPr>
      <w:rFonts w:ascii="Times New Roman" w:eastAsia="Times New Roman" w:hAnsi="Times New Roman" w:cs="Times New Roman"/>
      <w:kern w:val="0"/>
      <w:sz w:val="22"/>
      <w:szCs w:val="22"/>
      <w14:ligatures w14:val="none"/>
    </w:rPr>
  </w:style>
  <w:style w:type="paragraph" w:customStyle="1" w:styleId="TOC2">
    <w:name w:val="TOC2"/>
    <w:basedOn w:val="Heading3"/>
    <w:link w:val="TOC2Char"/>
    <w:qFormat/>
    <w:rsid w:val="00C955D0"/>
    <w:pPr>
      <w:keepLines w:val="0"/>
      <w:widowControl/>
      <w:tabs>
        <w:tab w:val="left" w:pos="1080"/>
        <w:tab w:val="right" w:leader="dot" w:pos="10080"/>
      </w:tabs>
      <w:spacing w:before="0" w:after="0"/>
      <w:ind w:left="1080" w:hanging="360"/>
    </w:pPr>
    <w:rPr>
      <w:rFonts w:eastAsia="Times New Roman" w:cs="Times New Roman"/>
      <w:snapToGrid/>
      <w:color w:val="auto"/>
      <w:sz w:val="22"/>
      <w:szCs w:val="22"/>
    </w:rPr>
  </w:style>
  <w:style w:type="character" w:customStyle="1" w:styleId="TOC3Char">
    <w:name w:val="TOC3 Char"/>
    <w:link w:val="TOC3"/>
    <w:locked/>
    <w:rsid w:val="00C955D0"/>
    <w:rPr>
      <w:rFonts w:ascii="Times New Roman" w:eastAsia="Times New Roman" w:hAnsi="Times New Roman" w:cs="Times New Roman"/>
      <w:bCs/>
      <w:color w:val="FF0000"/>
      <w:kern w:val="0"/>
      <w:sz w:val="22"/>
      <w:szCs w:val="20"/>
      <w14:ligatures w14:val="none"/>
    </w:rPr>
  </w:style>
  <w:style w:type="paragraph" w:customStyle="1" w:styleId="TOC3">
    <w:name w:val="TOC3"/>
    <w:basedOn w:val="Normal"/>
    <w:link w:val="TOC3Char"/>
    <w:autoRedefine/>
    <w:qFormat/>
    <w:rsid w:val="00C955D0"/>
    <w:pPr>
      <w:keepNext/>
      <w:keepLines/>
      <w:widowControl/>
      <w:spacing w:after="220"/>
      <w:ind w:left="1080" w:hanging="360"/>
      <w:jc w:val="both"/>
      <w:outlineLvl w:val="1"/>
    </w:pPr>
    <w:rPr>
      <w:bCs/>
      <w:snapToGrid/>
      <w:color w:val="FF0000"/>
      <w:sz w:val="22"/>
    </w:rPr>
  </w:style>
  <w:style w:type="character" w:styleId="FootnoteReference">
    <w:name w:val="footnote reference"/>
    <w:uiPriority w:val="99"/>
    <w:semiHidden/>
    <w:unhideWhenUsed/>
    <w:rsid w:val="00C955D0"/>
    <w:rPr>
      <w:vertAlign w:val="superscript"/>
    </w:rPr>
  </w:style>
  <w:style w:type="paragraph" w:customStyle="1" w:styleId="Default">
    <w:name w:val="Default"/>
    <w:rsid w:val="00D22A68"/>
    <w:pPr>
      <w:autoSpaceDE w:val="0"/>
      <w:autoSpaceDN w:val="0"/>
      <w:adjustRightInd w:val="0"/>
      <w:spacing w:after="0" w:line="240" w:lineRule="auto"/>
    </w:pPr>
    <w:rPr>
      <w:rFonts w:ascii="Calibri" w:hAnsi="Calibri" w:cs="Calibri"/>
      <w:color w:val="000000"/>
      <w:kern w:val="0"/>
    </w:rPr>
  </w:style>
  <w:style w:type="character" w:styleId="FollowedHyperlink">
    <w:name w:val="FollowedHyperlink"/>
    <w:basedOn w:val="DefaultParagraphFont"/>
    <w:uiPriority w:val="99"/>
    <w:semiHidden/>
    <w:unhideWhenUsed/>
    <w:rsid w:val="00764524"/>
    <w:rPr>
      <w:color w:val="96607D" w:themeColor="followedHyperlink"/>
      <w:u w:val="single"/>
    </w:rPr>
  </w:style>
  <w:style w:type="paragraph" w:styleId="Revision">
    <w:name w:val="Revision"/>
    <w:hidden/>
    <w:uiPriority w:val="99"/>
    <w:semiHidden/>
    <w:rsid w:val="005318C4"/>
    <w:pPr>
      <w:spacing w:after="0" w:line="240" w:lineRule="auto"/>
    </w:pPr>
    <w:rPr>
      <w:rFonts w:ascii="Times New Roman" w:eastAsia="Times New Roman" w:hAnsi="Times New Roman" w:cs="Times New Roman"/>
      <w:snapToGrid w:val="0"/>
      <w:kern w:val="0"/>
      <w:szCs w:val="20"/>
      <w14:ligatures w14:val="none"/>
    </w:rPr>
  </w:style>
  <w:style w:type="character" w:styleId="CommentReference">
    <w:name w:val="annotation reference"/>
    <w:basedOn w:val="DefaultParagraphFont"/>
    <w:uiPriority w:val="99"/>
    <w:semiHidden/>
    <w:unhideWhenUsed/>
    <w:rsid w:val="00827488"/>
    <w:rPr>
      <w:sz w:val="16"/>
      <w:szCs w:val="16"/>
    </w:rPr>
  </w:style>
  <w:style w:type="paragraph" w:styleId="CommentText">
    <w:name w:val="annotation text"/>
    <w:basedOn w:val="Normal"/>
    <w:link w:val="CommentTextChar"/>
    <w:uiPriority w:val="99"/>
    <w:unhideWhenUsed/>
    <w:rsid w:val="00827488"/>
    <w:rPr>
      <w:sz w:val="20"/>
    </w:rPr>
  </w:style>
  <w:style w:type="character" w:customStyle="1" w:styleId="CommentTextChar">
    <w:name w:val="Comment Text Char"/>
    <w:basedOn w:val="DefaultParagraphFont"/>
    <w:link w:val="CommentText"/>
    <w:uiPriority w:val="99"/>
    <w:rsid w:val="00827488"/>
    <w:rPr>
      <w:rFonts w:ascii="Times New Roman" w:eastAsia="Times New Roman" w:hAnsi="Times New Roman" w:cs="Times New Roman"/>
      <w:snapToGrid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27488"/>
    <w:rPr>
      <w:b/>
      <w:bCs/>
    </w:rPr>
  </w:style>
  <w:style w:type="character" w:customStyle="1" w:styleId="CommentSubjectChar">
    <w:name w:val="Comment Subject Char"/>
    <w:basedOn w:val="CommentTextChar"/>
    <w:link w:val="CommentSubject"/>
    <w:uiPriority w:val="99"/>
    <w:semiHidden/>
    <w:rsid w:val="00827488"/>
    <w:rPr>
      <w:rFonts w:ascii="Times New Roman" w:eastAsia="Times New Roman" w:hAnsi="Times New Roman" w:cs="Times New Roman"/>
      <w:b/>
      <w:bCs/>
      <w:snapToGrid w:val="0"/>
      <w:kern w:val="0"/>
      <w:sz w:val="20"/>
      <w:szCs w:val="20"/>
      <w14:ligatures w14:val="none"/>
    </w:rPr>
  </w:style>
  <w:style w:type="paragraph" w:styleId="NormalWeb">
    <w:name w:val="Normal (Web)"/>
    <w:basedOn w:val="Normal"/>
    <w:uiPriority w:val="99"/>
    <w:semiHidden/>
    <w:unhideWhenUsed/>
    <w:rsid w:val="004C714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42/chapter-IV/subchapter-A/part-402/subpart-A/section-402.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cfr.gov/current/title-42/chapter-IV/subchapter-B/part-41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ms.gov/MandatoryInsRe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3" Type="http://schemas.openxmlformats.org/officeDocument/2006/relationships/hyperlink" Target="https://www.cms.gov/regulations-and-guidance/guidance/manuals/downloads/fin106c04pdf.pdf" TargetMode="External"/><Relationship Id="rId18" Type="http://schemas.openxmlformats.org/officeDocument/2006/relationships/hyperlink" Target="https://www.cms.gov/files/document/mmsea-111-july-13-2026-nghp-user-guide-version-8-5-chapter-iv-technical-information.pdf" TargetMode="External"/><Relationship Id="rId26" Type="http://schemas.openxmlformats.org/officeDocument/2006/relationships/hyperlink" Target="https://www.cms.gov/medicare/coordination-of-benefits-and-recovery/mandatory-insurer-reporting-for-non-group-health-plans/nghp-training-material/downloads/query-file.pdf" TargetMode="External"/><Relationship Id="rId3" Type="http://schemas.openxmlformats.org/officeDocument/2006/relationships/hyperlink" Target="https://www.cms.gov/files/document/mmsea-111-july-13-2026-nghp-user-guide-version-8-5-chapter-i-introduction-overview.pdf" TargetMode="External"/><Relationship Id="rId21" Type="http://schemas.openxmlformats.org/officeDocument/2006/relationships/hyperlink" Target="https://www.cms.gov/files/document/mmsea-111-july-13-2026-nghp-user-guide-version-8-5-chapter-i-introduction-overview.pdf" TargetMode="External"/><Relationship Id="rId7" Type="http://schemas.openxmlformats.org/officeDocument/2006/relationships/hyperlink" Target="https://www.cms.gov/medicare/coordination-benefits-recovery/overview" TargetMode="External"/><Relationship Id="rId12" Type="http://schemas.openxmlformats.org/officeDocument/2006/relationships/hyperlink" Target="https://www.cms.gov/files/document/chapter-7-msp-recovery.pdf" TargetMode="External"/><Relationship Id="rId17" Type="http://schemas.openxmlformats.org/officeDocument/2006/relationships/hyperlink" Target="https://www.cms.gov/medicare/coordination-of-benefits-and-recovery/mandatory-insurer-reporting-for-group-health-plans/ghp-training-material/downloads/querying-for-medicare-entitlement-information.pdf" TargetMode="External"/><Relationship Id="rId25" Type="http://schemas.openxmlformats.org/officeDocument/2006/relationships/hyperlink" Target="https://www.cms.gov/files/document/mmsea-111-july-13-2026-nghp-user-guide-version-8-5-chapter-iii-policy-guidance.pdf" TargetMode="External"/><Relationship Id="rId33" Type="http://schemas.openxmlformats.org/officeDocument/2006/relationships/hyperlink" Target="https://www.cms.gov/medicare/coordination-benefits-recovery/overview/secondary-payer-recovery-portal" TargetMode="External"/><Relationship Id="rId2" Type="http://schemas.openxmlformats.org/officeDocument/2006/relationships/hyperlink" Target="https://www.cms.gov/files/document/mmsea-section-111-ghp-user-guide-version-7-9-july-13-2026.pdf" TargetMode="External"/><Relationship Id="rId16" Type="http://schemas.openxmlformats.org/officeDocument/2006/relationships/hyperlink" Target="https://www.cms.gov/medicare/coordination-of-benefits-and-recovery/mandatory-insurer-reporting-for-non-group-health-plans/nghp-training-material/downloads/beneficiary-lookup.pdf" TargetMode="External"/><Relationship Id="rId20" Type="http://schemas.openxmlformats.org/officeDocument/2006/relationships/hyperlink" Target="https://www.cms.gov/files/document/mmsea-111-july-13-2026-nghp-user-guide-version-8-5-chapter-i-introduction-overview.pdf" TargetMode="External"/><Relationship Id="rId29" Type="http://schemas.openxmlformats.org/officeDocument/2006/relationships/hyperlink" Target="https://www.ncigf.org/assets/assessments/8-UDS-Manual.pdf" TargetMode="External"/><Relationship Id="rId1" Type="http://schemas.openxmlformats.org/officeDocument/2006/relationships/hyperlink" Target="https://www.cms.gov/files/document/mmsea-111-july-13-2026-nghp-user-guide-version-8-5-chapter-i-introduction-overview.pdf" TargetMode="External"/><Relationship Id="rId6" Type="http://schemas.openxmlformats.org/officeDocument/2006/relationships/hyperlink" Target="https://www.cms.gov/about-cms" TargetMode="External"/><Relationship Id="rId11" Type="http://schemas.openxmlformats.org/officeDocument/2006/relationships/hyperlink" Target="https://www.cms.gov/regulations-and-guidance/guidance/manuals/internet-only-manuals-ioms-items/cms019017" TargetMode="External"/><Relationship Id="rId24" Type="http://schemas.openxmlformats.org/officeDocument/2006/relationships/hyperlink" Target="https://www.cms.gov/files/document/mmsea-section-111-ghp-user-guide-version-7-9-july-13-2026.pdf" TargetMode="External"/><Relationship Id="rId32" Type="http://schemas.openxmlformats.org/officeDocument/2006/relationships/hyperlink" Target="https://www.cms.gov/Medicare/Coordination-of-Benefits-and-Recovery/Mandatory-Insurer-Reporting-For-Non-Group-Health-Plans/NGHP-Training-Material/Downloads/DDE-Best-Practices.pdf" TargetMode="External"/><Relationship Id="rId5" Type="http://schemas.openxmlformats.org/officeDocument/2006/relationships/hyperlink" Target="https://www.cms.gov/files/document/mmsea-section-111-ghp-user-guide-version-7-9-july-13-2026.pdf" TargetMode="External"/><Relationship Id="rId15" Type="http://schemas.openxmlformats.org/officeDocument/2006/relationships/hyperlink" Target="https://www.cms.gov/medicare/coordination-of-benefits-and-recovery/mandatory-insurer-reporting-for-non-group-health-plans/nghp-training-material/downloads/query-file.pdf" TargetMode="External"/><Relationship Id="rId23" Type="http://schemas.openxmlformats.org/officeDocument/2006/relationships/hyperlink" Target="https://www.cms.gov/files/document/mmsea-111-july-13-2026-nghp-user-guide-version-8-5-chapter-iii-policy-guidance.pdf" TargetMode="External"/><Relationship Id="rId28" Type="http://schemas.openxmlformats.org/officeDocument/2006/relationships/hyperlink" Target="https://www.cms.gov/medicare/coordination-of-benefits-and-recovery/mandatory-insurer-reporting-for-group-health-plans/ghp-training-material/downloads/querying-for-medicare-entitlement-information.pdf" TargetMode="External"/><Relationship Id="rId10" Type="http://schemas.openxmlformats.org/officeDocument/2006/relationships/hyperlink" Target="https://www.cms.gov/files/document/medicare-secondary-payer-commercial-repayment-center-fiscal-year-2023.pdf" TargetMode="External"/><Relationship Id="rId19" Type="http://schemas.openxmlformats.org/officeDocument/2006/relationships/hyperlink" Target="https://www.cms.gov/files/document/mmsea-section-111-ghp-user-guide-version-7-9-july-13-2026.pdf" TargetMode="External"/><Relationship Id="rId31" Type="http://schemas.openxmlformats.org/officeDocument/2006/relationships/hyperlink" Target="https://www.cms.gov/medicare/coordination-of-benefits-and-recovery/mandatory-insurer-reporting-for-non-group-health-plans/nghp-training-material/downloads/query-file.pdf" TargetMode="External"/><Relationship Id="rId4" Type="http://schemas.openxmlformats.org/officeDocument/2006/relationships/hyperlink" Target="https://www.cms.gov/files/document/mmsea-111-july-13-2026-nghp-user-guide-version-8-5-chapter-iii-policy-guidance.pdf" TargetMode="External"/><Relationship Id="rId9" Type="http://schemas.openxmlformats.org/officeDocument/2006/relationships/hyperlink" Target="https://www.cms.gov/medicare/coordination-benefits-recovery/overview" TargetMode="External"/><Relationship Id="rId14" Type="http://schemas.openxmlformats.org/officeDocument/2006/relationships/hyperlink" Target="https://www.cms.gov/regulations-and-guidance/guidance/manuals/downloads/fin106c04pdf.pdf" TargetMode="External"/><Relationship Id="rId22" Type="http://schemas.openxmlformats.org/officeDocument/2006/relationships/hyperlink" Target="https://www.cms.gov/files/document/mmsea-section-111-ghp-user-guide-version-7-9-july-13-2026.pdf" TargetMode="External"/><Relationship Id="rId27" Type="http://schemas.openxmlformats.org/officeDocument/2006/relationships/hyperlink" Target="https://www.cms.gov/medicare/coordination-of-benefits-and-recovery/mandatory-insurer-reporting-for-non-group-health-plans/nghp-training-material/downloads/beneficiary-lookup.pdf" TargetMode="External"/><Relationship Id="rId30" Type="http://schemas.openxmlformats.org/officeDocument/2006/relationships/hyperlink" Target="https://www.cms.gov/Medicare/Coordination-of-Benefits-and-Recovery/Mandatory-Insurer-Reporting-For-Group-Health-Plans/GHP-Training-Material/Downloads/Querying-for-Medicare-Entitlement-Information.pdf" TargetMode="External"/><Relationship Id="rId8" Type="http://schemas.openxmlformats.org/officeDocument/2006/relationships/hyperlink" Target="https://www.cms.gov/files/document/medicare-secondary-payer-commercial-repayment-center-fiscal-year-20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17DEF357D5C8498545DBD1DC9187A2" ma:contentTypeVersion="12" ma:contentTypeDescription="Create a new document." ma:contentTypeScope="" ma:versionID="2f9d42310db461fd51be2427dd872b23">
  <xsd:schema xmlns:xsd="http://www.w3.org/2001/XMLSchema" xmlns:xs="http://www.w3.org/2001/XMLSchema" xmlns:p="http://schemas.microsoft.com/office/2006/metadata/properties" xmlns:ns2="221afb4b-56ec-4890-a345-6f72f8231bc6" targetNamespace="http://schemas.microsoft.com/office/2006/metadata/properties" ma:root="true" ma:fieldsID="03069b97c6b6434d3c08d439356e201c" ns2:_="">
    <xsd:import namespace="221afb4b-56ec-4890-a345-6f72f8231b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afb4b-56ec-4890-a345-6f72f8231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38400-70EB-41EE-9DAB-4906B9FB1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afb4b-56ec-4890-a345-6f72f8231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2265C3-F0D3-4D10-951E-1CC4C743D7A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21403C-0CB3-4840-8681-03CA374DCAC3}">
  <ds:schemaRefs>
    <ds:schemaRef ds:uri="http://schemas.microsoft.com/sharepoint/v3/contenttype/forms"/>
  </ds:schemaRefs>
</ds:datastoreItem>
</file>

<file path=customXml/itemProps4.xml><?xml version="1.0" encoding="utf-8"?>
<ds:datastoreItem xmlns:ds="http://schemas.openxmlformats.org/officeDocument/2006/customXml" ds:itemID="{AAEC429D-4E5F-4890-85E8-7D0E14E1928D}">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21</TotalTime>
  <Pages>27</Pages>
  <Words>10092</Words>
  <Characters>62879</Characters>
  <Application>Microsoft Office Word</Application>
  <DocSecurity>0</DocSecurity>
  <Lines>1084</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Koenigsman, Jane</dc:creator>
  <cp:keywords/>
  <dc:description/>
  <cp:lastModifiedBy>Koenigsman, Jane</cp:lastModifiedBy>
  <cp:revision>29</cp:revision>
  <dcterms:created xsi:type="dcterms:W3CDTF">2026-10-23T12:13:00Z</dcterms:created>
  <dcterms:modified xsi:type="dcterms:W3CDTF">2026-10-23T12:38:00Z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0x0101000517DEF357D5C8498545DBD1DC9187A2</vt:lpwstr>
  </property>
  <property fmtid="{D5CDD505-2E9C-101B-9397-08002B2CF9AE}" pid="3" name="docLang">
    <vt:lpwstr>en</vt:lpwstr>
  </property>
</Properties>
</file>