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4F09B" w14:textId="77777777" w:rsidR="00073897" w:rsidRDefault="00073897" w:rsidP="00F21D69">
      <w:pPr>
        <w:rPr>
          <w:rFonts w:asciiTheme="minorHAnsi" w:hAnsiTheme="minorHAnsi" w:cstheme="minorHAnsi"/>
          <w:sz w:val="22"/>
          <w:szCs w:val="22"/>
        </w:rPr>
      </w:pPr>
    </w:p>
    <w:p w14:paraId="1FE44F98" w14:textId="77777777" w:rsidR="003C449E" w:rsidRDefault="003C449E" w:rsidP="00F21D69">
      <w:pPr>
        <w:rPr>
          <w:rFonts w:asciiTheme="minorHAnsi" w:hAnsiTheme="minorHAnsi" w:cstheme="minorHAnsi"/>
          <w:sz w:val="22"/>
          <w:szCs w:val="22"/>
        </w:rPr>
      </w:pPr>
    </w:p>
    <w:p w14:paraId="154883BF" w14:textId="1A865EFB" w:rsidR="005A5070" w:rsidRPr="002B34AC" w:rsidRDefault="002F26A4" w:rsidP="000A111D">
      <w:pPr>
        <w:ind w:left="720" w:hanging="720"/>
        <w:rPr>
          <w:rFonts w:asciiTheme="minorHAnsi" w:hAnsiTheme="minorHAnsi" w:cstheme="minorHAnsi"/>
          <w:sz w:val="22"/>
          <w:szCs w:val="22"/>
        </w:rPr>
      </w:pPr>
      <w:r w:rsidRPr="00EF726D">
        <w:rPr>
          <w:rFonts w:asciiTheme="minorHAnsi" w:hAnsiTheme="minorHAnsi" w:cstheme="minorHAnsi"/>
          <w:sz w:val="22"/>
          <w:szCs w:val="22"/>
        </w:rPr>
        <w:t>T</w:t>
      </w:r>
      <w:r w:rsidR="00473D49" w:rsidRPr="00EF726D">
        <w:rPr>
          <w:rFonts w:asciiTheme="minorHAnsi" w:hAnsiTheme="minorHAnsi" w:cstheme="minorHAnsi"/>
          <w:sz w:val="22"/>
          <w:szCs w:val="22"/>
        </w:rPr>
        <w:t>o</w:t>
      </w:r>
      <w:r w:rsidR="00F20A4B" w:rsidRPr="00EF726D">
        <w:rPr>
          <w:rFonts w:asciiTheme="minorHAnsi" w:hAnsiTheme="minorHAnsi" w:cstheme="minorHAnsi"/>
          <w:sz w:val="22"/>
          <w:szCs w:val="22"/>
        </w:rPr>
        <w:t xml:space="preserve">:  </w:t>
      </w:r>
      <w:r w:rsidR="00F20A4B" w:rsidRPr="00EF726D">
        <w:rPr>
          <w:rFonts w:asciiTheme="minorHAnsi" w:hAnsiTheme="minorHAnsi" w:cstheme="minorHAnsi"/>
          <w:sz w:val="22"/>
          <w:szCs w:val="22"/>
        </w:rPr>
        <w:tab/>
      </w:r>
      <w:r w:rsidR="009413AB" w:rsidRPr="009413AB">
        <w:rPr>
          <w:rFonts w:asciiTheme="minorHAnsi" w:hAnsiTheme="minorHAnsi" w:cstheme="minorHAnsi"/>
          <w:sz w:val="22"/>
          <w:szCs w:val="22"/>
        </w:rPr>
        <w:t>Robert Kasinow (NY), Chair</w:t>
      </w:r>
      <w:r w:rsidR="00415C94">
        <w:rPr>
          <w:rFonts w:asciiTheme="minorHAnsi" w:hAnsiTheme="minorHAnsi" w:cstheme="minorHAnsi"/>
          <w:sz w:val="22"/>
          <w:szCs w:val="22"/>
        </w:rPr>
        <w:t xml:space="preserve">; and </w:t>
      </w:r>
      <w:r w:rsidR="00A66D8F">
        <w:rPr>
          <w:rFonts w:asciiTheme="minorHAnsi" w:hAnsiTheme="minorHAnsi" w:cstheme="minorHAnsi"/>
          <w:sz w:val="22"/>
          <w:szCs w:val="22"/>
        </w:rPr>
        <w:t xml:space="preserve">Anthony Quandt (NE), Vice Chair, </w:t>
      </w:r>
      <w:r w:rsidR="000A111D">
        <w:rPr>
          <w:rFonts w:asciiTheme="minorHAnsi" w:hAnsiTheme="minorHAnsi" w:cstheme="minorHAnsi"/>
          <w:sz w:val="22"/>
          <w:szCs w:val="22"/>
        </w:rPr>
        <w:t>Macroprudential (E) Working Group</w:t>
      </w:r>
    </w:p>
    <w:p w14:paraId="6134440B" w14:textId="77777777" w:rsidR="00793F4F" w:rsidRPr="002B34AC" w:rsidRDefault="00793F4F" w:rsidP="009134FB">
      <w:pPr>
        <w:ind w:left="720" w:hanging="720"/>
        <w:rPr>
          <w:rFonts w:asciiTheme="minorHAnsi" w:hAnsiTheme="minorHAnsi" w:cstheme="minorHAnsi"/>
          <w:sz w:val="22"/>
          <w:szCs w:val="22"/>
        </w:rPr>
      </w:pPr>
    </w:p>
    <w:p w14:paraId="05D719CF" w14:textId="016C3F43" w:rsidR="00482018" w:rsidRPr="00EF726D" w:rsidRDefault="43D7698F" w:rsidP="000A111D">
      <w:pPr>
        <w:ind w:left="720" w:hanging="720"/>
        <w:rPr>
          <w:rFonts w:asciiTheme="minorHAnsi" w:hAnsiTheme="minorHAnsi" w:cstheme="minorHAnsi"/>
          <w:sz w:val="22"/>
          <w:szCs w:val="22"/>
        </w:rPr>
      </w:pPr>
      <w:r w:rsidRPr="00EF726D">
        <w:rPr>
          <w:rFonts w:asciiTheme="minorHAnsi" w:hAnsiTheme="minorHAnsi" w:cstheme="minorHAnsi"/>
          <w:sz w:val="22"/>
          <w:szCs w:val="22"/>
        </w:rPr>
        <w:t>F</w:t>
      </w:r>
      <w:r w:rsidR="00473D49" w:rsidRPr="00EF726D">
        <w:rPr>
          <w:rFonts w:asciiTheme="minorHAnsi" w:hAnsiTheme="minorHAnsi" w:cstheme="minorHAnsi"/>
          <w:sz w:val="22"/>
          <w:szCs w:val="22"/>
        </w:rPr>
        <w:t>rom</w:t>
      </w:r>
      <w:r w:rsidR="171FA507" w:rsidRPr="00EF726D">
        <w:rPr>
          <w:rFonts w:asciiTheme="minorHAnsi" w:hAnsiTheme="minorHAnsi" w:cstheme="minorHAnsi"/>
          <w:sz w:val="22"/>
          <w:szCs w:val="22"/>
        </w:rPr>
        <w:t xml:space="preserve">:  </w:t>
      </w:r>
      <w:r w:rsidR="00D94EED" w:rsidRPr="00EF726D">
        <w:rPr>
          <w:rFonts w:asciiTheme="minorHAnsi" w:hAnsiTheme="minorHAnsi" w:cstheme="minorHAnsi"/>
          <w:sz w:val="22"/>
          <w:szCs w:val="22"/>
        </w:rPr>
        <w:tab/>
      </w:r>
      <w:r w:rsidR="009413AB" w:rsidRPr="009413AB">
        <w:rPr>
          <w:rFonts w:asciiTheme="minorHAnsi" w:hAnsiTheme="minorHAnsi" w:cstheme="minorHAnsi"/>
          <w:sz w:val="22"/>
          <w:szCs w:val="22"/>
        </w:rPr>
        <w:t xml:space="preserve">Ann Gillespie, (IL), Chair, and </w:t>
      </w:r>
      <w:r w:rsidR="009413AB">
        <w:rPr>
          <w:rFonts w:asciiTheme="minorHAnsi" w:hAnsiTheme="minorHAnsi" w:cstheme="minorHAnsi"/>
          <w:sz w:val="22"/>
          <w:szCs w:val="22"/>
        </w:rPr>
        <w:t xml:space="preserve">Kevin Baldwin </w:t>
      </w:r>
      <w:r w:rsidR="009413AB" w:rsidRPr="009413AB">
        <w:rPr>
          <w:rFonts w:asciiTheme="minorHAnsi" w:hAnsiTheme="minorHAnsi" w:cstheme="minorHAnsi"/>
          <w:sz w:val="22"/>
          <w:szCs w:val="22"/>
        </w:rPr>
        <w:t>(IL)</w:t>
      </w:r>
      <w:r w:rsidR="00F91097">
        <w:rPr>
          <w:rFonts w:asciiTheme="minorHAnsi" w:hAnsiTheme="minorHAnsi" w:cstheme="minorHAnsi"/>
          <w:sz w:val="22"/>
          <w:szCs w:val="22"/>
        </w:rPr>
        <w:t>; and,</w:t>
      </w:r>
      <w:r w:rsidR="009413AB" w:rsidRPr="009413AB">
        <w:rPr>
          <w:rFonts w:asciiTheme="minorHAnsi" w:hAnsiTheme="minorHAnsi" w:cstheme="minorHAnsi"/>
          <w:sz w:val="22"/>
          <w:szCs w:val="22"/>
        </w:rPr>
        <w:t xml:space="preserve"> </w:t>
      </w:r>
      <w:r w:rsidR="00F91097">
        <w:rPr>
          <w:rFonts w:asciiTheme="minorHAnsi" w:hAnsiTheme="minorHAnsi" w:cstheme="minorHAnsi"/>
          <w:sz w:val="22"/>
          <w:szCs w:val="22"/>
        </w:rPr>
        <w:t xml:space="preserve">Glen Mulready, (OK), Vice Chair, and Donna Wilson (OK), </w:t>
      </w:r>
      <w:r w:rsidR="000A111D">
        <w:rPr>
          <w:rFonts w:asciiTheme="minorHAnsi" w:hAnsiTheme="minorHAnsi" w:cstheme="minorHAnsi"/>
          <w:sz w:val="22"/>
          <w:szCs w:val="22"/>
        </w:rPr>
        <w:t>Receivership and Insolvency (E) Task Force</w:t>
      </w:r>
    </w:p>
    <w:p w14:paraId="3AA631A2" w14:textId="23F82F29" w:rsidR="00F20A4B" w:rsidRPr="00EF726D" w:rsidRDefault="00482018" w:rsidP="2E0485DE">
      <w:pPr>
        <w:ind w:left="720" w:hanging="720"/>
        <w:rPr>
          <w:rFonts w:asciiTheme="minorHAnsi" w:hAnsiTheme="minorHAnsi" w:cstheme="minorHAnsi"/>
          <w:sz w:val="22"/>
          <w:szCs w:val="22"/>
        </w:rPr>
      </w:pPr>
      <w:r w:rsidRPr="00EF726D">
        <w:rPr>
          <w:rFonts w:asciiTheme="minorHAnsi" w:hAnsiTheme="minorHAnsi" w:cstheme="minorHAnsi"/>
          <w:sz w:val="22"/>
          <w:szCs w:val="22"/>
        </w:rPr>
        <w:tab/>
      </w:r>
    </w:p>
    <w:p w14:paraId="14CAE441" w14:textId="11A8E650" w:rsidR="00F20A4B" w:rsidRPr="004E7EEE" w:rsidRDefault="3F22A568" w:rsidP="2E0485DE">
      <w:pPr>
        <w:rPr>
          <w:rFonts w:asciiTheme="minorHAnsi" w:hAnsiTheme="minorHAnsi" w:cstheme="minorHAnsi"/>
          <w:sz w:val="22"/>
          <w:szCs w:val="22"/>
        </w:rPr>
      </w:pPr>
      <w:r w:rsidRPr="00EF726D">
        <w:rPr>
          <w:rFonts w:asciiTheme="minorHAnsi" w:hAnsiTheme="minorHAnsi" w:cstheme="minorHAnsi"/>
          <w:sz w:val="22"/>
          <w:szCs w:val="22"/>
        </w:rPr>
        <w:t>D</w:t>
      </w:r>
      <w:r w:rsidR="00473D49" w:rsidRPr="00EF726D">
        <w:rPr>
          <w:rFonts w:asciiTheme="minorHAnsi" w:hAnsiTheme="minorHAnsi" w:cstheme="minorHAnsi"/>
          <w:sz w:val="22"/>
          <w:szCs w:val="22"/>
        </w:rPr>
        <w:t>ate</w:t>
      </w:r>
      <w:r w:rsidR="0992F98A" w:rsidRPr="00EF726D">
        <w:rPr>
          <w:rFonts w:asciiTheme="minorHAnsi" w:hAnsiTheme="minorHAnsi" w:cstheme="minorHAnsi"/>
          <w:sz w:val="22"/>
          <w:szCs w:val="22"/>
        </w:rPr>
        <w:t xml:space="preserve">: </w:t>
      </w:r>
      <w:r w:rsidR="002F26A4" w:rsidRPr="00EF726D">
        <w:rPr>
          <w:rFonts w:asciiTheme="minorHAnsi" w:hAnsiTheme="minorHAnsi" w:cstheme="minorHAnsi"/>
          <w:sz w:val="22"/>
          <w:szCs w:val="22"/>
        </w:rPr>
        <w:tab/>
      </w:r>
      <w:r w:rsidR="003A4A0A" w:rsidRPr="00D64ACE">
        <w:rPr>
          <w:rFonts w:asciiTheme="minorHAnsi" w:hAnsiTheme="minorHAnsi" w:cstheme="minorHAnsi"/>
          <w:sz w:val="22"/>
          <w:szCs w:val="22"/>
        </w:rPr>
        <w:t>October</w:t>
      </w:r>
      <w:r w:rsidR="00D64ACE" w:rsidRPr="00D64ACE">
        <w:rPr>
          <w:rFonts w:asciiTheme="minorHAnsi" w:hAnsiTheme="minorHAnsi" w:cstheme="minorHAnsi"/>
          <w:sz w:val="22"/>
          <w:szCs w:val="22"/>
        </w:rPr>
        <w:t xml:space="preserve"> x</w:t>
      </w:r>
      <w:r w:rsidR="007A367C" w:rsidRPr="00D64ACE">
        <w:rPr>
          <w:rFonts w:asciiTheme="minorHAnsi" w:hAnsiTheme="minorHAnsi" w:cstheme="minorHAnsi"/>
          <w:sz w:val="22"/>
          <w:szCs w:val="22"/>
        </w:rPr>
        <w:t>,</w:t>
      </w:r>
      <w:r w:rsidR="007A367C" w:rsidRPr="004E7EEE">
        <w:rPr>
          <w:rFonts w:asciiTheme="minorHAnsi" w:hAnsiTheme="minorHAnsi" w:cstheme="minorHAnsi"/>
          <w:sz w:val="22"/>
          <w:szCs w:val="22"/>
        </w:rPr>
        <w:t xml:space="preserve"> 2026</w:t>
      </w:r>
    </w:p>
    <w:p w14:paraId="46A34145" w14:textId="77777777" w:rsidR="00F20A4B" w:rsidRPr="00EF726D" w:rsidRDefault="00F20A4B" w:rsidP="00F20A4B">
      <w:pPr>
        <w:rPr>
          <w:rFonts w:asciiTheme="minorHAnsi" w:hAnsiTheme="minorHAnsi" w:cstheme="minorHAnsi"/>
          <w:sz w:val="22"/>
          <w:szCs w:val="22"/>
        </w:rPr>
      </w:pPr>
    </w:p>
    <w:p w14:paraId="000BBBA1" w14:textId="02F4A120" w:rsidR="00F20A4B" w:rsidRPr="00EF726D" w:rsidRDefault="002F26A4" w:rsidP="00F20A4B">
      <w:pPr>
        <w:ind w:left="720" w:hanging="720"/>
        <w:rPr>
          <w:rFonts w:asciiTheme="minorHAnsi" w:hAnsiTheme="minorHAnsi" w:cstheme="minorHAnsi"/>
          <w:sz w:val="22"/>
          <w:szCs w:val="22"/>
        </w:rPr>
      </w:pPr>
      <w:r w:rsidRPr="00EF726D">
        <w:rPr>
          <w:rFonts w:asciiTheme="minorHAnsi" w:hAnsiTheme="minorHAnsi" w:cstheme="minorHAnsi"/>
          <w:sz w:val="22"/>
          <w:szCs w:val="22"/>
        </w:rPr>
        <w:t>R</w:t>
      </w:r>
      <w:r w:rsidR="00473D49" w:rsidRPr="00EF726D">
        <w:rPr>
          <w:rFonts w:asciiTheme="minorHAnsi" w:hAnsiTheme="minorHAnsi" w:cstheme="minorHAnsi"/>
          <w:sz w:val="22"/>
          <w:szCs w:val="22"/>
        </w:rPr>
        <w:t>e</w:t>
      </w:r>
      <w:r w:rsidR="00F20A4B" w:rsidRPr="00EF726D">
        <w:rPr>
          <w:rFonts w:asciiTheme="minorHAnsi" w:hAnsiTheme="minorHAnsi" w:cstheme="minorHAnsi"/>
          <w:sz w:val="22"/>
          <w:szCs w:val="22"/>
        </w:rPr>
        <w:t>:</w:t>
      </w:r>
      <w:r w:rsidR="00F20A4B" w:rsidRPr="00EF726D">
        <w:rPr>
          <w:rFonts w:asciiTheme="minorHAnsi" w:hAnsiTheme="minorHAnsi" w:cstheme="minorHAnsi"/>
          <w:sz w:val="22"/>
          <w:szCs w:val="22"/>
        </w:rPr>
        <w:tab/>
      </w:r>
      <w:r w:rsidR="000A111D">
        <w:rPr>
          <w:rFonts w:asciiTheme="minorHAnsi" w:hAnsiTheme="minorHAnsi" w:cstheme="minorHAnsi"/>
          <w:sz w:val="22"/>
          <w:szCs w:val="22"/>
        </w:rPr>
        <w:t>Funding Agreement Backed Notes in Receivership</w:t>
      </w:r>
    </w:p>
    <w:p w14:paraId="5D29AE82" w14:textId="77777777" w:rsidR="00F20A4B" w:rsidRPr="00EF726D" w:rsidRDefault="00F20A4B" w:rsidP="0017697D">
      <w:pPr>
        <w:pBdr>
          <w:bottom w:val="single" w:sz="4" w:space="0" w:color="auto"/>
        </w:pBdr>
        <w:rPr>
          <w:rFonts w:asciiTheme="minorHAnsi" w:hAnsiTheme="minorHAnsi" w:cstheme="minorHAnsi"/>
          <w:sz w:val="22"/>
          <w:szCs w:val="22"/>
        </w:rPr>
      </w:pPr>
    </w:p>
    <w:p w14:paraId="14845669" w14:textId="77777777" w:rsidR="00F202C6" w:rsidRPr="009860D0" w:rsidRDefault="00F202C6" w:rsidP="00F202C6">
      <w:pPr>
        <w:pStyle w:val="ListParagraph"/>
        <w:jc w:val="both"/>
        <w:rPr>
          <w:rFonts w:asciiTheme="minorHAnsi" w:hAnsiTheme="minorHAnsi" w:cstheme="minorHAnsi"/>
          <w:sz w:val="22"/>
          <w:szCs w:val="22"/>
        </w:rPr>
      </w:pPr>
      <w:r w:rsidRPr="009860D0">
        <w:rPr>
          <w:rFonts w:asciiTheme="minorHAnsi" w:hAnsiTheme="minorHAnsi" w:cstheme="minorHAnsi"/>
          <w:sz w:val="22"/>
          <w:szCs w:val="22"/>
        </w:rPr>
        <w:t xml:space="preserve">   </w:t>
      </w:r>
    </w:p>
    <w:p w14:paraId="3A18C717" w14:textId="766D234C" w:rsidR="005965D4" w:rsidRDefault="00493689" w:rsidP="00AC698E">
      <w:pPr>
        <w:spacing w:line="276" w:lineRule="auto"/>
        <w:jc w:val="both"/>
        <w:rPr>
          <w:rFonts w:asciiTheme="minorHAnsi" w:hAnsiTheme="minorHAnsi" w:cstheme="minorHAnsi"/>
          <w:sz w:val="22"/>
          <w:szCs w:val="22"/>
        </w:rPr>
      </w:pPr>
      <w:r>
        <w:rPr>
          <w:rFonts w:asciiTheme="minorHAnsi" w:hAnsiTheme="minorHAnsi" w:cstheme="minorHAnsi"/>
          <w:sz w:val="22"/>
          <w:szCs w:val="22"/>
        </w:rPr>
        <w:t>On March 16, 2026</w:t>
      </w:r>
      <w:r w:rsidR="002D416B">
        <w:rPr>
          <w:rFonts w:asciiTheme="minorHAnsi" w:hAnsiTheme="minorHAnsi" w:cstheme="minorHAnsi"/>
          <w:sz w:val="22"/>
          <w:szCs w:val="22"/>
        </w:rPr>
        <w:t>,</w:t>
      </w:r>
      <w:r>
        <w:rPr>
          <w:rFonts w:asciiTheme="minorHAnsi" w:hAnsiTheme="minorHAnsi" w:cstheme="minorHAnsi"/>
          <w:sz w:val="22"/>
          <w:szCs w:val="22"/>
        </w:rPr>
        <w:t xml:space="preserve"> </w:t>
      </w:r>
      <w:r w:rsidR="007C3F49">
        <w:rPr>
          <w:rFonts w:asciiTheme="minorHAnsi" w:hAnsiTheme="minorHAnsi" w:cstheme="minorHAnsi"/>
          <w:sz w:val="22"/>
          <w:szCs w:val="22"/>
        </w:rPr>
        <w:t>the Macroprudential (E) Working Group</w:t>
      </w:r>
      <w:r w:rsidR="00EB79EB">
        <w:rPr>
          <w:rFonts w:asciiTheme="minorHAnsi" w:hAnsiTheme="minorHAnsi" w:cstheme="minorHAnsi"/>
          <w:sz w:val="22"/>
          <w:szCs w:val="22"/>
        </w:rPr>
        <w:t xml:space="preserve"> (MPWG)</w:t>
      </w:r>
      <w:r w:rsidR="006D6F6A">
        <w:rPr>
          <w:rFonts w:asciiTheme="minorHAnsi" w:hAnsiTheme="minorHAnsi" w:cstheme="minorHAnsi"/>
          <w:sz w:val="22"/>
          <w:szCs w:val="22"/>
        </w:rPr>
        <w:t xml:space="preserve"> </w:t>
      </w:r>
      <w:r w:rsidR="007C3F49">
        <w:rPr>
          <w:rFonts w:asciiTheme="minorHAnsi" w:hAnsiTheme="minorHAnsi" w:cstheme="minorHAnsi"/>
          <w:sz w:val="22"/>
          <w:szCs w:val="22"/>
        </w:rPr>
        <w:t xml:space="preserve">requested the Receivership and Insolvency (E) Task Force </w:t>
      </w:r>
      <w:r w:rsidR="00CE5BFA" w:rsidRPr="00CE5BFA">
        <w:rPr>
          <w:rFonts w:asciiTheme="minorHAnsi" w:hAnsiTheme="minorHAnsi" w:cstheme="minorHAnsi"/>
          <w:sz w:val="22"/>
          <w:szCs w:val="22"/>
        </w:rPr>
        <w:t xml:space="preserve">to review the priority treatment of Funding Agreement Backed Notes (FABNs), </w:t>
      </w:r>
      <w:r w:rsidR="00384261">
        <w:rPr>
          <w:rFonts w:asciiTheme="minorHAnsi" w:hAnsiTheme="minorHAnsi" w:cstheme="minorHAnsi"/>
          <w:sz w:val="22"/>
          <w:szCs w:val="22"/>
        </w:rPr>
        <w:t xml:space="preserve">or </w:t>
      </w:r>
      <w:r w:rsidR="00CE5BFA" w:rsidRPr="00CE5BFA">
        <w:rPr>
          <w:rFonts w:asciiTheme="minorHAnsi" w:hAnsiTheme="minorHAnsi" w:cstheme="minorHAnsi"/>
          <w:sz w:val="22"/>
          <w:szCs w:val="22"/>
        </w:rPr>
        <w:t>similar structures receivership</w:t>
      </w:r>
      <w:r w:rsidR="00CE5BFA">
        <w:rPr>
          <w:rFonts w:asciiTheme="minorHAnsi" w:hAnsiTheme="minorHAnsi" w:cstheme="minorHAnsi"/>
          <w:sz w:val="22"/>
          <w:szCs w:val="22"/>
        </w:rPr>
        <w:t xml:space="preserve">, </w:t>
      </w:r>
      <w:r w:rsidR="00CE5BFA" w:rsidRPr="00CE5BFA">
        <w:rPr>
          <w:rFonts w:asciiTheme="minorHAnsi" w:hAnsiTheme="minorHAnsi" w:cstheme="minorHAnsi"/>
          <w:sz w:val="22"/>
          <w:szCs w:val="22"/>
        </w:rPr>
        <w:t>along with (pari passu) “traditional” policyholders in a receivership or insolvency.</w:t>
      </w:r>
    </w:p>
    <w:p w14:paraId="3BE29CFC" w14:textId="77777777" w:rsidR="00990702" w:rsidRDefault="00990702" w:rsidP="00AC698E">
      <w:pPr>
        <w:spacing w:line="276" w:lineRule="auto"/>
        <w:jc w:val="both"/>
        <w:rPr>
          <w:rFonts w:asciiTheme="minorHAnsi" w:hAnsiTheme="minorHAnsi" w:cstheme="minorHAnsi"/>
          <w:sz w:val="22"/>
          <w:szCs w:val="22"/>
        </w:rPr>
      </w:pPr>
    </w:p>
    <w:p w14:paraId="1DB3D1B9" w14:textId="044F35D3" w:rsidR="006D6F6A" w:rsidRDefault="008C7CB9" w:rsidP="00AC698E">
      <w:pPr>
        <w:spacing w:line="276" w:lineRule="auto"/>
        <w:jc w:val="both"/>
        <w:rPr>
          <w:rFonts w:ascii="Calibri" w:hAnsi="Calibri" w:cs="Calibri"/>
          <w:sz w:val="22"/>
          <w:szCs w:val="22"/>
        </w:rPr>
      </w:pPr>
      <w:r>
        <w:rPr>
          <w:rFonts w:ascii="Calibri" w:hAnsi="Calibri" w:cs="Calibri"/>
          <w:sz w:val="22"/>
          <w:szCs w:val="22"/>
        </w:rPr>
        <w:t xml:space="preserve">The Task Force </w:t>
      </w:r>
      <w:r w:rsidR="007A59BA">
        <w:rPr>
          <w:rFonts w:ascii="Calibri" w:hAnsi="Calibri" w:cs="Calibri"/>
          <w:sz w:val="22"/>
          <w:szCs w:val="22"/>
        </w:rPr>
        <w:t>heard presentation</w:t>
      </w:r>
      <w:r w:rsidR="00711A33">
        <w:rPr>
          <w:rFonts w:ascii="Calibri" w:hAnsi="Calibri" w:cs="Calibri"/>
          <w:sz w:val="22"/>
          <w:szCs w:val="22"/>
        </w:rPr>
        <w:t>s</w:t>
      </w:r>
      <w:r w:rsidR="007A59BA">
        <w:rPr>
          <w:rFonts w:ascii="Calibri" w:hAnsi="Calibri" w:cs="Calibri"/>
          <w:sz w:val="22"/>
          <w:szCs w:val="22"/>
        </w:rPr>
        <w:t xml:space="preserve"> on </w:t>
      </w:r>
      <w:r w:rsidR="00DF4A0D">
        <w:rPr>
          <w:rFonts w:ascii="Calibri" w:hAnsi="Calibri" w:cs="Calibri"/>
          <w:sz w:val="22"/>
          <w:szCs w:val="22"/>
        </w:rPr>
        <w:t>funding agreements</w:t>
      </w:r>
      <w:r w:rsidR="005C3C3B">
        <w:rPr>
          <w:rFonts w:ascii="Calibri" w:hAnsi="Calibri" w:cs="Calibri"/>
          <w:sz w:val="22"/>
          <w:szCs w:val="22"/>
        </w:rPr>
        <w:t xml:space="preserve"> and </w:t>
      </w:r>
      <w:r w:rsidR="007A59BA">
        <w:rPr>
          <w:rFonts w:ascii="Calibri" w:hAnsi="Calibri" w:cs="Calibri"/>
          <w:sz w:val="22"/>
          <w:szCs w:val="22"/>
        </w:rPr>
        <w:t>FABNs</w:t>
      </w:r>
      <w:r w:rsidR="005C3C3B">
        <w:rPr>
          <w:rFonts w:ascii="Calibri" w:hAnsi="Calibri" w:cs="Calibri"/>
          <w:sz w:val="22"/>
          <w:szCs w:val="22"/>
        </w:rPr>
        <w:t>,</w:t>
      </w:r>
      <w:r w:rsidR="007A59BA">
        <w:rPr>
          <w:rFonts w:ascii="Calibri" w:hAnsi="Calibri" w:cs="Calibri"/>
          <w:sz w:val="22"/>
          <w:szCs w:val="22"/>
        </w:rPr>
        <w:t xml:space="preserve"> and </w:t>
      </w:r>
      <w:r>
        <w:rPr>
          <w:rFonts w:ascii="Calibri" w:hAnsi="Calibri" w:cs="Calibri"/>
          <w:sz w:val="22"/>
          <w:szCs w:val="22"/>
        </w:rPr>
        <w:t xml:space="preserve">solicited feedback from state insurance departments and interested parties </w:t>
      </w:r>
      <w:r w:rsidR="00D003B8">
        <w:rPr>
          <w:rFonts w:ascii="Calibri" w:hAnsi="Calibri" w:cs="Calibri"/>
          <w:sz w:val="22"/>
          <w:szCs w:val="22"/>
        </w:rPr>
        <w:t>requesting</w:t>
      </w:r>
      <w:r>
        <w:rPr>
          <w:rFonts w:ascii="Calibri" w:hAnsi="Calibri" w:cs="Calibri"/>
          <w:sz w:val="22"/>
          <w:szCs w:val="22"/>
        </w:rPr>
        <w:t xml:space="preserve"> </w:t>
      </w:r>
      <w:r w:rsidR="003A3096">
        <w:rPr>
          <w:rFonts w:ascii="Calibri" w:hAnsi="Calibri" w:cs="Calibri"/>
          <w:sz w:val="22"/>
          <w:szCs w:val="22"/>
        </w:rPr>
        <w:t xml:space="preserve">interpretation of </w:t>
      </w:r>
      <w:r w:rsidR="00B86057">
        <w:rPr>
          <w:rFonts w:ascii="Calibri" w:hAnsi="Calibri" w:cs="Calibri"/>
          <w:sz w:val="22"/>
          <w:szCs w:val="22"/>
        </w:rPr>
        <w:t xml:space="preserve">states’ </w:t>
      </w:r>
      <w:r w:rsidR="00AB2738">
        <w:rPr>
          <w:rFonts w:ascii="Calibri" w:hAnsi="Calibri" w:cs="Calibri"/>
          <w:sz w:val="22"/>
          <w:szCs w:val="22"/>
        </w:rPr>
        <w:t xml:space="preserve">receivership laws </w:t>
      </w:r>
      <w:r w:rsidR="003A3096">
        <w:rPr>
          <w:rFonts w:ascii="Calibri" w:hAnsi="Calibri" w:cs="Calibri"/>
          <w:sz w:val="22"/>
          <w:szCs w:val="22"/>
        </w:rPr>
        <w:t xml:space="preserve">regarding </w:t>
      </w:r>
      <w:r w:rsidR="00AB2738">
        <w:rPr>
          <w:rFonts w:ascii="Calibri" w:hAnsi="Calibri" w:cs="Calibri"/>
          <w:sz w:val="22"/>
          <w:szCs w:val="22"/>
        </w:rPr>
        <w:t>treat</w:t>
      </w:r>
      <w:r w:rsidR="003A3096">
        <w:rPr>
          <w:rFonts w:ascii="Calibri" w:hAnsi="Calibri" w:cs="Calibri"/>
          <w:sz w:val="22"/>
          <w:szCs w:val="22"/>
        </w:rPr>
        <w:t>ment</w:t>
      </w:r>
      <w:r w:rsidR="00AB2738">
        <w:rPr>
          <w:rFonts w:ascii="Calibri" w:hAnsi="Calibri" w:cs="Calibri"/>
          <w:sz w:val="22"/>
          <w:szCs w:val="22"/>
        </w:rPr>
        <w:t xml:space="preserve"> </w:t>
      </w:r>
      <w:r w:rsidR="00EC180C">
        <w:rPr>
          <w:rFonts w:ascii="Calibri" w:hAnsi="Calibri" w:cs="Calibri"/>
          <w:sz w:val="22"/>
          <w:szCs w:val="22"/>
        </w:rPr>
        <w:t xml:space="preserve">of </w:t>
      </w:r>
      <w:r>
        <w:rPr>
          <w:rFonts w:ascii="Calibri" w:hAnsi="Calibri" w:cs="Calibri"/>
          <w:sz w:val="22"/>
          <w:szCs w:val="22"/>
        </w:rPr>
        <w:t xml:space="preserve">FABNs and </w:t>
      </w:r>
      <w:r w:rsidR="00AB2738">
        <w:rPr>
          <w:rFonts w:ascii="Calibri" w:hAnsi="Calibri" w:cs="Calibri"/>
          <w:sz w:val="22"/>
          <w:szCs w:val="22"/>
        </w:rPr>
        <w:t>similar structures in an insolvency, guaranty fund coverage</w:t>
      </w:r>
      <w:r w:rsidR="008D54E1">
        <w:rPr>
          <w:rFonts w:ascii="Calibri" w:hAnsi="Calibri" w:cs="Calibri"/>
          <w:sz w:val="22"/>
          <w:szCs w:val="22"/>
        </w:rPr>
        <w:t>, and views on claim priority treatment pari passu with traditional policyholders</w:t>
      </w:r>
      <w:r w:rsidR="00EC180C">
        <w:rPr>
          <w:rStyle w:val="FootnoteReference"/>
          <w:rFonts w:ascii="Calibri" w:hAnsi="Calibri" w:cs="Calibri"/>
          <w:sz w:val="22"/>
          <w:szCs w:val="22"/>
        </w:rPr>
        <w:footnoteReference w:id="2"/>
      </w:r>
      <w:r w:rsidR="002D416B">
        <w:rPr>
          <w:rFonts w:ascii="Calibri" w:hAnsi="Calibri" w:cs="Calibri"/>
          <w:sz w:val="22"/>
          <w:szCs w:val="22"/>
        </w:rPr>
        <w:t xml:space="preserve">. </w:t>
      </w:r>
    </w:p>
    <w:p w14:paraId="5571C7A7" w14:textId="77777777" w:rsidR="008D54E1" w:rsidRPr="00970801" w:rsidRDefault="008D54E1" w:rsidP="00AC698E">
      <w:pPr>
        <w:spacing w:line="276" w:lineRule="auto"/>
        <w:jc w:val="both"/>
        <w:rPr>
          <w:rFonts w:ascii="Calibri" w:hAnsi="Calibri" w:cs="Calibri"/>
          <w:sz w:val="22"/>
          <w:szCs w:val="22"/>
        </w:rPr>
      </w:pPr>
    </w:p>
    <w:p w14:paraId="6A10A0AB" w14:textId="1BB989D3" w:rsidR="008C7CB9" w:rsidRDefault="002D4975" w:rsidP="00AC698E">
      <w:pPr>
        <w:spacing w:line="276" w:lineRule="auto"/>
        <w:contextualSpacing/>
        <w:jc w:val="both"/>
        <w:rPr>
          <w:rFonts w:ascii="Calibri" w:hAnsi="Calibri" w:cs="Calibri"/>
          <w:b/>
          <w:bCs/>
          <w:sz w:val="22"/>
          <w:szCs w:val="22"/>
        </w:rPr>
      </w:pPr>
      <w:r w:rsidRPr="00FD1B48">
        <w:rPr>
          <w:rFonts w:ascii="Calibri" w:hAnsi="Calibri" w:cs="Calibri"/>
          <w:b/>
          <w:bCs/>
          <w:sz w:val="22"/>
          <w:szCs w:val="22"/>
        </w:rPr>
        <w:t xml:space="preserve">Background and Caveats </w:t>
      </w:r>
    </w:p>
    <w:p w14:paraId="689D4FC6" w14:textId="77777777" w:rsidR="004C62DB" w:rsidRPr="00FD1B48" w:rsidRDefault="004C62DB" w:rsidP="00AC698E">
      <w:pPr>
        <w:spacing w:line="276" w:lineRule="auto"/>
        <w:contextualSpacing/>
        <w:jc w:val="both"/>
        <w:rPr>
          <w:rFonts w:ascii="Calibri" w:hAnsi="Calibri" w:cs="Calibri"/>
          <w:b/>
          <w:bCs/>
          <w:sz w:val="22"/>
          <w:szCs w:val="22"/>
        </w:rPr>
      </w:pPr>
    </w:p>
    <w:p w14:paraId="76C17F04" w14:textId="6A05DA46" w:rsidR="000A66C0" w:rsidRDefault="0098385E" w:rsidP="00AC698E">
      <w:pPr>
        <w:spacing w:line="276" w:lineRule="auto"/>
        <w:contextualSpacing/>
        <w:jc w:val="both"/>
        <w:rPr>
          <w:rFonts w:ascii="Calibri" w:hAnsi="Calibri" w:cs="Calibri"/>
          <w:sz w:val="22"/>
          <w:szCs w:val="22"/>
        </w:rPr>
      </w:pPr>
      <w:r>
        <w:rPr>
          <w:rFonts w:ascii="Calibri" w:hAnsi="Calibri" w:cs="Calibri"/>
          <w:sz w:val="22"/>
          <w:szCs w:val="22"/>
        </w:rPr>
        <w:t>T</w:t>
      </w:r>
      <w:r w:rsidRPr="0098385E">
        <w:rPr>
          <w:rFonts w:ascii="Calibri" w:hAnsi="Calibri" w:cs="Calibri"/>
          <w:sz w:val="22"/>
          <w:szCs w:val="22"/>
        </w:rPr>
        <w:t>h</w:t>
      </w:r>
      <w:r w:rsidR="005E6E1B">
        <w:rPr>
          <w:rFonts w:ascii="Calibri" w:hAnsi="Calibri" w:cs="Calibri"/>
          <w:sz w:val="22"/>
          <w:szCs w:val="22"/>
        </w:rPr>
        <w:t>e</w:t>
      </w:r>
      <w:r w:rsidRPr="0098385E">
        <w:rPr>
          <w:rFonts w:ascii="Calibri" w:hAnsi="Calibri" w:cs="Calibri"/>
          <w:sz w:val="22"/>
          <w:szCs w:val="22"/>
        </w:rPr>
        <w:t xml:space="preserve"> </w:t>
      </w:r>
      <w:r w:rsidR="00147A65">
        <w:rPr>
          <w:rFonts w:ascii="Calibri" w:hAnsi="Calibri" w:cs="Calibri"/>
          <w:sz w:val="22"/>
          <w:szCs w:val="22"/>
        </w:rPr>
        <w:t xml:space="preserve">following </w:t>
      </w:r>
      <w:r w:rsidR="005C6D1E">
        <w:rPr>
          <w:rFonts w:ascii="Calibri" w:hAnsi="Calibri" w:cs="Calibri"/>
          <w:sz w:val="22"/>
          <w:szCs w:val="22"/>
        </w:rPr>
        <w:t xml:space="preserve">interpretation is based on </w:t>
      </w:r>
      <w:r w:rsidR="002D3A8F">
        <w:rPr>
          <w:rFonts w:ascii="Calibri" w:hAnsi="Calibri" w:cs="Calibri"/>
          <w:sz w:val="22"/>
          <w:szCs w:val="22"/>
        </w:rPr>
        <w:t>NAIC Models and a general understanding</w:t>
      </w:r>
      <w:r w:rsidR="00EE7E0B">
        <w:rPr>
          <w:rFonts w:ascii="Calibri" w:hAnsi="Calibri" w:cs="Calibri"/>
          <w:sz w:val="22"/>
          <w:szCs w:val="22"/>
        </w:rPr>
        <w:t xml:space="preserve"> of </w:t>
      </w:r>
      <w:r w:rsidR="009F729C">
        <w:rPr>
          <w:rFonts w:ascii="Calibri" w:hAnsi="Calibri" w:cs="Calibri"/>
          <w:sz w:val="22"/>
          <w:szCs w:val="22"/>
        </w:rPr>
        <w:t xml:space="preserve">funding agreements and </w:t>
      </w:r>
      <w:r w:rsidR="00EE7E0B">
        <w:rPr>
          <w:rFonts w:ascii="Calibri" w:hAnsi="Calibri" w:cs="Calibri"/>
          <w:sz w:val="22"/>
          <w:szCs w:val="22"/>
        </w:rPr>
        <w:t>FABNs</w:t>
      </w:r>
      <w:r w:rsidR="002D3A8F">
        <w:rPr>
          <w:rFonts w:ascii="Calibri" w:hAnsi="Calibri" w:cs="Calibri"/>
          <w:sz w:val="22"/>
          <w:szCs w:val="22"/>
        </w:rPr>
        <w:t>; however</w:t>
      </w:r>
      <w:r w:rsidR="00214656">
        <w:rPr>
          <w:rFonts w:ascii="Calibri" w:hAnsi="Calibri" w:cs="Calibri"/>
          <w:sz w:val="22"/>
          <w:szCs w:val="22"/>
        </w:rPr>
        <w:t>,</w:t>
      </w:r>
      <w:r w:rsidR="002D3A8F">
        <w:rPr>
          <w:rFonts w:ascii="Calibri" w:hAnsi="Calibri" w:cs="Calibri"/>
          <w:sz w:val="22"/>
          <w:szCs w:val="22"/>
        </w:rPr>
        <w:t xml:space="preserve"> it should be noted that most</w:t>
      </w:r>
      <w:r w:rsidRPr="0098385E">
        <w:rPr>
          <w:rFonts w:ascii="Calibri" w:hAnsi="Calibri" w:cs="Calibri"/>
          <w:sz w:val="22"/>
          <w:szCs w:val="22"/>
        </w:rPr>
        <w:t xml:space="preserve"> states indicated </w:t>
      </w:r>
      <w:r w:rsidR="003E1A80">
        <w:rPr>
          <w:rFonts w:ascii="Calibri" w:hAnsi="Calibri" w:cs="Calibri"/>
          <w:sz w:val="22"/>
          <w:szCs w:val="22"/>
        </w:rPr>
        <w:t xml:space="preserve">limited or no </w:t>
      </w:r>
      <w:r w:rsidRPr="0098385E">
        <w:rPr>
          <w:rFonts w:ascii="Calibri" w:hAnsi="Calibri" w:cs="Calibri"/>
          <w:sz w:val="22"/>
          <w:szCs w:val="22"/>
        </w:rPr>
        <w:t xml:space="preserve">prior experience with </w:t>
      </w:r>
      <w:r w:rsidR="003E1A80">
        <w:rPr>
          <w:rFonts w:ascii="Calibri" w:hAnsi="Calibri" w:cs="Calibri"/>
          <w:sz w:val="22"/>
          <w:szCs w:val="22"/>
        </w:rPr>
        <w:t xml:space="preserve">funding agreements, </w:t>
      </w:r>
      <w:r w:rsidR="00327F5C">
        <w:rPr>
          <w:rFonts w:ascii="Calibri" w:hAnsi="Calibri" w:cs="Calibri"/>
          <w:sz w:val="22"/>
          <w:szCs w:val="22"/>
        </w:rPr>
        <w:t>FABNs or similar structures</w:t>
      </w:r>
      <w:r w:rsidRPr="0098385E">
        <w:rPr>
          <w:rFonts w:ascii="Calibri" w:hAnsi="Calibri" w:cs="Calibri"/>
          <w:sz w:val="22"/>
          <w:szCs w:val="22"/>
        </w:rPr>
        <w:t xml:space="preserve"> in receivership</w:t>
      </w:r>
      <w:r w:rsidR="003E1A80">
        <w:rPr>
          <w:rStyle w:val="FootnoteReference"/>
          <w:rFonts w:ascii="Calibri" w:hAnsi="Calibri" w:cs="Calibri"/>
          <w:sz w:val="22"/>
          <w:szCs w:val="22"/>
        </w:rPr>
        <w:footnoteReference w:id="3"/>
      </w:r>
      <w:r w:rsidRPr="0098385E">
        <w:rPr>
          <w:rFonts w:ascii="Calibri" w:hAnsi="Calibri" w:cs="Calibri"/>
          <w:sz w:val="22"/>
          <w:szCs w:val="22"/>
        </w:rPr>
        <w:t>.</w:t>
      </w:r>
      <w:r w:rsidR="003360F3" w:rsidRPr="009224BC">
        <w:rPr>
          <w:rFonts w:ascii="Calibri" w:hAnsi="Calibri" w:cs="Calibri"/>
          <w:sz w:val="22"/>
          <w:szCs w:val="22"/>
        </w:rPr>
        <w:t xml:space="preserve"> </w:t>
      </w:r>
      <w:r w:rsidR="0029481E">
        <w:rPr>
          <w:rFonts w:ascii="Calibri" w:hAnsi="Calibri" w:cs="Calibri"/>
          <w:sz w:val="22"/>
          <w:szCs w:val="22"/>
        </w:rPr>
        <w:t>In a receivership proceeding, handling of the</w:t>
      </w:r>
      <w:r w:rsidR="009F729C">
        <w:rPr>
          <w:rFonts w:ascii="Calibri" w:hAnsi="Calibri" w:cs="Calibri"/>
          <w:sz w:val="22"/>
          <w:szCs w:val="22"/>
        </w:rPr>
        <w:t xml:space="preserve"> funding agreement or</w:t>
      </w:r>
      <w:r w:rsidR="0029481E">
        <w:rPr>
          <w:rFonts w:ascii="Calibri" w:hAnsi="Calibri" w:cs="Calibri"/>
          <w:sz w:val="22"/>
          <w:szCs w:val="22"/>
        </w:rPr>
        <w:t xml:space="preserve"> FABN would be dependent on</w:t>
      </w:r>
      <w:r w:rsidR="00A26B2F">
        <w:rPr>
          <w:rFonts w:ascii="Calibri" w:hAnsi="Calibri" w:cs="Calibri"/>
          <w:sz w:val="22"/>
          <w:szCs w:val="22"/>
        </w:rPr>
        <w:t xml:space="preserve"> the terms and conditions of</w:t>
      </w:r>
      <w:r w:rsidR="0029481E">
        <w:rPr>
          <w:rFonts w:ascii="Calibri" w:hAnsi="Calibri" w:cs="Calibri"/>
          <w:sz w:val="22"/>
          <w:szCs w:val="22"/>
        </w:rPr>
        <w:t xml:space="preserve"> the </w:t>
      </w:r>
      <w:r w:rsidR="00CF706E">
        <w:rPr>
          <w:rFonts w:ascii="Calibri" w:hAnsi="Calibri" w:cs="Calibri"/>
          <w:sz w:val="22"/>
          <w:szCs w:val="22"/>
        </w:rPr>
        <w:t>actual agreement</w:t>
      </w:r>
      <w:r w:rsidR="0020029A">
        <w:rPr>
          <w:rFonts w:ascii="Calibri" w:hAnsi="Calibri" w:cs="Calibri"/>
          <w:sz w:val="22"/>
          <w:szCs w:val="22"/>
        </w:rPr>
        <w:t>,</w:t>
      </w:r>
      <w:r w:rsidR="0029791A">
        <w:rPr>
          <w:rFonts w:ascii="Calibri" w:hAnsi="Calibri" w:cs="Calibri"/>
          <w:sz w:val="22"/>
          <w:szCs w:val="22"/>
        </w:rPr>
        <w:t xml:space="preserve"> for which </w:t>
      </w:r>
      <w:r w:rsidR="00B65FEF">
        <w:rPr>
          <w:rFonts w:ascii="Calibri" w:hAnsi="Calibri" w:cs="Calibri"/>
          <w:sz w:val="22"/>
          <w:szCs w:val="22"/>
        </w:rPr>
        <w:t xml:space="preserve">there </w:t>
      </w:r>
      <w:r w:rsidR="0029791A">
        <w:rPr>
          <w:rFonts w:ascii="Calibri" w:hAnsi="Calibri" w:cs="Calibri"/>
          <w:sz w:val="22"/>
          <w:szCs w:val="22"/>
        </w:rPr>
        <w:t xml:space="preserve">could be </w:t>
      </w:r>
      <w:r w:rsidR="00397C5A">
        <w:rPr>
          <w:rFonts w:ascii="Calibri" w:hAnsi="Calibri" w:cs="Calibri"/>
          <w:sz w:val="22"/>
          <w:szCs w:val="22"/>
        </w:rPr>
        <w:t>multiple</w:t>
      </w:r>
      <w:r w:rsidR="0020029A">
        <w:rPr>
          <w:rFonts w:ascii="Calibri" w:hAnsi="Calibri" w:cs="Calibri"/>
          <w:sz w:val="22"/>
          <w:szCs w:val="22"/>
        </w:rPr>
        <w:t xml:space="preserve"> variations</w:t>
      </w:r>
      <w:r w:rsidR="00A16645">
        <w:rPr>
          <w:rFonts w:ascii="Calibri" w:hAnsi="Calibri" w:cs="Calibri"/>
          <w:sz w:val="22"/>
          <w:szCs w:val="22"/>
        </w:rPr>
        <w:t xml:space="preserve"> of FABNs</w:t>
      </w:r>
      <w:r w:rsidR="00BA1367">
        <w:rPr>
          <w:rStyle w:val="FootnoteReference"/>
          <w:rFonts w:ascii="Calibri" w:hAnsi="Calibri" w:cs="Calibri"/>
          <w:sz w:val="22"/>
          <w:szCs w:val="22"/>
        </w:rPr>
        <w:footnoteReference w:id="4"/>
      </w:r>
      <w:r w:rsidR="0020029A">
        <w:rPr>
          <w:rFonts w:ascii="Calibri" w:hAnsi="Calibri" w:cs="Calibri"/>
          <w:sz w:val="22"/>
          <w:szCs w:val="22"/>
        </w:rPr>
        <w:t xml:space="preserve">, </w:t>
      </w:r>
      <w:r w:rsidR="00CF706E">
        <w:rPr>
          <w:rFonts w:ascii="Calibri" w:hAnsi="Calibri" w:cs="Calibri"/>
          <w:sz w:val="22"/>
          <w:szCs w:val="22"/>
        </w:rPr>
        <w:t>a</w:t>
      </w:r>
      <w:r w:rsidR="004F7CFE">
        <w:rPr>
          <w:rFonts w:ascii="Calibri" w:hAnsi="Calibri" w:cs="Calibri"/>
          <w:sz w:val="22"/>
          <w:szCs w:val="22"/>
        </w:rPr>
        <w:t xml:space="preserve">s well as </w:t>
      </w:r>
      <w:r w:rsidR="00CF706E">
        <w:rPr>
          <w:rFonts w:ascii="Calibri" w:hAnsi="Calibri" w:cs="Calibri"/>
          <w:sz w:val="22"/>
          <w:szCs w:val="22"/>
        </w:rPr>
        <w:t xml:space="preserve">the </w:t>
      </w:r>
      <w:r w:rsidR="004F7CFE">
        <w:rPr>
          <w:rFonts w:ascii="Calibri" w:hAnsi="Calibri" w:cs="Calibri"/>
          <w:sz w:val="22"/>
          <w:szCs w:val="22"/>
        </w:rPr>
        <w:t>receivership</w:t>
      </w:r>
      <w:r w:rsidR="0036691A">
        <w:rPr>
          <w:rFonts w:ascii="Calibri" w:hAnsi="Calibri" w:cs="Calibri"/>
          <w:sz w:val="22"/>
          <w:szCs w:val="22"/>
        </w:rPr>
        <w:t xml:space="preserve"> </w:t>
      </w:r>
      <w:r w:rsidR="00CF706E">
        <w:rPr>
          <w:rFonts w:ascii="Calibri" w:hAnsi="Calibri" w:cs="Calibri"/>
          <w:sz w:val="22"/>
          <w:szCs w:val="22"/>
        </w:rPr>
        <w:t>law</w:t>
      </w:r>
      <w:r w:rsidR="0036691A">
        <w:rPr>
          <w:rFonts w:ascii="Calibri" w:hAnsi="Calibri" w:cs="Calibri"/>
          <w:sz w:val="22"/>
          <w:szCs w:val="22"/>
        </w:rPr>
        <w:t>s</w:t>
      </w:r>
      <w:r w:rsidR="00CF706E">
        <w:rPr>
          <w:rFonts w:ascii="Calibri" w:hAnsi="Calibri" w:cs="Calibri"/>
          <w:sz w:val="22"/>
          <w:szCs w:val="22"/>
        </w:rPr>
        <w:t xml:space="preserve"> in </w:t>
      </w:r>
      <w:r w:rsidR="00397C5A">
        <w:rPr>
          <w:rFonts w:ascii="Calibri" w:hAnsi="Calibri" w:cs="Calibri"/>
          <w:sz w:val="22"/>
          <w:szCs w:val="22"/>
        </w:rPr>
        <w:t>the domiciliary state</w:t>
      </w:r>
      <w:r w:rsidR="00CF706E">
        <w:rPr>
          <w:rFonts w:ascii="Calibri" w:hAnsi="Calibri" w:cs="Calibri"/>
          <w:sz w:val="22"/>
          <w:szCs w:val="22"/>
        </w:rPr>
        <w:t xml:space="preserve">. </w:t>
      </w:r>
      <w:r w:rsidR="004F7CFE">
        <w:rPr>
          <w:rFonts w:ascii="Calibri" w:hAnsi="Calibri" w:cs="Calibri"/>
          <w:sz w:val="22"/>
          <w:szCs w:val="22"/>
        </w:rPr>
        <w:t xml:space="preserve">While all states have </w:t>
      </w:r>
      <w:r w:rsidR="0036691A">
        <w:rPr>
          <w:rFonts w:ascii="Calibri" w:hAnsi="Calibri" w:cs="Calibri"/>
          <w:sz w:val="22"/>
          <w:szCs w:val="22"/>
        </w:rPr>
        <w:t xml:space="preserve">a </w:t>
      </w:r>
      <w:r w:rsidR="004F7CFE">
        <w:rPr>
          <w:rFonts w:ascii="Calibri" w:hAnsi="Calibri" w:cs="Calibri"/>
          <w:sz w:val="22"/>
          <w:szCs w:val="22"/>
        </w:rPr>
        <w:t xml:space="preserve">receivership law based on a version of the </w:t>
      </w:r>
      <w:r w:rsidR="00B50038">
        <w:rPr>
          <w:rFonts w:ascii="Calibri" w:hAnsi="Calibri" w:cs="Calibri"/>
          <w:sz w:val="22"/>
          <w:szCs w:val="22"/>
        </w:rPr>
        <w:t xml:space="preserve">NAIC’s </w:t>
      </w:r>
      <w:r w:rsidR="00B50038" w:rsidRPr="00F11090">
        <w:rPr>
          <w:rFonts w:ascii="Calibri" w:hAnsi="Calibri" w:cs="Calibri"/>
          <w:i/>
          <w:iCs/>
          <w:sz w:val="22"/>
          <w:szCs w:val="22"/>
        </w:rPr>
        <w:t xml:space="preserve">Insurer </w:t>
      </w:r>
      <w:r w:rsidR="00F11090" w:rsidRPr="00F11090">
        <w:rPr>
          <w:rFonts w:ascii="Calibri" w:hAnsi="Calibri" w:cs="Calibri"/>
          <w:i/>
          <w:iCs/>
          <w:sz w:val="22"/>
          <w:szCs w:val="22"/>
        </w:rPr>
        <w:t>Receivership</w:t>
      </w:r>
      <w:r w:rsidR="00B50038" w:rsidRPr="00F11090">
        <w:rPr>
          <w:rFonts w:ascii="Calibri" w:hAnsi="Calibri" w:cs="Calibri"/>
          <w:i/>
          <w:iCs/>
          <w:sz w:val="22"/>
          <w:szCs w:val="22"/>
        </w:rPr>
        <w:t xml:space="preserve"> Model Act</w:t>
      </w:r>
      <w:r w:rsidR="00F11090">
        <w:rPr>
          <w:rFonts w:ascii="Calibri" w:hAnsi="Calibri" w:cs="Calibri"/>
          <w:i/>
          <w:iCs/>
          <w:sz w:val="22"/>
          <w:szCs w:val="22"/>
        </w:rPr>
        <w:t xml:space="preserve">, </w:t>
      </w:r>
      <w:r w:rsidR="00F11090" w:rsidRPr="00F11090">
        <w:rPr>
          <w:rFonts w:ascii="Calibri" w:hAnsi="Calibri" w:cs="Calibri"/>
          <w:sz w:val="22"/>
          <w:szCs w:val="22"/>
        </w:rPr>
        <w:t>(Model</w:t>
      </w:r>
      <w:r w:rsidR="00B50038" w:rsidRPr="00F11090">
        <w:rPr>
          <w:rFonts w:ascii="Calibri" w:hAnsi="Calibri" w:cs="Calibri"/>
          <w:sz w:val="22"/>
          <w:szCs w:val="22"/>
        </w:rPr>
        <w:t xml:space="preserve"> </w:t>
      </w:r>
      <w:r w:rsidR="00B50038">
        <w:rPr>
          <w:rFonts w:ascii="Calibri" w:hAnsi="Calibri" w:cs="Calibri"/>
          <w:sz w:val="22"/>
          <w:szCs w:val="22"/>
        </w:rPr>
        <w:t xml:space="preserve">#555, </w:t>
      </w:r>
      <w:r w:rsidR="00B3428E">
        <w:rPr>
          <w:rFonts w:ascii="Calibri" w:hAnsi="Calibri" w:cs="Calibri"/>
          <w:sz w:val="22"/>
          <w:szCs w:val="22"/>
        </w:rPr>
        <w:t xml:space="preserve">known as </w:t>
      </w:r>
      <w:r w:rsidR="00B50038">
        <w:rPr>
          <w:rFonts w:ascii="Calibri" w:hAnsi="Calibri" w:cs="Calibri"/>
          <w:sz w:val="22"/>
          <w:szCs w:val="22"/>
        </w:rPr>
        <w:t xml:space="preserve">“IRMA”), most states laws are based on earlier versions </w:t>
      </w:r>
      <w:r w:rsidR="006D25C7">
        <w:rPr>
          <w:rFonts w:ascii="Calibri" w:hAnsi="Calibri" w:cs="Calibri"/>
          <w:sz w:val="22"/>
          <w:szCs w:val="22"/>
        </w:rPr>
        <w:t>(</w:t>
      </w:r>
      <w:r w:rsidR="00B3428E">
        <w:rPr>
          <w:rFonts w:ascii="Calibri" w:hAnsi="Calibri" w:cs="Calibri"/>
          <w:sz w:val="22"/>
          <w:szCs w:val="22"/>
        </w:rPr>
        <w:t>e.g.,</w:t>
      </w:r>
      <w:r w:rsidR="006D25C7">
        <w:rPr>
          <w:rFonts w:ascii="Calibri" w:hAnsi="Calibri" w:cs="Calibri"/>
          <w:sz w:val="22"/>
          <w:szCs w:val="22"/>
        </w:rPr>
        <w:t xml:space="preserve"> Insurer Rehabilitation and </w:t>
      </w:r>
      <w:r w:rsidR="00B3428E">
        <w:rPr>
          <w:rFonts w:ascii="Calibri" w:hAnsi="Calibri" w:cs="Calibri"/>
          <w:sz w:val="22"/>
          <w:szCs w:val="22"/>
        </w:rPr>
        <w:t xml:space="preserve">Liquidation Model Act, known as “IRLMA”) </w:t>
      </w:r>
      <w:r w:rsidR="00B50038">
        <w:rPr>
          <w:rFonts w:ascii="Calibri" w:hAnsi="Calibri" w:cs="Calibri"/>
          <w:sz w:val="22"/>
          <w:szCs w:val="22"/>
        </w:rPr>
        <w:t xml:space="preserve">and therefore certain provisions may vary. </w:t>
      </w:r>
    </w:p>
    <w:p w14:paraId="4C937554" w14:textId="77777777" w:rsidR="000A66C0" w:rsidRPr="002D4975" w:rsidRDefault="000A66C0" w:rsidP="00AC698E">
      <w:pPr>
        <w:spacing w:line="276" w:lineRule="auto"/>
        <w:contextualSpacing/>
        <w:jc w:val="both"/>
        <w:rPr>
          <w:rFonts w:ascii="Calibri" w:hAnsi="Calibri" w:cs="Calibri"/>
          <w:sz w:val="22"/>
          <w:szCs w:val="22"/>
        </w:rPr>
      </w:pPr>
    </w:p>
    <w:p w14:paraId="4B6BBD09" w14:textId="08F1CC13" w:rsidR="00B27634" w:rsidRPr="002D4975" w:rsidRDefault="001574E6" w:rsidP="001574E6">
      <w:pPr>
        <w:spacing w:line="276" w:lineRule="auto"/>
        <w:contextualSpacing/>
        <w:jc w:val="both"/>
        <w:rPr>
          <w:rFonts w:ascii="Calibri" w:hAnsi="Calibri" w:cs="Calibri"/>
          <w:sz w:val="22"/>
          <w:szCs w:val="22"/>
        </w:rPr>
      </w:pPr>
      <w:r w:rsidRPr="002D4975">
        <w:rPr>
          <w:rFonts w:ascii="Calibri" w:hAnsi="Calibri" w:cs="Calibri"/>
          <w:sz w:val="22"/>
          <w:szCs w:val="22"/>
        </w:rPr>
        <w:t>The Task Force’s conclusions are based on a general understanding of funding agreements</w:t>
      </w:r>
      <w:r w:rsidR="007B1A7D">
        <w:rPr>
          <w:rFonts w:ascii="Calibri" w:hAnsi="Calibri" w:cs="Calibri"/>
          <w:sz w:val="22"/>
          <w:szCs w:val="22"/>
        </w:rPr>
        <w:t>.</w:t>
      </w:r>
      <w:r w:rsidRPr="002D4975">
        <w:rPr>
          <w:rFonts w:ascii="Calibri" w:hAnsi="Calibri" w:cs="Calibri"/>
          <w:sz w:val="22"/>
          <w:szCs w:val="22"/>
        </w:rPr>
        <w:t xml:space="preserve"> The conclusions are not based on a nationwide study of states’ laws, nor do the conclusions address variations in a FABN structure</w:t>
      </w:r>
      <w:r w:rsidR="00D96B60">
        <w:rPr>
          <w:rFonts w:ascii="Calibri" w:hAnsi="Calibri" w:cs="Calibri"/>
          <w:sz w:val="22"/>
          <w:szCs w:val="22"/>
        </w:rPr>
        <w:t xml:space="preserve">, </w:t>
      </w:r>
      <w:r w:rsidRPr="002D4975">
        <w:rPr>
          <w:rFonts w:ascii="Calibri" w:hAnsi="Calibri" w:cs="Calibri"/>
          <w:sz w:val="22"/>
          <w:szCs w:val="22"/>
        </w:rPr>
        <w:t xml:space="preserve">or any specific terms and conditions of the funding agreement that might present an unusual circumstance. </w:t>
      </w:r>
    </w:p>
    <w:p w14:paraId="51C91A60" w14:textId="77777777" w:rsidR="00B27634" w:rsidRDefault="00B27634" w:rsidP="001574E6">
      <w:pPr>
        <w:spacing w:line="276" w:lineRule="auto"/>
        <w:contextualSpacing/>
        <w:jc w:val="both"/>
        <w:rPr>
          <w:rFonts w:ascii="Calibri" w:hAnsi="Calibri" w:cs="Calibri"/>
          <w:color w:val="0070C0"/>
          <w:sz w:val="22"/>
          <w:szCs w:val="22"/>
        </w:rPr>
      </w:pPr>
    </w:p>
    <w:p w14:paraId="1B9F75F1" w14:textId="55ACAF95" w:rsidR="002D4975" w:rsidRDefault="002D4975" w:rsidP="002D4975">
      <w:pPr>
        <w:spacing w:line="276" w:lineRule="auto"/>
        <w:contextualSpacing/>
        <w:jc w:val="both"/>
        <w:rPr>
          <w:rFonts w:ascii="Calibri" w:hAnsi="Calibri" w:cs="Calibri"/>
          <w:b/>
          <w:bCs/>
          <w:sz w:val="22"/>
          <w:szCs w:val="22"/>
        </w:rPr>
      </w:pPr>
      <w:r w:rsidRPr="00FD1B48">
        <w:rPr>
          <w:rFonts w:ascii="Calibri" w:hAnsi="Calibri" w:cs="Calibri"/>
          <w:b/>
          <w:bCs/>
          <w:sz w:val="22"/>
          <w:szCs w:val="22"/>
        </w:rPr>
        <w:t>Funding Agreement vs. the FABN (the “note”) in Receivership</w:t>
      </w:r>
    </w:p>
    <w:p w14:paraId="048F0872" w14:textId="77777777" w:rsidR="004C62DB" w:rsidRPr="00FD1B48" w:rsidRDefault="004C62DB" w:rsidP="002D4975">
      <w:pPr>
        <w:spacing w:line="276" w:lineRule="auto"/>
        <w:contextualSpacing/>
        <w:jc w:val="both"/>
        <w:rPr>
          <w:rFonts w:ascii="Calibri" w:hAnsi="Calibri" w:cs="Calibri"/>
          <w:b/>
          <w:bCs/>
          <w:sz w:val="22"/>
          <w:szCs w:val="22"/>
        </w:rPr>
      </w:pPr>
    </w:p>
    <w:p w14:paraId="6A88D17D" w14:textId="77777777" w:rsidR="00F34FB8" w:rsidRDefault="002D4975" w:rsidP="002D4975">
      <w:pPr>
        <w:spacing w:line="276" w:lineRule="auto"/>
        <w:contextualSpacing/>
        <w:jc w:val="both"/>
        <w:rPr>
          <w:rFonts w:ascii="Calibri" w:hAnsi="Calibri" w:cs="Calibri"/>
          <w:sz w:val="22"/>
          <w:szCs w:val="22"/>
        </w:rPr>
      </w:pPr>
      <w:r>
        <w:rPr>
          <w:rFonts w:ascii="Calibri" w:hAnsi="Calibri" w:cs="Calibri"/>
          <w:sz w:val="22"/>
          <w:szCs w:val="22"/>
        </w:rPr>
        <w:t xml:space="preserve">It is important to distinguish between the funding agreement and the </w:t>
      </w:r>
      <w:r w:rsidR="00EA4968">
        <w:rPr>
          <w:rFonts w:ascii="Calibri" w:hAnsi="Calibri" w:cs="Calibri"/>
          <w:sz w:val="22"/>
          <w:szCs w:val="22"/>
        </w:rPr>
        <w:t xml:space="preserve">FABN (i.e., the </w:t>
      </w:r>
      <w:r>
        <w:rPr>
          <w:rFonts w:ascii="Calibri" w:hAnsi="Calibri" w:cs="Calibri"/>
          <w:sz w:val="22"/>
          <w:szCs w:val="22"/>
        </w:rPr>
        <w:t>note</w:t>
      </w:r>
      <w:r w:rsidR="00EA4968">
        <w:rPr>
          <w:rFonts w:ascii="Calibri" w:hAnsi="Calibri" w:cs="Calibri"/>
          <w:sz w:val="22"/>
          <w:szCs w:val="22"/>
        </w:rPr>
        <w:t>)</w:t>
      </w:r>
      <w:r>
        <w:rPr>
          <w:rFonts w:ascii="Calibri" w:hAnsi="Calibri" w:cs="Calibri"/>
          <w:sz w:val="22"/>
          <w:szCs w:val="22"/>
        </w:rPr>
        <w:t xml:space="preserve"> that is supported by the funding agreement. </w:t>
      </w:r>
    </w:p>
    <w:p w14:paraId="41E443AF" w14:textId="77777777" w:rsidR="00F34FB8" w:rsidRDefault="00F34FB8" w:rsidP="002D4975">
      <w:pPr>
        <w:spacing w:line="276" w:lineRule="auto"/>
        <w:contextualSpacing/>
        <w:jc w:val="both"/>
        <w:rPr>
          <w:rFonts w:ascii="Calibri" w:hAnsi="Calibri" w:cs="Calibri"/>
          <w:sz w:val="22"/>
          <w:szCs w:val="22"/>
        </w:rPr>
      </w:pPr>
    </w:p>
    <w:p w14:paraId="4E22508B" w14:textId="484E1E6B" w:rsidR="00F34FB8" w:rsidRDefault="00F34FB8" w:rsidP="002D4975">
      <w:pPr>
        <w:spacing w:line="276" w:lineRule="auto"/>
        <w:contextualSpacing/>
        <w:jc w:val="both"/>
        <w:rPr>
          <w:rFonts w:ascii="Calibri" w:hAnsi="Calibri" w:cs="Calibri"/>
          <w:sz w:val="22"/>
          <w:szCs w:val="22"/>
        </w:rPr>
      </w:pPr>
      <w:r w:rsidRPr="00A80896">
        <w:rPr>
          <w:rFonts w:ascii="Calibri" w:hAnsi="Calibri" w:cs="Calibri"/>
          <w:sz w:val="22"/>
          <w:szCs w:val="22"/>
          <w:u w:val="single"/>
        </w:rPr>
        <w:t>The Funding Agreement:</w:t>
      </w:r>
      <w:r>
        <w:rPr>
          <w:rFonts w:ascii="Calibri" w:hAnsi="Calibri" w:cs="Calibri"/>
          <w:sz w:val="22"/>
          <w:szCs w:val="22"/>
        </w:rPr>
        <w:t xml:space="preserve"> </w:t>
      </w:r>
      <w:r w:rsidR="002D4975">
        <w:rPr>
          <w:rFonts w:ascii="Calibri" w:hAnsi="Calibri" w:cs="Calibri"/>
          <w:sz w:val="22"/>
          <w:szCs w:val="22"/>
        </w:rPr>
        <w:t>T</w:t>
      </w:r>
      <w:r w:rsidR="002D4975" w:rsidRPr="00A81CFC">
        <w:rPr>
          <w:rFonts w:ascii="Calibri" w:hAnsi="Calibri" w:cs="Calibri"/>
          <w:sz w:val="22"/>
          <w:szCs w:val="22"/>
        </w:rPr>
        <w:t xml:space="preserve">he insurance company issues the funding agreement </w:t>
      </w:r>
      <w:r w:rsidR="006674D1">
        <w:rPr>
          <w:rFonts w:ascii="Calibri" w:hAnsi="Calibri" w:cs="Calibri"/>
          <w:sz w:val="22"/>
          <w:szCs w:val="22"/>
        </w:rPr>
        <w:t xml:space="preserve">to </w:t>
      </w:r>
      <w:r w:rsidR="00B967D2">
        <w:rPr>
          <w:rFonts w:ascii="Calibri" w:hAnsi="Calibri" w:cs="Calibri"/>
          <w:sz w:val="22"/>
          <w:szCs w:val="22"/>
        </w:rPr>
        <w:t xml:space="preserve">a </w:t>
      </w:r>
      <w:r w:rsidR="006674D1">
        <w:rPr>
          <w:rFonts w:ascii="Calibri" w:hAnsi="Calibri" w:cs="Calibri"/>
          <w:sz w:val="22"/>
          <w:szCs w:val="22"/>
        </w:rPr>
        <w:t>special purpose vehicle (</w:t>
      </w:r>
      <w:r w:rsidR="006674D1" w:rsidRPr="00CE0FE8">
        <w:rPr>
          <w:rFonts w:ascii="Calibri" w:hAnsi="Calibri" w:cs="Calibri"/>
          <w:sz w:val="22"/>
          <w:szCs w:val="22"/>
        </w:rPr>
        <w:t>SPV</w:t>
      </w:r>
      <w:r w:rsidR="006674D1">
        <w:rPr>
          <w:rFonts w:ascii="Calibri" w:hAnsi="Calibri" w:cs="Calibri"/>
          <w:sz w:val="22"/>
          <w:szCs w:val="22"/>
        </w:rPr>
        <w:t>)</w:t>
      </w:r>
      <w:r w:rsidR="00A0141D">
        <w:rPr>
          <w:rFonts w:ascii="Calibri" w:hAnsi="Calibri" w:cs="Calibri"/>
          <w:sz w:val="22"/>
          <w:szCs w:val="22"/>
        </w:rPr>
        <w:t>. The insurer r</w:t>
      </w:r>
      <w:r w:rsidR="002D4975">
        <w:rPr>
          <w:rFonts w:ascii="Calibri" w:hAnsi="Calibri" w:cs="Calibri"/>
          <w:sz w:val="22"/>
          <w:szCs w:val="22"/>
        </w:rPr>
        <w:t>ecords</w:t>
      </w:r>
      <w:r w:rsidR="002D4975" w:rsidRPr="00A81CFC">
        <w:rPr>
          <w:rFonts w:ascii="Calibri" w:hAnsi="Calibri" w:cs="Calibri"/>
          <w:sz w:val="22"/>
          <w:szCs w:val="22"/>
        </w:rPr>
        <w:t xml:space="preserve"> the liability</w:t>
      </w:r>
      <w:r w:rsidR="00A0141D">
        <w:rPr>
          <w:rFonts w:ascii="Calibri" w:hAnsi="Calibri" w:cs="Calibri"/>
          <w:sz w:val="22"/>
          <w:szCs w:val="22"/>
        </w:rPr>
        <w:t>, typically as a deposit-type contract liability,</w:t>
      </w:r>
      <w:r w:rsidR="002D4975">
        <w:rPr>
          <w:rFonts w:ascii="Calibri" w:hAnsi="Calibri" w:cs="Calibri"/>
          <w:sz w:val="22"/>
          <w:szCs w:val="22"/>
        </w:rPr>
        <w:t xml:space="preserve"> and </w:t>
      </w:r>
      <w:r w:rsidR="002A0420">
        <w:rPr>
          <w:rFonts w:ascii="Calibri" w:hAnsi="Calibri" w:cs="Calibri"/>
          <w:sz w:val="22"/>
          <w:szCs w:val="22"/>
        </w:rPr>
        <w:t xml:space="preserve">the proceeds are </w:t>
      </w:r>
      <w:r w:rsidR="002D4975">
        <w:rPr>
          <w:rFonts w:ascii="Calibri" w:hAnsi="Calibri" w:cs="Calibri"/>
          <w:sz w:val="22"/>
          <w:szCs w:val="22"/>
        </w:rPr>
        <w:t>assets</w:t>
      </w:r>
      <w:r w:rsidR="002D4975" w:rsidRPr="00A81CFC">
        <w:rPr>
          <w:rFonts w:ascii="Calibri" w:hAnsi="Calibri" w:cs="Calibri"/>
          <w:sz w:val="22"/>
          <w:szCs w:val="22"/>
        </w:rPr>
        <w:t xml:space="preserve"> </w:t>
      </w:r>
      <w:r w:rsidR="002A0420">
        <w:rPr>
          <w:rFonts w:ascii="Calibri" w:hAnsi="Calibri" w:cs="Calibri"/>
          <w:sz w:val="22"/>
          <w:szCs w:val="22"/>
        </w:rPr>
        <w:t xml:space="preserve">of the general account. </w:t>
      </w:r>
      <w:r w:rsidR="00FF0AEC">
        <w:rPr>
          <w:rFonts w:ascii="Calibri" w:hAnsi="Calibri" w:cs="Calibri"/>
          <w:sz w:val="22"/>
          <w:szCs w:val="22"/>
        </w:rPr>
        <w:t>The funding agreement is with</w:t>
      </w:r>
      <w:r w:rsidR="00FF0AEC" w:rsidRPr="000974B5">
        <w:rPr>
          <w:rFonts w:ascii="Calibri" w:hAnsi="Calibri" w:cs="Calibri"/>
          <w:sz w:val="22"/>
          <w:szCs w:val="22"/>
        </w:rPr>
        <w:t xml:space="preserve">out mortality, morbidity or longevity </w:t>
      </w:r>
      <w:r w:rsidR="000C02CA" w:rsidRPr="000974B5">
        <w:rPr>
          <w:rFonts w:ascii="Calibri" w:hAnsi="Calibri" w:cs="Calibri"/>
          <w:sz w:val="22"/>
          <w:szCs w:val="22"/>
        </w:rPr>
        <w:t>risk. The</w:t>
      </w:r>
      <w:r w:rsidR="000C02CA">
        <w:rPr>
          <w:rFonts w:ascii="Calibri" w:hAnsi="Calibri" w:cs="Calibri"/>
          <w:sz w:val="22"/>
          <w:szCs w:val="22"/>
        </w:rPr>
        <w:t xml:space="preserve"> insurer</w:t>
      </w:r>
      <w:r w:rsidR="000974B5">
        <w:rPr>
          <w:rFonts w:ascii="Calibri" w:hAnsi="Calibri" w:cs="Calibri"/>
          <w:sz w:val="22"/>
          <w:szCs w:val="22"/>
        </w:rPr>
        <w:t>’</w:t>
      </w:r>
      <w:r w:rsidR="000C02CA">
        <w:rPr>
          <w:rFonts w:ascii="Calibri" w:hAnsi="Calibri" w:cs="Calibri"/>
          <w:sz w:val="22"/>
          <w:szCs w:val="22"/>
        </w:rPr>
        <w:t>s obligation is to the SPV as the holder of the funding agreement. I</w:t>
      </w:r>
      <w:r w:rsidR="002D4975">
        <w:rPr>
          <w:rFonts w:ascii="Calibri" w:hAnsi="Calibri" w:cs="Calibri"/>
          <w:sz w:val="22"/>
          <w:szCs w:val="22"/>
        </w:rPr>
        <w:t xml:space="preserve">n the event of the insurer’s </w:t>
      </w:r>
      <w:r w:rsidR="002D4975" w:rsidRPr="00A81CFC">
        <w:rPr>
          <w:rFonts w:ascii="Calibri" w:hAnsi="Calibri" w:cs="Calibri"/>
          <w:sz w:val="22"/>
          <w:szCs w:val="22"/>
        </w:rPr>
        <w:t>receivership</w:t>
      </w:r>
      <w:r w:rsidR="000C02CA">
        <w:rPr>
          <w:rFonts w:ascii="Calibri" w:hAnsi="Calibri" w:cs="Calibri"/>
          <w:sz w:val="22"/>
          <w:szCs w:val="22"/>
        </w:rPr>
        <w:t>, th</w:t>
      </w:r>
      <w:r w:rsidR="000C02CA" w:rsidRPr="00A81CFC">
        <w:rPr>
          <w:rFonts w:ascii="Calibri" w:hAnsi="Calibri" w:cs="Calibri"/>
          <w:sz w:val="22"/>
          <w:szCs w:val="22"/>
        </w:rPr>
        <w:t xml:space="preserve">e funding agreement would be </w:t>
      </w:r>
      <w:r w:rsidR="000C02CA">
        <w:rPr>
          <w:rFonts w:ascii="Calibri" w:hAnsi="Calibri" w:cs="Calibri"/>
          <w:sz w:val="22"/>
          <w:szCs w:val="22"/>
        </w:rPr>
        <w:t>a claim against the</w:t>
      </w:r>
      <w:r w:rsidR="000C02CA" w:rsidRPr="00A81CFC">
        <w:rPr>
          <w:rFonts w:ascii="Calibri" w:hAnsi="Calibri" w:cs="Calibri"/>
          <w:sz w:val="22"/>
          <w:szCs w:val="22"/>
        </w:rPr>
        <w:t xml:space="preserve"> insurance company</w:t>
      </w:r>
      <w:r w:rsidR="002D4975" w:rsidRPr="00A81CFC">
        <w:rPr>
          <w:rFonts w:ascii="Calibri" w:hAnsi="Calibri" w:cs="Calibri"/>
          <w:sz w:val="22"/>
          <w:szCs w:val="22"/>
        </w:rPr>
        <w:t xml:space="preserve">. </w:t>
      </w:r>
    </w:p>
    <w:p w14:paraId="55D707A5" w14:textId="77777777" w:rsidR="00F34FB8" w:rsidRDefault="00F34FB8" w:rsidP="002D4975">
      <w:pPr>
        <w:spacing w:line="276" w:lineRule="auto"/>
        <w:contextualSpacing/>
        <w:jc w:val="both"/>
        <w:rPr>
          <w:rFonts w:ascii="Calibri" w:hAnsi="Calibri" w:cs="Calibri"/>
          <w:sz w:val="22"/>
          <w:szCs w:val="22"/>
        </w:rPr>
      </w:pPr>
    </w:p>
    <w:p w14:paraId="4F7C7265" w14:textId="14C08F85" w:rsidR="002D4975" w:rsidRDefault="00F34FB8" w:rsidP="002D4975">
      <w:pPr>
        <w:spacing w:line="276" w:lineRule="auto"/>
        <w:contextualSpacing/>
        <w:jc w:val="both"/>
        <w:rPr>
          <w:rFonts w:ascii="Calibri" w:hAnsi="Calibri" w:cs="Calibri"/>
          <w:sz w:val="22"/>
          <w:szCs w:val="22"/>
        </w:rPr>
      </w:pPr>
      <w:r w:rsidRPr="007B1396">
        <w:rPr>
          <w:rFonts w:ascii="Calibri" w:hAnsi="Calibri" w:cs="Calibri"/>
          <w:sz w:val="22"/>
          <w:szCs w:val="22"/>
          <w:u w:val="single"/>
        </w:rPr>
        <w:t>The Note:</w:t>
      </w:r>
      <w:r w:rsidRPr="007B1396">
        <w:rPr>
          <w:rFonts w:ascii="Calibri" w:hAnsi="Calibri" w:cs="Calibri"/>
          <w:sz w:val="22"/>
          <w:szCs w:val="22"/>
        </w:rPr>
        <w:t xml:space="preserve"> </w:t>
      </w:r>
      <w:r w:rsidR="00973A4F">
        <w:rPr>
          <w:rFonts w:ascii="Calibri" w:hAnsi="Calibri" w:cs="Calibri"/>
          <w:sz w:val="22"/>
          <w:szCs w:val="22"/>
        </w:rPr>
        <w:t>I</w:t>
      </w:r>
      <w:r w:rsidR="00973A4F" w:rsidRPr="007B1396">
        <w:rPr>
          <w:rFonts w:ascii="Calibri" w:hAnsi="Calibri" w:cs="Calibri"/>
          <w:sz w:val="22"/>
          <w:szCs w:val="22"/>
        </w:rPr>
        <w:t>n a typical FABN program</w:t>
      </w:r>
      <w:r w:rsidR="00973A4F">
        <w:rPr>
          <w:rFonts w:ascii="Calibri" w:hAnsi="Calibri" w:cs="Calibri"/>
          <w:sz w:val="22"/>
          <w:szCs w:val="22"/>
        </w:rPr>
        <w:t>,</w:t>
      </w:r>
      <w:r w:rsidR="00973A4F" w:rsidRPr="007B1396">
        <w:rPr>
          <w:rFonts w:ascii="Calibri" w:hAnsi="Calibri" w:cs="Calibri"/>
          <w:sz w:val="22"/>
          <w:szCs w:val="22"/>
        </w:rPr>
        <w:t xml:space="preserve"> a life insurance company issues a funding agreement to </w:t>
      </w:r>
      <w:r w:rsidR="00973A4F">
        <w:rPr>
          <w:rFonts w:ascii="Calibri" w:hAnsi="Calibri" w:cs="Calibri"/>
          <w:sz w:val="22"/>
          <w:szCs w:val="22"/>
        </w:rPr>
        <w:t xml:space="preserve">the </w:t>
      </w:r>
      <w:r w:rsidR="00973A4F" w:rsidRPr="007B1396">
        <w:rPr>
          <w:rFonts w:ascii="Calibri" w:hAnsi="Calibri" w:cs="Calibri"/>
          <w:sz w:val="22"/>
          <w:szCs w:val="22"/>
        </w:rPr>
        <w:t>SPV, which in turn issues notes to institutional investors</w:t>
      </w:r>
      <w:r w:rsidR="00973A4F">
        <w:rPr>
          <w:rFonts w:ascii="Calibri" w:hAnsi="Calibri" w:cs="Calibri"/>
          <w:sz w:val="22"/>
          <w:szCs w:val="22"/>
        </w:rPr>
        <w:t xml:space="preserve"> </w:t>
      </w:r>
      <w:r w:rsidR="00973A4F" w:rsidRPr="002A2D02">
        <w:rPr>
          <w:rFonts w:ascii="Calibri" w:hAnsi="Calibri" w:cs="Calibri"/>
          <w:sz w:val="22"/>
          <w:szCs w:val="22"/>
        </w:rPr>
        <w:t>(</w:t>
      </w:r>
      <w:r w:rsidR="00973A4F">
        <w:rPr>
          <w:rFonts w:ascii="Calibri" w:hAnsi="Calibri" w:cs="Calibri"/>
          <w:sz w:val="22"/>
          <w:szCs w:val="22"/>
        </w:rPr>
        <w:t xml:space="preserve">e.g., </w:t>
      </w:r>
      <w:r w:rsidR="00973A4F" w:rsidRPr="002A2D02">
        <w:rPr>
          <w:rFonts w:ascii="Calibri" w:hAnsi="Calibri" w:cs="Calibri"/>
          <w:sz w:val="22"/>
          <w:szCs w:val="22"/>
        </w:rPr>
        <w:t>pension funds, asset manager, state and local government entities, sovereign wealth funds, etc.).</w:t>
      </w:r>
      <w:r w:rsidR="00973A4F">
        <w:rPr>
          <w:rFonts w:ascii="Calibri" w:hAnsi="Calibri" w:cs="Calibri"/>
          <w:sz w:val="22"/>
          <w:szCs w:val="22"/>
        </w:rPr>
        <w:t xml:space="preserve"> </w:t>
      </w:r>
      <w:r w:rsidR="002D4975" w:rsidRPr="007B1396">
        <w:rPr>
          <w:rFonts w:ascii="Calibri" w:hAnsi="Calibri" w:cs="Calibri"/>
          <w:sz w:val="22"/>
          <w:szCs w:val="22"/>
        </w:rPr>
        <w:t xml:space="preserve">The note is issued by </w:t>
      </w:r>
      <w:r w:rsidR="000974B5" w:rsidRPr="007B1396">
        <w:rPr>
          <w:rFonts w:ascii="Calibri" w:hAnsi="Calibri" w:cs="Calibri"/>
          <w:sz w:val="22"/>
          <w:szCs w:val="22"/>
        </w:rPr>
        <w:t xml:space="preserve">the </w:t>
      </w:r>
      <w:r w:rsidR="002D4975" w:rsidRPr="007B1396">
        <w:rPr>
          <w:rFonts w:ascii="Calibri" w:hAnsi="Calibri" w:cs="Calibri"/>
          <w:sz w:val="22"/>
          <w:szCs w:val="22"/>
        </w:rPr>
        <w:t>SPV</w:t>
      </w:r>
      <w:r w:rsidR="000974B5" w:rsidRPr="007B1396">
        <w:rPr>
          <w:rFonts w:ascii="Calibri" w:hAnsi="Calibri" w:cs="Calibri"/>
          <w:sz w:val="22"/>
          <w:szCs w:val="22"/>
        </w:rPr>
        <w:t>,</w:t>
      </w:r>
      <w:r w:rsidR="002D4975" w:rsidRPr="007B1396">
        <w:rPr>
          <w:rFonts w:ascii="Calibri" w:hAnsi="Calibri" w:cs="Calibri"/>
          <w:sz w:val="22"/>
          <w:szCs w:val="22"/>
        </w:rPr>
        <w:t xml:space="preserve"> which is a separate non-insurance legal entity established for the specific purpose of issuing the FABN. </w:t>
      </w:r>
      <w:r w:rsidR="00C933E2" w:rsidRPr="007B1396">
        <w:rPr>
          <w:rFonts w:ascii="Calibri" w:hAnsi="Calibri" w:cs="Calibri"/>
          <w:sz w:val="22"/>
          <w:szCs w:val="22"/>
        </w:rPr>
        <w:t xml:space="preserve">The funding agreement is held by a trustee of the SPV.  </w:t>
      </w:r>
      <w:r w:rsidR="00372461">
        <w:rPr>
          <w:rFonts w:ascii="Calibri" w:hAnsi="Calibri" w:cs="Calibri"/>
          <w:sz w:val="22"/>
          <w:szCs w:val="22"/>
        </w:rPr>
        <w:t>T</w:t>
      </w:r>
      <w:r w:rsidR="00372461" w:rsidRPr="00CE0FE8">
        <w:rPr>
          <w:rFonts w:ascii="Calibri" w:hAnsi="Calibri" w:cs="Calibri"/>
          <w:sz w:val="22"/>
          <w:szCs w:val="22"/>
        </w:rPr>
        <w:t>he insurer is not a party to the note</w:t>
      </w:r>
      <w:r w:rsidR="00372461">
        <w:rPr>
          <w:rFonts w:ascii="Calibri" w:hAnsi="Calibri" w:cs="Calibri"/>
          <w:sz w:val="22"/>
          <w:szCs w:val="22"/>
        </w:rPr>
        <w:t xml:space="preserve"> agreement</w:t>
      </w:r>
      <w:r w:rsidR="00372461" w:rsidRPr="00CE0FE8">
        <w:rPr>
          <w:rFonts w:ascii="Calibri" w:hAnsi="Calibri" w:cs="Calibri"/>
          <w:sz w:val="22"/>
          <w:szCs w:val="22"/>
        </w:rPr>
        <w:t>; therefore, the note</w:t>
      </w:r>
      <w:r w:rsidR="00372461">
        <w:rPr>
          <w:rFonts w:ascii="Calibri" w:hAnsi="Calibri" w:cs="Calibri"/>
          <w:sz w:val="22"/>
          <w:szCs w:val="22"/>
        </w:rPr>
        <w:t xml:space="preserve">holder would not have a claim against the </w:t>
      </w:r>
      <w:r w:rsidR="00372461" w:rsidRPr="00CE0FE8">
        <w:rPr>
          <w:rFonts w:ascii="Calibri" w:hAnsi="Calibri" w:cs="Calibri"/>
          <w:sz w:val="22"/>
          <w:szCs w:val="22"/>
        </w:rPr>
        <w:t>insur</w:t>
      </w:r>
      <w:r w:rsidR="00CF4871">
        <w:rPr>
          <w:rFonts w:ascii="Calibri" w:hAnsi="Calibri" w:cs="Calibri"/>
          <w:sz w:val="22"/>
          <w:szCs w:val="22"/>
        </w:rPr>
        <w:t>er’s estate</w:t>
      </w:r>
      <w:r w:rsidR="00372461" w:rsidRPr="00CE0FE8">
        <w:rPr>
          <w:rFonts w:ascii="Calibri" w:hAnsi="Calibri" w:cs="Calibri"/>
          <w:sz w:val="22"/>
          <w:szCs w:val="22"/>
        </w:rPr>
        <w:t xml:space="preserve">. </w:t>
      </w:r>
      <w:r w:rsidR="00502BC8">
        <w:rPr>
          <w:rFonts w:ascii="Calibri" w:hAnsi="Calibri" w:cs="Calibri"/>
          <w:sz w:val="22"/>
          <w:szCs w:val="22"/>
        </w:rPr>
        <w:t xml:space="preserve">As the SPV is not an insurance company, it </w:t>
      </w:r>
      <w:r w:rsidR="002D4975" w:rsidRPr="00CE0FE8">
        <w:rPr>
          <w:rFonts w:ascii="Calibri" w:hAnsi="Calibri" w:cs="Calibri"/>
          <w:sz w:val="22"/>
          <w:szCs w:val="22"/>
        </w:rPr>
        <w:t xml:space="preserve">is not subject to insurance receivership laws. </w:t>
      </w:r>
    </w:p>
    <w:p w14:paraId="3DD1C497" w14:textId="77777777" w:rsidR="002A1774" w:rsidRPr="000E473F" w:rsidRDefault="002A1774" w:rsidP="002A1774">
      <w:pPr>
        <w:pStyle w:val="ListParagraph"/>
        <w:spacing w:line="276" w:lineRule="auto"/>
        <w:contextualSpacing/>
        <w:jc w:val="both"/>
        <w:rPr>
          <w:rFonts w:ascii="Calibri" w:hAnsi="Calibri" w:cs="Calibri"/>
          <w:sz w:val="22"/>
          <w:szCs w:val="22"/>
        </w:rPr>
      </w:pPr>
    </w:p>
    <w:p w14:paraId="1F5D8BCF" w14:textId="4C88490D" w:rsidR="006D69BF" w:rsidRDefault="00102ABA" w:rsidP="006D69BF">
      <w:pPr>
        <w:spacing w:line="276" w:lineRule="auto"/>
        <w:contextualSpacing/>
        <w:jc w:val="both"/>
        <w:rPr>
          <w:rFonts w:ascii="Calibri" w:hAnsi="Calibri" w:cs="Calibri"/>
          <w:b/>
          <w:bCs/>
          <w:sz w:val="22"/>
          <w:szCs w:val="22"/>
        </w:rPr>
      </w:pPr>
      <w:r w:rsidRPr="00675BF5">
        <w:rPr>
          <w:rFonts w:ascii="Calibri" w:hAnsi="Calibri" w:cs="Calibri"/>
          <w:b/>
          <w:bCs/>
          <w:sz w:val="22"/>
          <w:szCs w:val="22"/>
        </w:rPr>
        <w:t xml:space="preserve">Model #555 Priority Class </w:t>
      </w:r>
    </w:p>
    <w:p w14:paraId="048CFC06" w14:textId="77777777" w:rsidR="004C62DB" w:rsidRPr="00675BF5" w:rsidRDefault="004C62DB" w:rsidP="006D69BF">
      <w:pPr>
        <w:spacing w:line="276" w:lineRule="auto"/>
        <w:contextualSpacing/>
        <w:jc w:val="both"/>
        <w:rPr>
          <w:rFonts w:ascii="Calibri" w:hAnsi="Calibri" w:cs="Calibri"/>
          <w:b/>
          <w:bCs/>
          <w:sz w:val="22"/>
          <w:szCs w:val="22"/>
        </w:rPr>
      </w:pPr>
    </w:p>
    <w:p w14:paraId="6ADC90B0" w14:textId="6BAE300B" w:rsidR="00102ABA" w:rsidRPr="00E05783" w:rsidRDefault="00102ABA" w:rsidP="00102ABA">
      <w:pPr>
        <w:spacing w:line="276" w:lineRule="auto"/>
        <w:contextualSpacing/>
        <w:jc w:val="both"/>
        <w:rPr>
          <w:rFonts w:ascii="Calibri" w:hAnsi="Calibri" w:cs="Calibri"/>
          <w:sz w:val="22"/>
          <w:szCs w:val="22"/>
        </w:rPr>
      </w:pPr>
      <w:r>
        <w:rPr>
          <w:rFonts w:ascii="Calibri" w:hAnsi="Calibri" w:cs="Calibri"/>
          <w:sz w:val="22"/>
          <w:szCs w:val="22"/>
        </w:rPr>
        <w:t>U</w:t>
      </w:r>
      <w:r w:rsidRPr="00E05783">
        <w:rPr>
          <w:rFonts w:ascii="Calibri" w:hAnsi="Calibri" w:cs="Calibri"/>
          <w:sz w:val="22"/>
          <w:szCs w:val="22"/>
        </w:rPr>
        <w:t xml:space="preserve">nder the current Model </w:t>
      </w:r>
      <w:r>
        <w:rPr>
          <w:rFonts w:ascii="Calibri" w:hAnsi="Calibri" w:cs="Calibri"/>
          <w:sz w:val="22"/>
          <w:szCs w:val="22"/>
        </w:rPr>
        <w:t>#</w:t>
      </w:r>
      <w:r w:rsidRPr="00E05783">
        <w:rPr>
          <w:rFonts w:ascii="Calibri" w:hAnsi="Calibri" w:cs="Calibri"/>
          <w:sz w:val="22"/>
          <w:szCs w:val="22"/>
        </w:rPr>
        <w:t xml:space="preserve">555, funding agreements fall within priority distribution Class 3 for policyholder claims. While the </w:t>
      </w:r>
      <w:r>
        <w:rPr>
          <w:rFonts w:ascii="Calibri" w:hAnsi="Calibri" w:cs="Calibri"/>
          <w:sz w:val="22"/>
          <w:szCs w:val="22"/>
        </w:rPr>
        <w:t>immediate prior version of</w:t>
      </w:r>
      <w:r w:rsidRPr="00E05783">
        <w:rPr>
          <w:rFonts w:ascii="Calibri" w:hAnsi="Calibri" w:cs="Calibri"/>
          <w:sz w:val="22"/>
          <w:szCs w:val="22"/>
        </w:rPr>
        <w:t xml:space="preserve"> Model </w:t>
      </w:r>
      <w:r>
        <w:rPr>
          <w:rFonts w:ascii="Calibri" w:hAnsi="Calibri" w:cs="Calibri"/>
          <w:sz w:val="22"/>
          <w:szCs w:val="22"/>
        </w:rPr>
        <w:t>#</w:t>
      </w:r>
      <w:r w:rsidRPr="00E05783">
        <w:rPr>
          <w:rFonts w:ascii="Calibri" w:hAnsi="Calibri" w:cs="Calibri"/>
          <w:sz w:val="22"/>
          <w:szCs w:val="22"/>
        </w:rPr>
        <w:t>555</w:t>
      </w:r>
      <w:r w:rsidR="00A060E5">
        <w:rPr>
          <w:rFonts w:ascii="Calibri" w:hAnsi="Calibri" w:cs="Calibri"/>
          <w:sz w:val="22"/>
          <w:szCs w:val="22"/>
        </w:rPr>
        <w:t>—</w:t>
      </w:r>
      <w:r w:rsidRPr="00E05783">
        <w:rPr>
          <w:rFonts w:ascii="Calibri" w:hAnsi="Calibri" w:cs="Calibri"/>
          <w:sz w:val="22"/>
          <w:szCs w:val="22"/>
        </w:rPr>
        <w:t xml:space="preserve">IRLMA does not specifically reference funding agreements, it does identify annuities within Class 3 </w:t>
      </w:r>
      <w:r>
        <w:rPr>
          <w:rFonts w:ascii="Calibri" w:hAnsi="Calibri" w:cs="Calibri"/>
          <w:sz w:val="22"/>
          <w:szCs w:val="22"/>
        </w:rPr>
        <w:t>as a</w:t>
      </w:r>
      <w:r w:rsidRPr="00E05783">
        <w:rPr>
          <w:rFonts w:ascii="Calibri" w:hAnsi="Calibri" w:cs="Calibri"/>
          <w:sz w:val="22"/>
          <w:szCs w:val="22"/>
        </w:rPr>
        <w:t xml:space="preserve"> policyholder claim. Funding agreements are </w:t>
      </w:r>
      <w:r>
        <w:rPr>
          <w:rFonts w:ascii="Calibri" w:hAnsi="Calibri" w:cs="Calibri"/>
          <w:sz w:val="22"/>
          <w:szCs w:val="22"/>
        </w:rPr>
        <w:t>com</w:t>
      </w:r>
      <w:r w:rsidRPr="00E05783">
        <w:rPr>
          <w:rFonts w:ascii="Calibri" w:hAnsi="Calibri" w:cs="Calibri"/>
          <w:sz w:val="22"/>
          <w:szCs w:val="22"/>
        </w:rPr>
        <w:t xml:space="preserve">monly </w:t>
      </w:r>
      <w:r>
        <w:rPr>
          <w:rFonts w:ascii="Calibri" w:hAnsi="Calibri" w:cs="Calibri"/>
          <w:sz w:val="22"/>
          <w:szCs w:val="22"/>
        </w:rPr>
        <w:t>categorized</w:t>
      </w:r>
      <w:r w:rsidRPr="00E05783">
        <w:rPr>
          <w:rFonts w:ascii="Calibri" w:hAnsi="Calibri" w:cs="Calibri"/>
          <w:sz w:val="22"/>
          <w:szCs w:val="22"/>
        </w:rPr>
        <w:t xml:space="preserve"> as </w:t>
      </w:r>
      <w:r w:rsidR="00A84E47">
        <w:rPr>
          <w:rFonts w:ascii="Calibri" w:hAnsi="Calibri" w:cs="Calibri"/>
          <w:sz w:val="22"/>
          <w:szCs w:val="22"/>
        </w:rPr>
        <w:t xml:space="preserve">unallocated </w:t>
      </w:r>
      <w:r w:rsidRPr="00E05783">
        <w:rPr>
          <w:rFonts w:ascii="Calibri" w:hAnsi="Calibri" w:cs="Calibri"/>
          <w:sz w:val="22"/>
          <w:szCs w:val="22"/>
        </w:rPr>
        <w:t>annuities.</w:t>
      </w:r>
      <w:r>
        <w:rPr>
          <w:rFonts w:ascii="Calibri" w:hAnsi="Calibri" w:cs="Calibri"/>
          <w:sz w:val="22"/>
          <w:szCs w:val="22"/>
        </w:rPr>
        <w:t xml:space="preserve"> Refer to the Model #555 excerpts in Appendix A, below.</w:t>
      </w:r>
    </w:p>
    <w:p w14:paraId="2AA79983" w14:textId="77777777" w:rsidR="00102ABA" w:rsidRDefault="00102ABA" w:rsidP="00102ABA">
      <w:pPr>
        <w:spacing w:line="276" w:lineRule="auto"/>
        <w:contextualSpacing/>
        <w:jc w:val="both"/>
        <w:rPr>
          <w:rFonts w:ascii="Calibri" w:hAnsi="Calibri" w:cs="Calibri"/>
          <w:sz w:val="22"/>
          <w:szCs w:val="22"/>
        </w:rPr>
      </w:pPr>
    </w:p>
    <w:p w14:paraId="76E0CB4A" w14:textId="4B710C3E" w:rsidR="000E473F" w:rsidRPr="000E473F" w:rsidRDefault="000E473F" w:rsidP="000E473F">
      <w:pPr>
        <w:spacing w:line="276" w:lineRule="auto"/>
        <w:contextualSpacing/>
        <w:jc w:val="both"/>
        <w:rPr>
          <w:rFonts w:ascii="Calibri" w:hAnsi="Calibri" w:cs="Calibri"/>
          <w:sz w:val="22"/>
          <w:szCs w:val="22"/>
        </w:rPr>
      </w:pPr>
      <w:r w:rsidRPr="000E473F">
        <w:rPr>
          <w:rFonts w:ascii="Calibri" w:hAnsi="Calibri" w:cs="Calibri"/>
          <w:sz w:val="22"/>
          <w:szCs w:val="22"/>
        </w:rPr>
        <w:t xml:space="preserve">While a funding agreement should be evaluated based on the terms and conditions of the contract, under Model #555 it is </w:t>
      </w:r>
      <w:r w:rsidR="00B257C1">
        <w:rPr>
          <w:rFonts w:ascii="Calibri" w:hAnsi="Calibri" w:cs="Calibri"/>
          <w:sz w:val="22"/>
          <w:szCs w:val="22"/>
        </w:rPr>
        <w:t xml:space="preserve">typically </w:t>
      </w:r>
      <w:r w:rsidRPr="000E473F">
        <w:rPr>
          <w:rFonts w:ascii="Calibri" w:hAnsi="Calibri" w:cs="Calibri"/>
          <w:sz w:val="22"/>
          <w:szCs w:val="22"/>
        </w:rPr>
        <w:t xml:space="preserve">a type of annuity contract. Funding agreements do not involve mortality, morbidity or longevity of the person to whom the funding agreement is issued. Under Model </w:t>
      </w:r>
      <w:r w:rsidR="00EC66EA">
        <w:rPr>
          <w:rFonts w:ascii="Calibri" w:hAnsi="Calibri" w:cs="Calibri"/>
          <w:sz w:val="22"/>
          <w:szCs w:val="22"/>
        </w:rPr>
        <w:t>#</w:t>
      </w:r>
      <w:r w:rsidRPr="000E473F">
        <w:rPr>
          <w:rFonts w:ascii="Calibri" w:hAnsi="Calibri" w:cs="Calibri"/>
          <w:sz w:val="22"/>
          <w:szCs w:val="22"/>
        </w:rPr>
        <w:t>555, annuities and funding agreements would fall within the priority of distribution as Class 3 policyholder claims. Where state law does not specifically address funding agreements, they would typically fall within the same priority class with insurance contracts. In states where funding agreements do not represent policyholder obligations under state law, the priority would be based on an assessment of the contract and the claim. Some states indicated funding agreements do not meet the statutory definition of insurance within their state’s law</w:t>
      </w:r>
      <w:r w:rsidRPr="000E473F">
        <w:rPr>
          <w:rStyle w:val="FootnoteReference"/>
          <w:rFonts w:ascii="Calibri" w:hAnsi="Calibri" w:cs="Calibri"/>
          <w:sz w:val="22"/>
          <w:szCs w:val="22"/>
        </w:rPr>
        <w:footnoteReference w:id="5"/>
      </w:r>
      <w:r w:rsidRPr="000E473F">
        <w:rPr>
          <w:rFonts w:ascii="Calibri" w:hAnsi="Calibri" w:cs="Calibri"/>
          <w:sz w:val="22"/>
          <w:szCs w:val="22"/>
        </w:rPr>
        <w:t xml:space="preserve">. In such cases, depending upon review of the contract, </w:t>
      </w:r>
      <w:r w:rsidR="00371A88">
        <w:rPr>
          <w:rFonts w:ascii="Calibri" w:hAnsi="Calibri" w:cs="Calibri"/>
          <w:sz w:val="22"/>
          <w:szCs w:val="22"/>
        </w:rPr>
        <w:t>th</w:t>
      </w:r>
      <w:r w:rsidR="00371A88" w:rsidRPr="000E473F">
        <w:rPr>
          <w:rStyle w:val="normaltextrun"/>
          <w:rFonts w:ascii="Calibri" w:hAnsi="Calibri" w:cs="Calibri"/>
          <w:sz w:val="22"/>
          <w:szCs w:val="22"/>
        </w:rPr>
        <w:t xml:space="preserve">ose obligations would likely classify the obligation as </w:t>
      </w:r>
      <w:r w:rsidR="00696523">
        <w:rPr>
          <w:rStyle w:val="normaltextrun"/>
          <w:rFonts w:ascii="Calibri" w:hAnsi="Calibri" w:cs="Calibri"/>
          <w:sz w:val="22"/>
          <w:szCs w:val="22"/>
        </w:rPr>
        <w:t xml:space="preserve">either an unsecured or </w:t>
      </w:r>
      <w:r w:rsidR="00371A88" w:rsidRPr="000E473F">
        <w:rPr>
          <w:rStyle w:val="normaltextrun"/>
          <w:rFonts w:ascii="Calibri" w:hAnsi="Calibri" w:cs="Calibri"/>
          <w:sz w:val="22"/>
          <w:szCs w:val="22"/>
        </w:rPr>
        <w:t>a secured claim</w:t>
      </w:r>
      <w:r w:rsidR="00371A88">
        <w:rPr>
          <w:rStyle w:val="normaltextrun"/>
          <w:rFonts w:ascii="Calibri" w:hAnsi="Calibri" w:cs="Calibri"/>
          <w:sz w:val="22"/>
          <w:szCs w:val="22"/>
        </w:rPr>
        <w:t xml:space="preserve"> </w:t>
      </w:r>
      <w:r w:rsidR="00696523">
        <w:rPr>
          <w:rStyle w:val="normaltextrun"/>
          <w:rFonts w:ascii="Calibri" w:hAnsi="Calibri" w:cs="Calibri"/>
          <w:sz w:val="22"/>
          <w:szCs w:val="22"/>
        </w:rPr>
        <w:t>depending on whehter</w:t>
      </w:r>
      <w:r w:rsidRPr="000E473F">
        <w:rPr>
          <w:rFonts w:ascii="Calibri" w:hAnsi="Calibri" w:cs="Calibri"/>
          <w:sz w:val="22"/>
          <w:szCs w:val="22"/>
        </w:rPr>
        <w:t xml:space="preserve"> the agreement includes c</w:t>
      </w:r>
      <w:r w:rsidRPr="000E473F">
        <w:rPr>
          <w:rStyle w:val="normaltextrun"/>
          <w:rFonts w:ascii="Calibri" w:hAnsi="Calibri" w:cs="Calibri"/>
          <w:sz w:val="22"/>
          <w:szCs w:val="22"/>
        </w:rPr>
        <w:t>ollateral held in trust to secure obligations under a funding agreement</w:t>
      </w:r>
      <w:r w:rsidR="00696523">
        <w:rPr>
          <w:rStyle w:val="normaltextrun"/>
          <w:rFonts w:ascii="Calibri" w:hAnsi="Calibri" w:cs="Calibri"/>
          <w:sz w:val="22"/>
          <w:szCs w:val="22"/>
        </w:rPr>
        <w:t>.</w:t>
      </w:r>
    </w:p>
    <w:p w14:paraId="28E3D09E" w14:textId="77777777" w:rsidR="000E473F" w:rsidRDefault="000E473F" w:rsidP="000E473F">
      <w:pPr>
        <w:spacing w:line="276" w:lineRule="auto"/>
        <w:contextualSpacing/>
        <w:jc w:val="both"/>
        <w:rPr>
          <w:rFonts w:ascii="Calibri" w:hAnsi="Calibri" w:cs="Calibri"/>
          <w:sz w:val="22"/>
          <w:szCs w:val="22"/>
          <w:u w:val="single"/>
        </w:rPr>
      </w:pPr>
    </w:p>
    <w:p w14:paraId="7D8C5202" w14:textId="77777777" w:rsidR="00927967" w:rsidRDefault="00927967" w:rsidP="00927967">
      <w:pPr>
        <w:spacing w:line="276" w:lineRule="auto"/>
        <w:contextualSpacing/>
        <w:jc w:val="both"/>
        <w:rPr>
          <w:rFonts w:ascii="Calibri" w:hAnsi="Calibri" w:cs="Calibri"/>
          <w:sz w:val="22"/>
          <w:szCs w:val="22"/>
        </w:rPr>
      </w:pPr>
      <w:r w:rsidRPr="00927967">
        <w:rPr>
          <w:rFonts w:ascii="Calibri" w:hAnsi="Calibri" w:cs="Calibri"/>
          <w:sz w:val="22"/>
          <w:szCs w:val="22"/>
        </w:rPr>
        <w:t>The impact of unique contract terms or structural differences in FABNs may include for example, if collateral is involved in the funding agreement transactions. As there were a variety of structures presented, unique contract terms or structural differences would need to be assessed on a case-by-case basis in the event of receivership.</w:t>
      </w:r>
    </w:p>
    <w:p w14:paraId="54A2C143" w14:textId="77777777" w:rsidR="00E513EB" w:rsidRDefault="00E513EB" w:rsidP="00927967">
      <w:pPr>
        <w:spacing w:line="276" w:lineRule="auto"/>
        <w:contextualSpacing/>
        <w:jc w:val="both"/>
        <w:rPr>
          <w:rFonts w:ascii="Calibri" w:hAnsi="Calibri" w:cs="Calibri"/>
          <w:sz w:val="22"/>
          <w:szCs w:val="22"/>
        </w:rPr>
      </w:pPr>
    </w:p>
    <w:p w14:paraId="74B0E5CD" w14:textId="5CB05F6A" w:rsidR="00E513EB" w:rsidRPr="00927967" w:rsidRDefault="001A08C1" w:rsidP="00927967">
      <w:pPr>
        <w:spacing w:line="276" w:lineRule="auto"/>
        <w:contextualSpacing/>
        <w:jc w:val="both"/>
        <w:rPr>
          <w:rFonts w:ascii="Calibri" w:hAnsi="Calibri" w:cs="Calibri"/>
          <w:sz w:val="22"/>
          <w:szCs w:val="22"/>
        </w:rPr>
      </w:pPr>
      <w:r>
        <w:rPr>
          <w:rFonts w:ascii="Calibri" w:hAnsi="Calibri" w:cs="Calibri"/>
          <w:sz w:val="22"/>
          <w:szCs w:val="22"/>
        </w:rPr>
        <w:t>With regard to e</w:t>
      </w:r>
      <w:r w:rsidR="005A29EB">
        <w:rPr>
          <w:rFonts w:ascii="Calibri" w:hAnsi="Calibri" w:cs="Calibri"/>
          <w:sz w:val="22"/>
          <w:szCs w:val="22"/>
        </w:rPr>
        <w:t xml:space="preserve">xecutory contracts, based on </w:t>
      </w:r>
      <w:r w:rsidR="00F406B1">
        <w:rPr>
          <w:rFonts w:ascii="Calibri" w:hAnsi="Calibri" w:cs="Calibri"/>
          <w:sz w:val="22"/>
          <w:szCs w:val="22"/>
        </w:rPr>
        <w:t xml:space="preserve">those </w:t>
      </w:r>
      <w:r w:rsidR="005A29EB">
        <w:rPr>
          <w:rFonts w:ascii="Calibri" w:hAnsi="Calibri" w:cs="Calibri"/>
          <w:sz w:val="22"/>
          <w:szCs w:val="22"/>
        </w:rPr>
        <w:t>state</w:t>
      </w:r>
      <w:r w:rsidR="00F406B1">
        <w:rPr>
          <w:rFonts w:ascii="Calibri" w:hAnsi="Calibri" w:cs="Calibri"/>
          <w:sz w:val="22"/>
          <w:szCs w:val="22"/>
        </w:rPr>
        <w:t>s</w:t>
      </w:r>
      <w:r w:rsidR="005A29EB">
        <w:rPr>
          <w:rFonts w:ascii="Calibri" w:hAnsi="Calibri" w:cs="Calibri"/>
          <w:sz w:val="22"/>
          <w:szCs w:val="22"/>
        </w:rPr>
        <w:t xml:space="preserve"> respon</w:t>
      </w:r>
      <w:r w:rsidR="00F406B1">
        <w:rPr>
          <w:rFonts w:ascii="Calibri" w:hAnsi="Calibri" w:cs="Calibri"/>
          <w:sz w:val="22"/>
          <w:szCs w:val="22"/>
        </w:rPr>
        <w:t>ding</w:t>
      </w:r>
      <w:r w:rsidR="003F06E2">
        <w:rPr>
          <w:rFonts w:ascii="Calibri" w:hAnsi="Calibri" w:cs="Calibri"/>
          <w:sz w:val="22"/>
          <w:szCs w:val="22"/>
        </w:rPr>
        <w:t xml:space="preserve"> to the Task Force’s survey</w:t>
      </w:r>
      <w:r w:rsidR="00F406B1">
        <w:rPr>
          <w:rFonts w:ascii="Calibri" w:hAnsi="Calibri" w:cs="Calibri"/>
          <w:sz w:val="22"/>
          <w:szCs w:val="22"/>
        </w:rPr>
        <w:t>,</w:t>
      </w:r>
      <w:r w:rsidR="005A29EB">
        <w:rPr>
          <w:rFonts w:ascii="Calibri" w:hAnsi="Calibri" w:cs="Calibri"/>
          <w:sz w:val="22"/>
          <w:szCs w:val="22"/>
        </w:rPr>
        <w:t xml:space="preserve"> FABNs would either not qualify as an executory contract or </w:t>
      </w:r>
      <w:r w:rsidR="00F406B1">
        <w:rPr>
          <w:rFonts w:ascii="Calibri" w:hAnsi="Calibri" w:cs="Calibri"/>
          <w:sz w:val="22"/>
          <w:szCs w:val="22"/>
        </w:rPr>
        <w:t xml:space="preserve">the receiver would not be obligated to continue an executory contract. </w:t>
      </w:r>
    </w:p>
    <w:p w14:paraId="39435DF3" w14:textId="5CE2A2CC" w:rsidR="00927967" w:rsidRPr="00927967" w:rsidRDefault="00927967" w:rsidP="00927967">
      <w:pPr>
        <w:spacing w:line="276" w:lineRule="auto"/>
        <w:contextualSpacing/>
        <w:jc w:val="both"/>
        <w:rPr>
          <w:rFonts w:ascii="Calibri" w:hAnsi="Calibri" w:cs="Calibri"/>
          <w:sz w:val="22"/>
          <w:szCs w:val="22"/>
        </w:rPr>
      </w:pPr>
      <w:r w:rsidRPr="00927967">
        <w:rPr>
          <w:rFonts w:ascii="Calibri" w:hAnsi="Calibri" w:cs="Calibri"/>
          <w:sz w:val="22"/>
          <w:szCs w:val="22"/>
        </w:rPr>
        <w:lastRenderedPageBreak/>
        <w:t xml:space="preserve"> </w:t>
      </w:r>
    </w:p>
    <w:p w14:paraId="4DAE0180" w14:textId="77777777" w:rsidR="000E473F" w:rsidRDefault="000E473F" w:rsidP="006D69BF">
      <w:pPr>
        <w:spacing w:line="276" w:lineRule="auto"/>
        <w:contextualSpacing/>
        <w:jc w:val="both"/>
        <w:rPr>
          <w:rFonts w:ascii="Calibri" w:hAnsi="Calibri" w:cs="Calibri"/>
          <w:b/>
          <w:bCs/>
          <w:sz w:val="22"/>
          <w:szCs w:val="22"/>
        </w:rPr>
      </w:pPr>
      <w:r w:rsidRPr="00FD1B48">
        <w:rPr>
          <w:rFonts w:ascii="Calibri" w:hAnsi="Calibri" w:cs="Calibri"/>
          <w:b/>
          <w:bCs/>
          <w:sz w:val="22"/>
          <w:szCs w:val="22"/>
        </w:rPr>
        <w:t xml:space="preserve">Pari Passu Treatment with Traditional Policyholders </w:t>
      </w:r>
    </w:p>
    <w:p w14:paraId="1FDDF777" w14:textId="77777777" w:rsidR="004C62DB" w:rsidRPr="00FD1B48" w:rsidRDefault="004C62DB" w:rsidP="006D69BF">
      <w:pPr>
        <w:spacing w:line="276" w:lineRule="auto"/>
        <w:contextualSpacing/>
        <w:jc w:val="both"/>
        <w:rPr>
          <w:rFonts w:ascii="Calibri" w:hAnsi="Calibri" w:cs="Calibri"/>
          <w:b/>
          <w:bCs/>
          <w:sz w:val="22"/>
          <w:szCs w:val="22"/>
        </w:rPr>
      </w:pPr>
    </w:p>
    <w:p w14:paraId="455E7905" w14:textId="76904E03" w:rsidR="005B5F7E" w:rsidRPr="005B5F7E" w:rsidRDefault="001C038E" w:rsidP="005B5F7E">
      <w:pPr>
        <w:spacing w:line="276" w:lineRule="auto"/>
        <w:contextualSpacing/>
        <w:jc w:val="both"/>
        <w:rPr>
          <w:rFonts w:ascii="Calibri" w:hAnsi="Calibri" w:cs="Calibri"/>
          <w:sz w:val="22"/>
          <w:szCs w:val="22"/>
        </w:rPr>
      </w:pPr>
      <w:r w:rsidRPr="005B5F7E">
        <w:rPr>
          <w:rFonts w:ascii="Calibri" w:hAnsi="Calibri" w:cs="Calibri"/>
          <w:sz w:val="22"/>
          <w:szCs w:val="22"/>
        </w:rPr>
        <w:t>The</w:t>
      </w:r>
      <w:r>
        <w:rPr>
          <w:rFonts w:ascii="Calibri" w:hAnsi="Calibri" w:cs="Calibri"/>
          <w:sz w:val="22"/>
          <w:szCs w:val="22"/>
        </w:rPr>
        <w:t xml:space="preserve"> referral from MPWG requested the Task Force specifically consider </w:t>
      </w:r>
      <w:r w:rsidR="00FB179D">
        <w:rPr>
          <w:rFonts w:ascii="Calibri" w:hAnsi="Calibri" w:cs="Calibri"/>
          <w:sz w:val="22"/>
          <w:szCs w:val="22"/>
        </w:rPr>
        <w:t xml:space="preserve">pari passu treatment of </w:t>
      </w:r>
      <w:r w:rsidR="00423468">
        <w:rPr>
          <w:rFonts w:ascii="Calibri" w:hAnsi="Calibri" w:cs="Calibri"/>
          <w:sz w:val="22"/>
          <w:szCs w:val="22"/>
        </w:rPr>
        <w:t xml:space="preserve">claims under a </w:t>
      </w:r>
      <w:r w:rsidR="00FB179D">
        <w:rPr>
          <w:rFonts w:ascii="Calibri" w:hAnsi="Calibri" w:cs="Calibri"/>
          <w:sz w:val="22"/>
          <w:szCs w:val="22"/>
        </w:rPr>
        <w:t>funding agreement</w:t>
      </w:r>
      <w:r w:rsidR="00423468">
        <w:rPr>
          <w:rFonts w:ascii="Calibri" w:hAnsi="Calibri" w:cs="Calibri"/>
          <w:sz w:val="22"/>
          <w:szCs w:val="22"/>
        </w:rPr>
        <w:t xml:space="preserve"> </w:t>
      </w:r>
      <w:r w:rsidRPr="005B5F7E">
        <w:rPr>
          <w:rFonts w:ascii="Calibri" w:hAnsi="Calibri" w:cs="Calibri"/>
          <w:sz w:val="22"/>
          <w:szCs w:val="22"/>
        </w:rPr>
        <w:t>owned by a sophisticated investor would be treated differently than other policy owners.</w:t>
      </w:r>
      <w:r w:rsidR="00423468">
        <w:rPr>
          <w:rFonts w:ascii="Calibri" w:hAnsi="Calibri" w:cs="Calibri"/>
          <w:sz w:val="22"/>
          <w:szCs w:val="22"/>
        </w:rPr>
        <w:t xml:space="preserve"> </w:t>
      </w:r>
      <w:r w:rsidR="001574E6" w:rsidRPr="005B5F7E">
        <w:rPr>
          <w:rFonts w:asciiTheme="minorHAnsi" w:hAnsiTheme="minorHAnsi" w:cstheme="minorHAnsi"/>
          <w:sz w:val="22"/>
          <w:szCs w:val="22"/>
        </w:rPr>
        <w:t xml:space="preserve">Some states have expressed concerns that in a receivership where the funding agreement represents a materially large claim liability to the estate, such a claim would reduce the assets available to other traditional policyholders and raise guaranty association assessment needs. </w:t>
      </w:r>
      <w:r w:rsidR="00BF1572" w:rsidRPr="005B5F7E">
        <w:rPr>
          <w:rFonts w:ascii="Calibri" w:hAnsi="Calibri" w:cs="Calibri"/>
          <w:sz w:val="22"/>
          <w:szCs w:val="22"/>
        </w:rPr>
        <w:t>The claim priority distribution provision in</w:t>
      </w:r>
      <w:r w:rsidR="00BF1572" w:rsidRPr="005B5F7E">
        <w:rPr>
          <w:rFonts w:asciiTheme="minorHAnsi" w:hAnsiTheme="minorHAnsi" w:cstheme="minorHAnsi"/>
          <w:sz w:val="22"/>
          <w:szCs w:val="22"/>
        </w:rPr>
        <w:t xml:space="preserve"> </w:t>
      </w:r>
      <w:r w:rsidR="001574E6" w:rsidRPr="005B5F7E">
        <w:rPr>
          <w:rFonts w:asciiTheme="minorHAnsi" w:hAnsiTheme="minorHAnsi" w:cstheme="minorHAnsi"/>
          <w:sz w:val="22"/>
          <w:szCs w:val="22"/>
        </w:rPr>
        <w:t xml:space="preserve">Model </w:t>
      </w:r>
      <w:r w:rsidR="00EB2B75" w:rsidRPr="005B5F7E">
        <w:rPr>
          <w:rFonts w:asciiTheme="minorHAnsi" w:hAnsiTheme="minorHAnsi" w:cstheme="minorHAnsi"/>
          <w:sz w:val="22"/>
          <w:szCs w:val="22"/>
        </w:rPr>
        <w:t>#</w:t>
      </w:r>
      <w:r w:rsidR="001574E6" w:rsidRPr="005B5F7E">
        <w:rPr>
          <w:rFonts w:asciiTheme="minorHAnsi" w:hAnsiTheme="minorHAnsi" w:cstheme="minorHAnsi"/>
          <w:sz w:val="22"/>
          <w:szCs w:val="22"/>
        </w:rPr>
        <w:t xml:space="preserve">555 does not make a distinction in claims priority based on type of policyholder as the statutory framework is designed to apply uniformly based on the substance of the obligation. </w:t>
      </w:r>
      <w:r w:rsidR="00BF1572" w:rsidRPr="005B5F7E">
        <w:rPr>
          <w:rFonts w:ascii="Calibri" w:hAnsi="Calibri" w:cs="Calibri"/>
          <w:sz w:val="22"/>
          <w:szCs w:val="22"/>
        </w:rPr>
        <w:t xml:space="preserve">The </w:t>
      </w:r>
      <w:r w:rsidR="00F9484A">
        <w:rPr>
          <w:rFonts w:ascii="Calibri" w:hAnsi="Calibri" w:cs="Calibri"/>
          <w:sz w:val="22"/>
          <w:szCs w:val="22"/>
        </w:rPr>
        <w:t>p</w:t>
      </w:r>
      <w:r w:rsidR="00BF1572" w:rsidRPr="005B5F7E">
        <w:rPr>
          <w:rFonts w:ascii="Calibri" w:hAnsi="Calibri" w:cs="Calibri"/>
          <w:sz w:val="22"/>
          <w:szCs w:val="22"/>
        </w:rPr>
        <w:t xml:space="preserve">riority class for a claim is based on the review of the specific funding agreement </w:t>
      </w:r>
      <w:r w:rsidR="00F9484A">
        <w:rPr>
          <w:rFonts w:ascii="Calibri" w:hAnsi="Calibri" w:cs="Calibri"/>
          <w:sz w:val="22"/>
          <w:szCs w:val="22"/>
        </w:rPr>
        <w:t xml:space="preserve">and the </w:t>
      </w:r>
      <w:r w:rsidR="00F9484A" w:rsidRPr="005B5F7E">
        <w:rPr>
          <w:rFonts w:asciiTheme="minorHAnsi" w:hAnsiTheme="minorHAnsi" w:cstheme="minorHAnsi"/>
          <w:sz w:val="22"/>
          <w:szCs w:val="22"/>
        </w:rPr>
        <w:t>nature of the underlying obligation</w:t>
      </w:r>
      <w:r w:rsidR="00BF1572" w:rsidRPr="005B5F7E">
        <w:rPr>
          <w:rFonts w:ascii="Calibri" w:hAnsi="Calibri" w:cs="Calibri"/>
          <w:sz w:val="22"/>
          <w:szCs w:val="22"/>
        </w:rPr>
        <w:t xml:space="preserve">, not the </w:t>
      </w:r>
      <w:r w:rsidR="00F9484A" w:rsidRPr="005B5F7E">
        <w:rPr>
          <w:rFonts w:asciiTheme="minorHAnsi" w:hAnsiTheme="minorHAnsi" w:cstheme="minorHAnsi"/>
          <w:sz w:val="22"/>
          <w:szCs w:val="22"/>
        </w:rPr>
        <w:t>characteristics of</w:t>
      </w:r>
      <w:r w:rsidR="00F9484A" w:rsidRPr="005B5F7E">
        <w:rPr>
          <w:rFonts w:ascii="Calibri" w:hAnsi="Calibri" w:cs="Calibri"/>
          <w:sz w:val="22"/>
          <w:szCs w:val="22"/>
        </w:rPr>
        <w:t xml:space="preserve"> </w:t>
      </w:r>
      <w:r w:rsidR="00F9484A">
        <w:rPr>
          <w:rFonts w:ascii="Calibri" w:hAnsi="Calibri" w:cs="Calibri"/>
          <w:sz w:val="22"/>
          <w:szCs w:val="22"/>
        </w:rPr>
        <w:t xml:space="preserve">the </w:t>
      </w:r>
      <w:r w:rsidR="00BF1572" w:rsidRPr="005B5F7E">
        <w:rPr>
          <w:rFonts w:ascii="Calibri" w:hAnsi="Calibri" w:cs="Calibri"/>
          <w:sz w:val="22"/>
          <w:szCs w:val="22"/>
        </w:rPr>
        <w:t xml:space="preserve">owner of the funding agreement. </w:t>
      </w:r>
    </w:p>
    <w:p w14:paraId="5D518542" w14:textId="5455891C" w:rsidR="001574E6" w:rsidRPr="005B5F7E" w:rsidRDefault="001574E6" w:rsidP="00927967">
      <w:pPr>
        <w:spacing w:line="276" w:lineRule="auto"/>
        <w:contextualSpacing/>
        <w:jc w:val="both"/>
        <w:rPr>
          <w:rFonts w:ascii="Calibri" w:hAnsi="Calibri" w:cs="Calibri"/>
          <w:sz w:val="22"/>
          <w:szCs w:val="22"/>
        </w:rPr>
      </w:pPr>
      <w:r w:rsidRPr="005B5F7E">
        <w:rPr>
          <w:rFonts w:asciiTheme="minorHAnsi" w:hAnsiTheme="minorHAnsi" w:cstheme="minorHAnsi"/>
          <w:sz w:val="22"/>
          <w:szCs w:val="22"/>
        </w:rPr>
        <w:t xml:space="preserve"> </w:t>
      </w:r>
    </w:p>
    <w:p w14:paraId="50FBEB12" w14:textId="5F199F40" w:rsidR="002641F5" w:rsidRDefault="002641F5" w:rsidP="00C35019">
      <w:pPr>
        <w:spacing w:line="276" w:lineRule="auto"/>
        <w:contextualSpacing/>
        <w:jc w:val="both"/>
        <w:rPr>
          <w:rFonts w:ascii="Calibri" w:hAnsi="Calibri" w:cs="Calibri"/>
          <w:b/>
          <w:bCs/>
          <w:sz w:val="22"/>
          <w:szCs w:val="22"/>
        </w:rPr>
      </w:pPr>
      <w:r w:rsidRPr="00FD1B48">
        <w:rPr>
          <w:rFonts w:ascii="Calibri" w:hAnsi="Calibri" w:cs="Calibri"/>
          <w:b/>
          <w:bCs/>
          <w:sz w:val="22"/>
          <w:szCs w:val="22"/>
        </w:rPr>
        <w:t>Guaranty Association Coverage</w:t>
      </w:r>
    </w:p>
    <w:p w14:paraId="2D8F6BB8" w14:textId="77777777" w:rsidR="004C62DB" w:rsidRPr="00FD1B48" w:rsidRDefault="004C62DB" w:rsidP="00C35019">
      <w:pPr>
        <w:spacing w:line="276" w:lineRule="auto"/>
        <w:contextualSpacing/>
        <w:jc w:val="both"/>
        <w:rPr>
          <w:rFonts w:ascii="Calibri" w:hAnsi="Calibri" w:cs="Calibri"/>
          <w:b/>
          <w:bCs/>
          <w:sz w:val="22"/>
          <w:szCs w:val="22"/>
        </w:rPr>
      </w:pPr>
    </w:p>
    <w:p w14:paraId="31414E52" w14:textId="00F8C5C3" w:rsidR="00276DDF" w:rsidRPr="00B0633E" w:rsidRDefault="00AB61D4" w:rsidP="00B0633E">
      <w:pPr>
        <w:spacing w:line="276" w:lineRule="auto"/>
        <w:contextualSpacing/>
        <w:jc w:val="both"/>
        <w:rPr>
          <w:rFonts w:ascii="Calibri" w:hAnsi="Calibri" w:cs="Calibri"/>
          <w:sz w:val="22"/>
          <w:szCs w:val="22"/>
        </w:rPr>
      </w:pPr>
      <w:r w:rsidRPr="00B0633E">
        <w:rPr>
          <w:rFonts w:ascii="Calibri" w:hAnsi="Calibri" w:cs="Calibri"/>
          <w:sz w:val="22"/>
          <w:szCs w:val="22"/>
        </w:rPr>
        <w:t>The National Organization of Life and Health Insurance Guaranty Associations (NOLHGA) provided a</w:t>
      </w:r>
      <w:r w:rsidR="00276DDF" w:rsidRPr="00B0633E">
        <w:rPr>
          <w:rFonts w:ascii="Calibri" w:hAnsi="Calibri" w:cs="Calibri"/>
          <w:sz w:val="22"/>
          <w:szCs w:val="22"/>
        </w:rPr>
        <w:t xml:space="preserve">n analysis of eligibility of funding agreements for </w:t>
      </w:r>
      <w:r w:rsidR="004D3E38" w:rsidRPr="00B0633E">
        <w:rPr>
          <w:rFonts w:ascii="Calibri" w:hAnsi="Calibri" w:cs="Calibri"/>
          <w:sz w:val="22"/>
          <w:szCs w:val="22"/>
        </w:rPr>
        <w:t xml:space="preserve">guaranty association coverage, based on the NAIC’s </w:t>
      </w:r>
      <w:r w:rsidR="004D3E38" w:rsidRPr="00B0633E">
        <w:rPr>
          <w:rFonts w:ascii="Calibri" w:hAnsi="Calibri" w:cs="Calibri"/>
          <w:i/>
          <w:iCs/>
          <w:sz w:val="22"/>
          <w:szCs w:val="22"/>
        </w:rPr>
        <w:t xml:space="preserve">Life and Health Insurance Guaranty Association Model </w:t>
      </w:r>
      <w:r w:rsidR="00A51F81" w:rsidRPr="00B0633E">
        <w:rPr>
          <w:rFonts w:ascii="Calibri" w:hAnsi="Calibri" w:cs="Calibri"/>
          <w:i/>
          <w:iCs/>
          <w:sz w:val="22"/>
          <w:szCs w:val="22"/>
        </w:rPr>
        <w:t>Act</w:t>
      </w:r>
      <w:r w:rsidR="004D3E38" w:rsidRPr="00B0633E">
        <w:rPr>
          <w:rFonts w:ascii="Calibri" w:hAnsi="Calibri" w:cs="Calibri"/>
          <w:i/>
          <w:iCs/>
          <w:sz w:val="22"/>
          <w:szCs w:val="22"/>
        </w:rPr>
        <w:t xml:space="preserve"> </w:t>
      </w:r>
      <w:r w:rsidR="004D3E38" w:rsidRPr="00B0633E">
        <w:rPr>
          <w:rFonts w:ascii="Calibri" w:hAnsi="Calibri" w:cs="Calibri"/>
          <w:sz w:val="22"/>
          <w:szCs w:val="22"/>
        </w:rPr>
        <w:t>(Model #520), and certain assumptions about funding agreement</w:t>
      </w:r>
      <w:r w:rsidR="00276DDF" w:rsidRPr="00B0633E">
        <w:rPr>
          <w:rFonts w:ascii="Calibri" w:hAnsi="Calibri" w:cs="Calibri"/>
          <w:sz w:val="22"/>
          <w:szCs w:val="22"/>
        </w:rPr>
        <w:t>s</w:t>
      </w:r>
      <w:r w:rsidR="004D3E38" w:rsidRPr="00B0633E">
        <w:rPr>
          <w:rFonts w:ascii="Calibri" w:hAnsi="Calibri" w:cs="Calibri"/>
          <w:sz w:val="22"/>
          <w:szCs w:val="22"/>
        </w:rPr>
        <w:t xml:space="preserve">. </w:t>
      </w:r>
      <w:r w:rsidR="00F437C2">
        <w:rPr>
          <w:rFonts w:ascii="Calibri" w:hAnsi="Calibri" w:cs="Calibri"/>
          <w:sz w:val="22"/>
          <w:szCs w:val="22"/>
        </w:rPr>
        <w:t>A</w:t>
      </w:r>
      <w:r w:rsidR="00276DDF" w:rsidRPr="00B0633E">
        <w:rPr>
          <w:rFonts w:ascii="Calibri" w:hAnsi="Calibri" w:cs="Calibri"/>
          <w:sz w:val="22"/>
          <w:szCs w:val="22"/>
        </w:rPr>
        <w:t xml:space="preserve">doption of Model #520 is generally consistent across all states. </w:t>
      </w:r>
    </w:p>
    <w:p w14:paraId="4340C811" w14:textId="77777777" w:rsidR="00276DDF" w:rsidRPr="00B0633E" w:rsidRDefault="00276DDF" w:rsidP="00B0633E">
      <w:pPr>
        <w:spacing w:line="276" w:lineRule="auto"/>
        <w:contextualSpacing/>
        <w:jc w:val="both"/>
        <w:rPr>
          <w:rFonts w:ascii="Calibri" w:hAnsi="Calibri" w:cs="Calibri"/>
          <w:sz w:val="22"/>
          <w:szCs w:val="22"/>
        </w:rPr>
      </w:pPr>
    </w:p>
    <w:p w14:paraId="111E97A5" w14:textId="37CAF8ED" w:rsidR="002641F5" w:rsidRPr="00FD1B48" w:rsidRDefault="00620631" w:rsidP="00B0633E">
      <w:pPr>
        <w:spacing w:line="276" w:lineRule="auto"/>
        <w:contextualSpacing/>
        <w:jc w:val="both"/>
        <w:rPr>
          <w:rFonts w:ascii="Calibri" w:hAnsi="Calibri" w:cs="Calibri"/>
          <w:sz w:val="22"/>
          <w:szCs w:val="22"/>
        </w:rPr>
      </w:pPr>
      <w:r w:rsidRPr="00FD1B48">
        <w:rPr>
          <w:rFonts w:ascii="Calibri" w:hAnsi="Calibri" w:cs="Calibri"/>
          <w:sz w:val="22"/>
          <w:szCs w:val="22"/>
        </w:rPr>
        <w:t xml:space="preserve">The following is </w:t>
      </w:r>
      <w:r w:rsidR="002D113B" w:rsidRPr="00FD1B48">
        <w:rPr>
          <w:rFonts w:ascii="Calibri" w:hAnsi="Calibri" w:cs="Calibri"/>
          <w:sz w:val="22"/>
          <w:szCs w:val="22"/>
        </w:rPr>
        <w:t xml:space="preserve">a summary of </w:t>
      </w:r>
      <w:r w:rsidR="00ED5DED" w:rsidRPr="00FD1B48">
        <w:rPr>
          <w:rFonts w:ascii="Calibri" w:hAnsi="Calibri" w:cs="Calibri"/>
          <w:sz w:val="22"/>
          <w:szCs w:val="22"/>
        </w:rPr>
        <w:t xml:space="preserve">NOLHGA’s </w:t>
      </w:r>
      <w:r w:rsidR="002D113B" w:rsidRPr="00FD1B48">
        <w:rPr>
          <w:rFonts w:ascii="Calibri" w:hAnsi="Calibri" w:cs="Calibri"/>
          <w:sz w:val="22"/>
          <w:szCs w:val="22"/>
        </w:rPr>
        <w:t>analysis</w:t>
      </w:r>
      <w:r w:rsidR="00ED5DED" w:rsidRPr="00FD1B48">
        <w:rPr>
          <w:rFonts w:ascii="Calibri" w:hAnsi="Calibri" w:cs="Calibri"/>
          <w:sz w:val="22"/>
          <w:szCs w:val="22"/>
        </w:rPr>
        <w:t xml:space="preserve"> as of May 2026</w:t>
      </w:r>
      <w:r w:rsidR="00ED5DED" w:rsidRPr="00FD1B48">
        <w:rPr>
          <w:rStyle w:val="FootnoteReference"/>
          <w:rFonts w:ascii="Calibri" w:hAnsi="Calibri" w:cs="Calibri"/>
          <w:sz w:val="22"/>
          <w:szCs w:val="22"/>
        </w:rPr>
        <w:footnoteReference w:id="6"/>
      </w:r>
      <w:r w:rsidR="00975C84" w:rsidRPr="00FD1B48">
        <w:rPr>
          <w:rFonts w:ascii="Calibri" w:hAnsi="Calibri" w:cs="Calibri"/>
          <w:sz w:val="22"/>
          <w:szCs w:val="22"/>
        </w:rPr>
        <w:t xml:space="preserve"> whereby </w:t>
      </w:r>
      <w:r w:rsidR="00102ABA" w:rsidRPr="00FD1B48">
        <w:rPr>
          <w:rFonts w:ascii="Calibri" w:hAnsi="Calibri" w:cs="Calibri"/>
          <w:sz w:val="22"/>
          <w:szCs w:val="22"/>
        </w:rPr>
        <w:t xml:space="preserve">it concluded </w:t>
      </w:r>
      <w:r w:rsidR="00975C84" w:rsidRPr="00FD1B48">
        <w:rPr>
          <w:rFonts w:ascii="Calibri" w:hAnsi="Calibri" w:cs="Calibri"/>
          <w:sz w:val="22"/>
          <w:szCs w:val="22"/>
        </w:rPr>
        <w:t>funding agreements issued in FABN programs appear to be unallocated annuity contracts and would not qualify for guaranty association coverage.</w:t>
      </w:r>
      <w:r w:rsidR="008F4412" w:rsidRPr="00FD1B48">
        <w:rPr>
          <w:rFonts w:ascii="Calibri" w:hAnsi="Calibri" w:cs="Calibri"/>
          <w:sz w:val="22"/>
          <w:szCs w:val="22"/>
        </w:rPr>
        <w:t xml:space="preserve"> The Task Force agrees with NOLHGA’s assessment.</w:t>
      </w:r>
    </w:p>
    <w:p w14:paraId="1C430C9B" w14:textId="77777777" w:rsidR="008F4412" w:rsidRPr="00FD1B48" w:rsidRDefault="008F4412" w:rsidP="00B0633E">
      <w:pPr>
        <w:spacing w:line="276" w:lineRule="auto"/>
        <w:contextualSpacing/>
        <w:jc w:val="both"/>
        <w:rPr>
          <w:rFonts w:ascii="Calibri" w:hAnsi="Calibri" w:cs="Calibri"/>
          <w:sz w:val="22"/>
          <w:szCs w:val="22"/>
        </w:rPr>
      </w:pPr>
    </w:p>
    <w:p w14:paraId="2BF35A14" w14:textId="456D4C02" w:rsidR="003B682E" w:rsidRPr="00B0633E" w:rsidRDefault="002F3219" w:rsidP="00B0633E">
      <w:pPr>
        <w:spacing w:line="276" w:lineRule="auto"/>
        <w:contextualSpacing/>
        <w:jc w:val="both"/>
        <w:rPr>
          <w:rFonts w:ascii="Calibri" w:hAnsi="Calibri" w:cs="Calibri"/>
          <w:sz w:val="22"/>
          <w:szCs w:val="22"/>
        </w:rPr>
      </w:pPr>
      <w:r w:rsidRPr="00B0633E">
        <w:rPr>
          <w:rFonts w:ascii="Calibri" w:hAnsi="Calibri" w:cs="Calibri"/>
          <w:sz w:val="22"/>
          <w:szCs w:val="22"/>
        </w:rPr>
        <w:t xml:space="preserve">For purposes of </w:t>
      </w:r>
      <w:r w:rsidR="002240B8" w:rsidRPr="00B0633E">
        <w:rPr>
          <w:rFonts w:ascii="Calibri" w:hAnsi="Calibri" w:cs="Calibri"/>
          <w:sz w:val="22"/>
          <w:szCs w:val="22"/>
        </w:rPr>
        <w:t xml:space="preserve">NOLHGA </w:t>
      </w:r>
      <w:r w:rsidR="00463D9A" w:rsidRPr="00B0633E">
        <w:rPr>
          <w:rFonts w:ascii="Calibri" w:hAnsi="Calibri" w:cs="Calibri"/>
          <w:sz w:val="22"/>
          <w:szCs w:val="22"/>
        </w:rPr>
        <w:t xml:space="preserve">analysis, it </w:t>
      </w:r>
      <w:r w:rsidRPr="00B0633E">
        <w:rPr>
          <w:rFonts w:ascii="Calibri" w:hAnsi="Calibri" w:cs="Calibri"/>
          <w:sz w:val="22"/>
          <w:szCs w:val="22"/>
        </w:rPr>
        <w:t>a</w:t>
      </w:r>
      <w:r w:rsidR="002240B8" w:rsidRPr="00B0633E">
        <w:rPr>
          <w:rFonts w:ascii="Calibri" w:hAnsi="Calibri" w:cs="Calibri"/>
          <w:sz w:val="22"/>
          <w:szCs w:val="22"/>
        </w:rPr>
        <w:t>ssum</w:t>
      </w:r>
      <w:r w:rsidR="00463D9A" w:rsidRPr="00B0633E">
        <w:rPr>
          <w:rFonts w:ascii="Calibri" w:hAnsi="Calibri" w:cs="Calibri"/>
          <w:sz w:val="22"/>
          <w:szCs w:val="22"/>
        </w:rPr>
        <w:t>e</w:t>
      </w:r>
      <w:r w:rsidR="00F42904">
        <w:rPr>
          <w:rFonts w:ascii="Calibri" w:hAnsi="Calibri" w:cs="Calibri"/>
          <w:sz w:val="22"/>
          <w:szCs w:val="22"/>
        </w:rPr>
        <w:t>s</w:t>
      </w:r>
      <w:r w:rsidR="00463D9A" w:rsidRPr="00B0633E">
        <w:rPr>
          <w:rFonts w:ascii="Calibri" w:hAnsi="Calibri" w:cs="Calibri"/>
          <w:sz w:val="22"/>
          <w:szCs w:val="22"/>
        </w:rPr>
        <w:t>: 1)</w:t>
      </w:r>
      <w:r w:rsidR="002D113B">
        <w:rPr>
          <w:rFonts w:ascii="Calibri" w:hAnsi="Calibri" w:cs="Calibri"/>
          <w:sz w:val="22"/>
          <w:szCs w:val="22"/>
        </w:rPr>
        <w:t xml:space="preserve"> </w:t>
      </w:r>
      <w:r w:rsidR="001661CB" w:rsidRPr="00B0633E">
        <w:rPr>
          <w:rFonts w:ascii="Calibri" w:hAnsi="Calibri" w:cs="Calibri"/>
          <w:sz w:val="22"/>
          <w:szCs w:val="22"/>
        </w:rPr>
        <w:t>the SPV, which is not an individual, is the legal owner of and sole counterparty to the insurer under the funding agreement</w:t>
      </w:r>
      <w:r w:rsidR="00463D9A" w:rsidRPr="00B0633E">
        <w:rPr>
          <w:rFonts w:ascii="Calibri" w:hAnsi="Calibri" w:cs="Calibri"/>
          <w:sz w:val="22"/>
          <w:szCs w:val="22"/>
        </w:rPr>
        <w:t xml:space="preserve">; 2) </w:t>
      </w:r>
      <w:r w:rsidR="002240B8" w:rsidRPr="00B0633E">
        <w:rPr>
          <w:rFonts w:ascii="Calibri" w:hAnsi="Calibri" w:cs="Calibri"/>
          <w:sz w:val="22"/>
          <w:szCs w:val="22"/>
        </w:rPr>
        <w:t>the insurer’s contractual obligations under the funding agreement are only for the benefit of the SPV, and that none of the contractual benefits under the funding agreement are guaranteed to individuals</w:t>
      </w:r>
      <w:r w:rsidR="00463D9A" w:rsidRPr="00B0633E">
        <w:rPr>
          <w:rFonts w:ascii="Calibri" w:hAnsi="Calibri" w:cs="Calibri"/>
          <w:sz w:val="22"/>
          <w:szCs w:val="22"/>
        </w:rPr>
        <w:t>; 3) t</w:t>
      </w:r>
      <w:r w:rsidR="00C44F6E" w:rsidRPr="00B0633E">
        <w:rPr>
          <w:rFonts w:ascii="Calibri" w:hAnsi="Calibri" w:cs="Calibri"/>
          <w:sz w:val="22"/>
          <w:szCs w:val="22"/>
        </w:rPr>
        <w:t xml:space="preserve">he insurer does not issue certificates under </w:t>
      </w:r>
      <w:r w:rsidRPr="00B0633E">
        <w:rPr>
          <w:rFonts w:ascii="Calibri" w:hAnsi="Calibri" w:cs="Calibri"/>
          <w:sz w:val="22"/>
          <w:szCs w:val="22"/>
        </w:rPr>
        <w:t>funding agreements</w:t>
      </w:r>
      <w:r w:rsidR="00463D9A" w:rsidRPr="00B0633E">
        <w:rPr>
          <w:rFonts w:ascii="Calibri" w:hAnsi="Calibri" w:cs="Calibri"/>
          <w:sz w:val="22"/>
          <w:szCs w:val="22"/>
        </w:rPr>
        <w:t xml:space="preserve">; and, 4) </w:t>
      </w:r>
      <w:r w:rsidR="003B682E" w:rsidRPr="00B0633E">
        <w:rPr>
          <w:rFonts w:ascii="Calibri" w:hAnsi="Calibri" w:cs="Calibri"/>
          <w:sz w:val="22"/>
          <w:szCs w:val="22"/>
        </w:rPr>
        <w:t>FABN Funding Agreements are issued to SPVs. SPVs are financing entities formed to issue notes in the capital markets and that they have no participants, no plan sponsors, and no benefit-plan structure of any kind.</w:t>
      </w:r>
    </w:p>
    <w:p w14:paraId="36C38CD1" w14:textId="77777777" w:rsidR="00463D9A" w:rsidRPr="00B0633E" w:rsidRDefault="00463D9A" w:rsidP="00B0633E">
      <w:pPr>
        <w:spacing w:line="276" w:lineRule="auto"/>
        <w:contextualSpacing/>
        <w:jc w:val="both"/>
        <w:rPr>
          <w:rFonts w:ascii="Calibri" w:hAnsi="Calibri" w:cs="Calibri"/>
          <w:sz w:val="22"/>
          <w:szCs w:val="22"/>
        </w:rPr>
      </w:pPr>
    </w:p>
    <w:p w14:paraId="17498B72" w14:textId="64F31EE4" w:rsidR="00072D6B" w:rsidRPr="00B0633E" w:rsidRDefault="00663C25" w:rsidP="00B0633E">
      <w:pPr>
        <w:spacing w:line="276" w:lineRule="auto"/>
        <w:contextualSpacing/>
        <w:jc w:val="both"/>
        <w:rPr>
          <w:rFonts w:ascii="Calibri" w:hAnsi="Calibri" w:cs="Calibri"/>
          <w:sz w:val="22"/>
          <w:szCs w:val="22"/>
        </w:rPr>
      </w:pPr>
      <w:r w:rsidRPr="00B0633E">
        <w:rPr>
          <w:rFonts w:ascii="Calibri" w:hAnsi="Calibri" w:cs="Calibri"/>
          <w:sz w:val="22"/>
          <w:szCs w:val="22"/>
        </w:rPr>
        <w:t xml:space="preserve">Based on these facts, a funding agreement issued in an FABN program appears to be an “unallocated annuity contract” within the meaning of the Model </w:t>
      </w:r>
      <w:r w:rsidR="00887CF6">
        <w:rPr>
          <w:rFonts w:ascii="Calibri" w:hAnsi="Calibri" w:cs="Calibri"/>
          <w:sz w:val="22"/>
          <w:szCs w:val="22"/>
        </w:rPr>
        <w:t>#</w:t>
      </w:r>
      <w:r w:rsidRPr="00B0633E">
        <w:rPr>
          <w:rFonts w:ascii="Calibri" w:hAnsi="Calibri" w:cs="Calibri"/>
          <w:sz w:val="22"/>
          <w:szCs w:val="22"/>
        </w:rPr>
        <w:t xml:space="preserve">520. </w:t>
      </w:r>
      <w:r w:rsidR="00EC6F5F" w:rsidRPr="00B0633E">
        <w:rPr>
          <w:rFonts w:ascii="Calibri" w:hAnsi="Calibri" w:cs="Calibri"/>
          <w:sz w:val="22"/>
          <w:szCs w:val="22"/>
        </w:rPr>
        <w:t xml:space="preserve">Since a funding agreement issued in an FABN program is issued to and owned by a SPV (i.e., not an individual), and there are no benefits guaranteed by the insurer to individuals under the FABN </w:t>
      </w:r>
      <w:r w:rsidR="00087BE6" w:rsidRPr="00B0633E">
        <w:rPr>
          <w:rFonts w:ascii="Calibri" w:hAnsi="Calibri" w:cs="Calibri"/>
          <w:sz w:val="22"/>
          <w:szCs w:val="22"/>
        </w:rPr>
        <w:t>program</w:t>
      </w:r>
      <w:r w:rsidR="00EC6F5F" w:rsidRPr="00B0633E">
        <w:rPr>
          <w:rFonts w:ascii="Calibri" w:hAnsi="Calibri" w:cs="Calibri"/>
          <w:sz w:val="22"/>
          <w:szCs w:val="22"/>
        </w:rPr>
        <w:t xml:space="preserve"> or under related certificates issued by the insurer, FABN </w:t>
      </w:r>
      <w:r w:rsidR="00087BE6" w:rsidRPr="00B0633E">
        <w:rPr>
          <w:rFonts w:ascii="Calibri" w:hAnsi="Calibri" w:cs="Calibri"/>
          <w:sz w:val="22"/>
          <w:szCs w:val="22"/>
        </w:rPr>
        <w:t>programs</w:t>
      </w:r>
      <w:r w:rsidR="00EC6F5F" w:rsidRPr="00B0633E">
        <w:rPr>
          <w:rFonts w:ascii="Calibri" w:hAnsi="Calibri" w:cs="Calibri"/>
          <w:sz w:val="22"/>
          <w:szCs w:val="22"/>
        </w:rPr>
        <w:t xml:space="preserve"> would appear to fall within the definition of an unallocated annuity contract under </w:t>
      </w:r>
      <w:r w:rsidR="00087BE6" w:rsidRPr="00B0633E">
        <w:rPr>
          <w:rFonts w:ascii="Calibri" w:hAnsi="Calibri" w:cs="Calibri"/>
          <w:sz w:val="22"/>
          <w:szCs w:val="22"/>
        </w:rPr>
        <w:t>Model #520</w:t>
      </w:r>
      <w:r w:rsidR="00EC6F5F" w:rsidRPr="00B0633E">
        <w:rPr>
          <w:rFonts w:ascii="Calibri" w:hAnsi="Calibri" w:cs="Calibri"/>
          <w:sz w:val="22"/>
          <w:szCs w:val="22"/>
        </w:rPr>
        <w:t xml:space="preserve">. </w:t>
      </w:r>
      <w:r w:rsidR="00072D6B" w:rsidRPr="00B0633E">
        <w:rPr>
          <w:rFonts w:ascii="Calibri" w:hAnsi="Calibri" w:cs="Calibri"/>
          <w:sz w:val="22"/>
          <w:szCs w:val="22"/>
        </w:rPr>
        <w:t>Model #520</w:t>
      </w:r>
      <w:r w:rsidR="001740C2" w:rsidRPr="00B0633E">
        <w:rPr>
          <w:rFonts w:ascii="Calibri" w:hAnsi="Calibri" w:cs="Calibri"/>
          <w:sz w:val="22"/>
          <w:szCs w:val="22"/>
        </w:rPr>
        <w:t xml:space="preserve"> section 3B(2)(h) </w:t>
      </w:r>
      <w:r w:rsidR="00E2133B" w:rsidRPr="00B0633E">
        <w:rPr>
          <w:rFonts w:ascii="Calibri" w:hAnsi="Calibri" w:cs="Calibri"/>
          <w:sz w:val="22"/>
          <w:szCs w:val="22"/>
        </w:rPr>
        <w:t>only provides coverage for unallocated annuity contracts issued to or in connection with benefit plans or government lotteries.</w:t>
      </w:r>
      <w:r w:rsidR="0077097C" w:rsidRPr="00B0633E">
        <w:rPr>
          <w:rFonts w:ascii="Calibri" w:hAnsi="Calibri" w:cs="Calibri"/>
          <w:sz w:val="22"/>
          <w:szCs w:val="22"/>
        </w:rPr>
        <w:t xml:space="preserve"> SPVs used in FABN programs do not appear to be benefit plans or government lotteries. </w:t>
      </w:r>
      <w:r w:rsidR="00B00E13" w:rsidRPr="00B0633E">
        <w:rPr>
          <w:rFonts w:ascii="Calibri" w:hAnsi="Calibri" w:cs="Calibri"/>
          <w:sz w:val="22"/>
          <w:szCs w:val="22"/>
        </w:rPr>
        <w:t>Therefore, f</w:t>
      </w:r>
      <w:r w:rsidR="0077097C" w:rsidRPr="00B0633E">
        <w:rPr>
          <w:rFonts w:ascii="Calibri" w:hAnsi="Calibri" w:cs="Calibri"/>
          <w:sz w:val="22"/>
          <w:szCs w:val="22"/>
        </w:rPr>
        <w:t>unding agreements fall within the exclusion in section 3B(2)(h)</w:t>
      </w:r>
      <w:r w:rsidR="00B00E13" w:rsidRPr="00B0633E">
        <w:rPr>
          <w:rFonts w:ascii="Calibri" w:hAnsi="Calibri" w:cs="Calibri"/>
          <w:sz w:val="22"/>
          <w:szCs w:val="22"/>
        </w:rPr>
        <w:t xml:space="preserve"> and would not </w:t>
      </w:r>
      <w:r w:rsidR="008871F8" w:rsidRPr="00B0633E">
        <w:rPr>
          <w:rFonts w:ascii="Calibri" w:hAnsi="Calibri" w:cs="Calibri"/>
          <w:sz w:val="22"/>
          <w:szCs w:val="22"/>
        </w:rPr>
        <w:t xml:space="preserve">appear to </w:t>
      </w:r>
      <w:r w:rsidR="00B00E13" w:rsidRPr="00B0633E">
        <w:rPr>
          <w:rFonts w:ascii="Calibri" w:hAnsi="Calibri" w:cs="Calibri"/>
          <w:sz w:val="22"/>
          <w:szCs w:val="22"/>
        </w:rPr>
        <w:t>be eligible for guaranty association coverage.</w:t>
      </w:r>
    </w:p>
    <w:p w14:paraId="2A69C35D" w14:textId="77777777" w:rsidR="00072D6B" w:rsidRDefault="00072D6B" w:rsidP="00B0633E">
      <w:pPr>
        <w:spacing w:line="276" w:lineRule="auto"/>
        <w:contextualSpacing/>
        <w:jc w:val="both"/>
        <w:rPr>
          <w:rFonts w:ascii="Calibri" w:hAnsi="Calibri" w:cs="Calibri"/>
          <w:sz w:val="22"/>
          <w:szCs w:val="22"/>
        </w:rPr>
      </w:pPr>
    </w:p>
    <w:p w14:paraId="70878326" w14:textId="77777777" w:rsidR="004C62DB" w:rsidRPr="00B0633E" w:rsidRDefault="004C62DB" w:rsidP="00B0633E">
      <w:pPr>
        <w:spacing w:line="276" w:lineRule="auto"/>
        <w:contextualSpacing/>
        <w:jc w:val="both"/>
        <w:rPr>
          <w:rFonts w:ascii="Calibri" w:hAnsi="Calibri" w:cs="Calibri"/>
          <w:sz w:val="22"/>
          <w:szCs w:val="22"/>
        </w:rPr>
      </w:pPr>
    </w:p>
    <w:p w14:paraId="1D89EB6A" w14:textId="0B72999C" w:rsidR="001574E6" w:rsidRPr="00FD1B48" w:rsidRDefault="001574E6" w:rsidP="001574E6">
      <w:pPr>
        <w:spacing w:line="276" w:lineRule="auto"/>
        <w:contextualSpacing/>
        <w:jc w:val="both"/>
        <w:rPr>
          <w:rFonts w:ascii="Calibri" w:hAnsi="Calibri" w:cs="Calibri"/>
          <w:b/>
          <w:bCs/>
          <w:sz w:val="22"/>
          <w:szCs w:val="22"/>
        </w:rPr>
      </w:pPr>
      <w:r w:rsidRPr="00FD1B48">
        <w:rPr>
          <w:rFonts w:ascii="Calibri" w:hAnsi="Calibri" w:cs="Calibri"/>
          <w:b/>
          <w:bCs/>
          <w:sz w:val="22"/>
          <w:szCs w:val="22"/>
        </w:rPr>
        <w:lastRenderedPageBreak/>
        <w:t xml:space="preserve">Conclusion </w:t>
      </w:r>
    </w:p>
    <w:p w14:paraId="113C70FE" w14:textId="6A7340AF" w:rsidR="00EF456F" w:rsidRPr="00F6476D" w:rsidRDefault="003F787A" w:rsidP="003F787A">
      <w:pPr>
        <w:spacing w:line="276" w:lineRule="auto"/>
        <w:contextualSpacing/>
        <w:jc w:val="both"/>
        <w:rPr>
          <w:rFonts w:ascii="Calibri" w:hAnsi="Calibri" w:cs="Calibri"/>
          <w:sz w:val="22"/>
          <w:szCs w:val="22"/>
        </w:rPr>
      </w:pPr>
      <w:r w:rsidRPr="00F6476D">
        <w:rPr>
          <w:rFonts w:ascii="Calibri" w:hAnsi="Calibri" w:cs="Calibri"/>
          <w:sz w:val="22"/>
          <w:szCs w:val="22"/>
        </w:rPr>
        <w:t xml:space="preserve">The receivership and guaranty association laws of the insurer’s domestic state govern the handling of funding agreements in receivership. </w:t>
      </w:r>
      <w:r w:rsidR="00EF456F" w:rsidRPr="00F6476D">
        <w:rPr>
          <w:rFonts w:ascii="Calibri" w:hAnsi="Calibri" w:cs="Calibri"/>
          <w:sz w:val="22"/>
          <w:szCs w:val="22"/>
        </w:rPr>
        <w:t xml:space="preserve">In a receivership proceeding, determination of the handling of the funding agreement would be dependent on </w:t>
      </w:r>
      <w:r w:rsidRPr="00F6476D">
        <w:rPr>
          <w:rFonts w:ascii="Calibri" w:hAnsi="Calibri" w:cs="Calibri"/>
          <w:sz w:val="22"/>
          <w:szCs w:val="22"/>
        </w:rPr>
        <w:t xml:space="preserve">a review of </w:t>
      </w:r>
      <w:r w:rsidR="00EF456F" w:rsidRPr="00F6476D">
        <w:rPr>
          <w:rFonts w:ascii="Calibri" w:hAnsi="Calibri" w:cs="Calibri"/>
          <w:sz w:val="22"/>
          <w:szCs w:val="22"/>
        </w:rPr>
        <w:t>the terms and conditions of the agreement</w:t>
      </w:r>
      <w:r w:rsidRPr="00F6476D">
        <w:rPr>
          <w:rFonts w:ascii="Calibri" w:hAnsi="Calibri" w:cs="Calibri"/>
          <w:sz w:val="22"/>
          <w:szCs w:val="22"/>
        </w:rPr>
        <w:t>.</w:t>
      </w:r>
      <w:r w:rsidR="002D4F71" w:rsidRPr="00F6476D">
        <w:rPr>
          <w:rFonts w:ascii="Calibri" w:hAnsi="Calibri" w:cs="Calibri"/>
          <w:sz w:val="22"/>
          <w:szCs w:val="22"/>
        </w:rPr>
        <w:t xml:space="preserve"> As stated above, in most states, funding agreements (not FABNs) would be treated </w:t>
      </w:r>
      <w:r w:rsidR="00C413C8" w:rsidRPr="00F6476D">
        <w:rPr>
          <w:rFonts w:ascii="Calibri" w:hAnsi="Calibri" w:cs="Calibri"/>
          <w:sz w:val="22"/>
          <w:szCs w:val="22"/>
        </w:rPr>
        <w:t xml:space="preserve">pari passu with other life and annuity </w:t>
      </w:r>
      <w:r w:rsidR="00F6476D" w:rsidRPr="00F6476D">
        <w:rPr>
          <w:rFonts w:ascii="Calibri" w:hAnsi="Calibri" w:cs="Calibri"/>
          <w:sz w:val="22"/>
          <w:szCs w:val="22"/>
        </w:rPr>
        <w:t xml:space="preserve">policyholder </w:t>
      </w:r>
      <w:r w:rsidR="00C413C8" w:rsidRPr="00F6476D">
        <w:rPr>
          <w:rFonts w:ascii="Calibri" w:hAnsi="Calibri" w:cs="Calibri"/>
          <w:sz w:val="22"/>
          <w:szCs w:val="22"/>
        </w:rPr>
        <w:t xml:space="preserve">claimants, but it appears would not be eligible for </w:t>
      </w:r>
      <w:r w:rsidR="00F6476D" w:rsidRPr="00F6476D">
        <w:rPr>
          <w:rFonts w:ascii="Calibri" w:hAnsi="Calibri" w:cs="Calibri"/>
          <w:sz w:val="22"/>
          <w:szCs w:val="22"/>
        </w:rPr>
        <w:t xml:space="preserve">guaranty association coverage. </w:t>
      </w:r>
    </w:p>
    <w:p w14:paraId="174BF27C" w14:textId="77777777" w:rsidR="00744001" w:rsidRDefault="00744001" w:rsidP="003F787A">
      <w:pPr>
        <w:spacing w:line="276" w:lineRule="auto"/>
        <w:contextualSpacing/>
        <w:jc w:val="both"/>
        <w:rPr>
          <w:rFonts w:ascii="Calibri" w:hAnsi="Calibri" w:cs="Calibri"/>
          <w:color w:val="0070C0"/>
          <w:sz w:val="22"/>
          <w:szCs w:val="22"/>
        </w:rPr>
      </w:pPr>
    </w:p>
    <w:p w14:paraId="24C27C24" w14:textId="33608DFD" w:rsidR="00820969" w:rsidRDefault="00E20F70" w:rsidP="00E5139A">
      <w:pPr>
        <w:spacing w:line="276" w:lineRule="auto"/>
        <w:jc w:val="both"/>
        <w:rPr>
          <w:rFonts w:asciiTheme="minorHAnsi" w:hAnsiTheme="minorHAnsi" w:cstheme="minorHAnsi"/>
          <w:sz w:val="22"/>
          <w:szCs w:val="22"/>
        </w:rPr>
      </w:pPr>
      <w:r w:rsidRPr="00632CE5">
        <w:rPr>
          <w:rFonts w:asciiTheme="minorHAnsi" w:hAnsiTheme="minorHAnsi" w:cstheme="minorHAnsi"/>
          <w:sz w:val="22"/>
          <w:szCs w:val="22"/>
        </w:rPr>
        <w:t xml:space="preserve">At this time the Task Force does not recommend any changes to </w:t>
      </w:r>
      <w:r w:rsidR="00963EAB" w:rsidRPr="00632CE5">
        <w:rPr>
          <w:rFonts w:asciiTheme="minorHAnsi" w:hAnsiTheme="minorHAnsi" w:cstheme="minorHAnsi"/>
          <w:sz w:val="22"/>
          <w:szCs w:val="22"/>
        </w:rPr>
        <w:t xml:space="preserve">existing receivership and guaranty association </w:t>
      </w:r>
      <w:r w:rsidR="000C4279">
        <w:rPr>
          <w:rFonts w:asciiTheme="minorHAnsi" w:hAnsiTheme="minorHAnsi" w:cstheme="minorHAnsi"/>
          <w:sz w:val="22"/>
          <w:szCs w:val="22"/>
        </w:rPr>
        <w:t>m</w:t>
      </w:r>
      <w:r w:rsidRPr="00632CE5">
        <w:rPr>
          <w:rFonts w:asciiTheme="minorHAnsi" w:hAnsiTheme="minorHAnsi" w:cstheme="minorHAnsi"/>
          <w:sz w:val="22"/>
          <w:szCs w:val="22"/>
        </w:rPr>
        <w:t xml:space="preserve">odel laws. </w:t>
      </w:r>
      <w:r w:rsidR="00EA0FB6" w:rsidRPr="00632CE5">
        <w:rPr>
          <w:rFonts w:asciiTheme="minorHAnsi" w:hAnsiTheme="minorHAnsi" w:cstheme="minorHAnsi"/>
          <w:sz w:val="22"/>
          <w:szCs w:val="22"/>
        </w:rPr>
        <w:t>Since</w:t>
      </w:r>
      <w:r w:rsidR="00820969" w:rsidRPr="00632CE5">
        <w:rPr>
          <w:rFonts w:asciiTheme="minorHAnsi" w:hAnsiTheme="minorHAnsi" w:cstheme="minorHAnsi"/>
          <w:sz w:val="22"/>
          <w:szCs w:val="22"/>
        </w:rPr>
        <w:t xml:space="preserve"> funding agreements are addressed in Section 801-</w:t>
      </w:r>
      <w:r w:rsidR="00EA0FB6" w:rsidRPr="00632CE5">
        <w:rPr>
          <w:rFonts w:asciiTheme="minorHAnsi" w:hAnsiTheme="minorHAnsi" w:cstheme="minorHAnsi"/>
          <w:sz w:val="22"/>
          <w:szCs w:val="22"/>
        </w:rPr>
        <w:t xml:space="preserve">Priority of </w:t>
      </w:r>
      <w:r w:rsidR="00820969" w:rsidRPr="00632CE5">
        <w:rPr>
          <w:rFonts w:asciiTheme="minorHAnsi" w:hAnsiTheme="minorHAnsi" w:cstheme="minorHAnsi"/>
          <w:sz w:val="22"/>
          <w:szCs w:val="22"/>
        </w:rPr>
        <w:t xml:space="preserve">Distributions of the current version of Model </w:t>
      </w:r>
      <w:r w:rsidR="00632CE5" w:rsidRPr="00632CE5">
        <w:rPr>
          <w:rFonts w:asciiTheme="minorHAnsi" w:hAnsiTheme="minorHAnsi" w:cstheme="minorHAnsi"/>
          <w:sz w:val="22"/>
          <w:szCs w:val="22"/>
        </w:rPr>
        <w:t>#</w:t>
      </w:r>
      <w:r w:rsidR="00820969" w:rsidRPr="00632CE5">
        <w:rPr>
          <w:rFonts w:asciiTheme="minorHAnsi" w:hAnsiTheme="minorHAnsi" w:cstheme="minorHAnsi"/>
          <w:sz w:val="22"/>
          <w:szCs w:val="22"/>
        </w:rPr>
        <w:t>555</w:t>
      </w:r>
      <w:r w:rsidR="00A40949" w:rsidRPr="00632CE5">
        <w:rPr>
          <w:rFonts w:asciiTheme="minorHAnsi" w:hAnsiTheme="minorHAnsi" w:cstheme="minorHAnsi"/>
          <w:sz w:val="22"/>
          <w:szCs w:val="22"/>
        </w:rPr>
        <w:t xml:space="preserve"> and </w:t>
      </w:r>
      <w:r w:rsidR="00632CE5" w:rsidRPr="00632CE5">
        <w:rPr>
          <w:rFonts w:asciiTheme="minorHAnsi" w:hAnsiTheme="minorHAnsi" w:cstheme="minorHAnsi"/>
          <w:sz w:val="22"/>
          <w:szCs w:val="22"/>
        </w:rPr>
        <w:t xml:space="preserve">unallocated annuities are addressed in </w:t>
      </w:r>
      <w:r w:rsidR="00A40949" w:rsidRPr="00632CE5">
        <w:rPr>
          <w:rFonts w:asciiTheme="minorHAnsi" w:hAnsiTheme="minorHAnsi" w:cstheme="minorHAnsi"/>
          <w:sz w:val="22"/>
          <w:szCs w:val="22"/>
        </w:rPr>
        <w:t xml:space="preserve">Model </w:t>
      </w:r>
      <w:r w:rsidR="00632CE5" w:rsidRPr="00632CE5">
        <w:rPr>
          <w:rFonts w:asciiTheme="minorHAnsi" w:hAnsiTheme="minorHAnsi" w:cstheme="minorHAnsi"/>
          <w:sz w:val="22"/>
          <w:szCs w:val="22"/>
        </w:rPr>
        <w:t>#</w:t>
      </w:r>
      <w:r w:rsidR="00A40949" w:rsidRPr="00632CE5">
        <w:rPr>
          <w:rFonts w:asciiTheme="minorHAnsi" w:hAnsiTheme="minorHAnsi" w:cstheme="minorHAnsi"/>
          <w:sz w:val="22"/>
          <w:szCs w:val="22"/>
        </w:rPr>
        <w:t>520</w:t>
      </w:r>
      <w:r w:rsidR="00820969" w:rsidRPr="00632CE5">
        <w:rPr>
          <w:rFonts w:asciiTheme="minorHAnsi" w:hAnsiTheme="minorHAnsi" w:cstheme="minorHAnsi"/>
          <w:sz w:val="22"/>
          <w:szCs w:val="22"/>
        </w:rPr>
        <w:t xml:space="preserve">, the Task Force encourages </w:t>
      </w:r>
      <w:r w:rsidR="007503CD" w:rsidRPr="00632CE5">
        <w:rPr>
          <w:rFonts w:asciiTheme="minorHAnsi" w:hAnsiTheme="minorHAnsi" w:cstheme="minorHAnsi"/>
          <w:sz w:val="22"/>
          <w:szCs w:val="22"/>
        </w:rPr>
        <w:t xml:space="preserve">more </w:t>
      </w:r>
      <w:r w:rsidR="00B2227F" w:rsidRPr="00632CE5">
        <w:rPr>
          <w:rFonts w:asciiTheme="minorHAnsi" w:hAnsiTheme="minorHAnsi" w:cstheme="minorHAnsi"/>
          <w:sz w:val="22"/>
          <w:szCs w:val="22"/>
        </w:rPr>
        <w:t xml:space="preserve">consistent </w:t>
      </w:r>
      <w:r w:rsidR="007503CD" w:rsidRPr="00632CE5">
        <w:rPr>
          <w:rFonts w:asciiTheme="minorHAnsi" w:hAnsiTheme="minorHAnsi" w:cstheme="minorHAnsi"/>
          <w:sz w:val="22"/>
          <w:szCs w:val="22"/>
        </w:rPr>
        <w:t xml:space="preserve">adoption of </w:t>
      </w:r>
      <w:r w:rsidR="00B2227F" w:rsidRPr="00632CE5">
        <w:rPr>
          <w:rFonts w:asciiTheme="minorHAnsi" w:hAnsiTheme="minorHAnsi" w:cstheme="minorHAnsi"/>
          <w:sz w:val="22"/>
          <w:szCs w:val="22"/>
        </w:rPr>
        <w:t>related provisions by state insurance departments</w:t>
      </w:r>
      <w:r w:rsidR="009E2236" w:rsidRPr="00632CE5">
        <w:rPr>
          <w:rFonts w:asciiTheme="minorHAnsi" w:hAnsiTheme="minorHAnsi" w:cstheme="minorHAnsi"/>
          <w:sz w:val="22"/>
          <w:szCs w:val="22"/>
        </w:rPr>
        <w:t>,</w:t>
      </w:r>
      <w:r w:rsidR="00820969" w:rsidRPr="00632CE5">
        <w:rPr>
          <w:rFonts w:asciiTheme="minorHAnsi" w:hAnsiTheme="minorHAnsi" w:cstheme="minorHAnsi"/>
          <w:sz w:val="22"/>
          <w:szCs w:val="22"/>
        </w:rPr>
        <w:t xml:space="preserve"> </w:t>
      </w:r>
      <w:r w:rsidR="0057169B" w:rsidRPr="00632CE5">
        <w:rPr>
          <w:rFonts w:asciiTheme="minorHAnsi" w:hAnsiTheme="minorHAnsi" w:cstheme="minorHAnsi"/>
          <w:sz w:val="22"/>
          <w:szCs w:val="22"/>
        </w:rPr>
        <w:t>where necessary</w:t>
      </w:r>
      <w:r w:rsidR="009E2236" w:rsidRPr="00632CE5">
        <w:rPr>
          <w:rFonts w:asciiTheme="minorHAnsi" w:hAnsiTheme="minorHAnsi" w:cstheme="minorHAnsi"/>
          <w:sz w:val="22"/>
          <w:szCs w:val="22"/>
        </w:rPr>
        <w:t>,</w:t>
      </w:r>
      <w:r w:rsidR="0057169B" w:rsidRPr="00632CE5">
        <w:rPr>
          <w:rFonts w:asciiTheme="minorHAnsi" w:hAnsiTheme="minorHAnsi" w:cstheme="minorHAnsi"/>
          <w:sz w:val="22"/>
          <w:szCs w:val="22"/>
        </w:rPr>
        <w:t xml:space="preserve"> to clarify </w:t>
      </w:r>
      <w:r w:rsidR="00A40949" w:rsidRPr="00632CE5">
        <w:rPr>
          <w:rFonts w:asciiTheme="minorHAnsi" w:hAnsiTheme="minorHAnsi" w:cstheme="minorHAnsi"/>
          <w:sz w:val="22"/>
          <w:szCs w:val="22"/>
        </w:rPr>
        <w:t xml:space="preserve">the treatment of funding agreements in line with </w:t>
      </w:r>
      <w:r w:rsidR="00963EAB" w:rsidRPr="00632CE5">
        <w:rPr>
          <w:rFonts w:asciiTheme="minorHAnsi" w:hAnsiTheme="minorHAnsi" w:cstheme="minorHAnsi"/>
          <w:sz w:val="22"/>
          <w:szCs w:val="22"/>
        </w:rPr>
        <w:t xml:space="preserve">the </w:t>
      </w:r>
      <w:r w:rsidR="009E2236" w:rsidRPr="00632CE5">
        <w:rPr>
          <w:rFonts w:asciiTheme="minorHAnsi" w:hAnsiTheme="minorHAnsi" w:cstheme="minorHAnsi"/>
          <w:sz w:val="22"/>
          <w:szCs w:val="22"/>
        </w:rPr>
        <w:t xml:space="preserve">current </w:t>
      </w:r>
      <w:r w:rsidR="00A40949" w:rsidRPr="00632CE5">
        <w:rPr>
          <w:rFonts w:asciiTheme="minorHAnsi" w:hAnsiTheme="minorHAnsi" w:cstheme="minorHAnsi"/>
          <w:sz w:val="22"/>
          <w:szCs w:val="22"/>
        </w:rPr>
        <w:t xml:space="preserve">Model </w:t>
      </w:r>
      <w:r w:rsidR="00632CE5" w:rsidRPr="00632CE5">
        <w:rPr>
          <w:rFonts w:asciiTheme="minorHAnsi" w:hAnsiTheme="minorHAnsi" w:cstheme="minorHAnsi"/>
          <w:sz w:val="22"/>
          <w:szCs w:val="22"/>
        </w:rPr>
        <w:t>#</w:t>
      </w:r>
      <w:r w:rsidR="00A40949" w:rsidRPr="00632CE5">
        <w:rPr>
          <w:rFonts w:asciiTheme="minorHAnsi" w:hAnsiTheme="minorHAnsi" w:cstheme="minorHAnsi"/>
          <w:sz w:val="22"/>
          <w:szCs w:val="22"/>
        </w:rPr>
        <w:t xml:space="preserve">555 and </w:t>
      </w:r>
      <w:r w:rsidR="009E2236" w:rsidRPr="00632CE5">
        <w:rPr>
          <w:rFonts w:asciiTheme="minorHAnsi" w:hAnsiTheme="minorHAnsi" w:cstheme="minorHAnsi"/>
          <w:sz w:val="22"/>
          <w:szCs w:val="22"/>
        </w:rPr>
        <w:t xml:space="preserve">Model </w:t>
      </w:r>
      <w:r w:rsidR="00632CE5" w:rsidRPr="00632CE5">
        <w:rPr>
          <w:rFonts w:asciiTheme="minorHAnsi" w:hAnsiTheme="minorHAnsi" w:cstheme="minorHAnsi"/>
          <w:sz w:val="22"/>
          <w:szCs w:val="22"/>
        </w:rPr>
        <w:t>#</w:t>
      </w:r>
      <w:r w:rsidR="00A40949" w:rsidRPr="00632CE5">
        <w:rPr>
          <w:rFonts w:asciiTheme="minorHAnsi" w:hAnsiTheme="minorHAnsi" w:cstheme="minorHAnsi"/>
          <w:sz w:val="22"/>
          <w:szCs w:val="22"/>
        </w:rPr>
        <w:t>520.</w:t>
      </w:r>
    </w:p>
    <w:p w14:paraId="2C3A832B" w14:textId="642258AF" w:rsidR="004F67CD" w:rsidRDefault="004F67CD" w:rsidP="00E5139A">
      <w:pPr>
        <w:spacing w:line="276" w:lineRule="auto"/>
        <w:jc w:val="both"/>
        <w:rPr>
          <w:rFonts w:asciiTheme="minorHAnsi" w:hAnsiTheme="minorHAnsi" w:cstheme="minorHAnsi"/>
          <w:sz w:val="22"/>
          <w:szCs w:val="22"/>
        </w:rPr>
      </w:pPr>
    </w:p>
    <w:p w14:paraId="155016DD" w14:textId="4A17C00C" w:rsidR="009261BE" w:rsidRDefault="004F67CD" w:rsidP="00E5139A">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 Task Force appreciates the </w:t>
      </w:r>
      <w:r w:rsidR="00CF21C1">
        <w:rPr>
          <w:rFonts w:asciiTheme="minorHAnsi" w:hAnsiTheme="minorHAnsi" w:cstheme="minorHAnsi"/>
          <w:sz w:val="22"/>
          <w:szCs w:val="22"/>
        </w:rPr>
        <w:t xml:space="preserve">NAIC’s efforts to enhance </w:t>
      </w:r>
      <w:r w:rsidR="009261BE">
        <w:rPr>
          <w:rFonts w:asciiTheme="minorHAnsi" w:hAnsiTheme="minorHAnsi" w:cstheme="minorHAnsi"/>
          <w:sz w:val="22"/>
          <w:szCs w:val="22"/>
        </w:rPr>
        <w:t xml:space="preserve">insurer’s </w:t>
      </w:r>
      <w:r w:rsidR="00CF21C1">
        <w:rPr>
          <w:rFonts w:asciiTheme="minorHAnsi" w:hAnsiTheme="minorHAnsi" w:cstheme="minorHAnsi"/>
          <w:sz w:val="22"/>
          <w:szCs w:val="22"/>
        </w:rPr>
        <w:t xml:space="preserve">statutory reporting </w:t>
      </w:r>
      <w:r w:rsidR="009261BE">
        <w:rPr>
          <w:rFonts w:asciiTheme="minorHAnsi" w:hAnsiTheme="minorHAnsi" w:cstheme="minorHAnsi"/>
          <w:sz w:val="22"/>
          <w:szCs w:val="22"/>
        </w:rPr>
        <w:t xml:space="preserve">requirements </w:t>
      </w:r>
      <w:r w:rsidR="00CF21C1">
        <w:rPr>
          <w:rFonts w:asciiTheme="minorHAnsi" w:hAnsiTheme="minorHAnsi" w:cstheme="minorHAnsi"/>
          <w:sz w:val="22"/>
          <w:szCs w:val="22"/>
        </w:rPr>
        <w:t xml:space="preserve">to </w:t>
      </w:r>
      <w:r w:rsidR="00493075">
        <w:rPr>
          <w:rFonts w:asciiTheme="minorHAnsi" w:hAnsiTheme="minorHAnsi" w:cstheme="minorHAnsi"/>
          <w:sz w:val="22"/>
          <w:szCs w:val="22"/>
        </w:rPr>
        <w:t>improve</w:t>
      </w:r>
      <w:r w:rsidR="00CF21C1">
        <w:rPr>
          <w:rFonts w:asciiTheme="minorHAnsi" w:hAnsiTheme="minorHAnsi" w:cstheme="minorHAnsi"/>
          <w:sz w:val="22"/>
          <w:szCs w:val="22"/>
        </w:rPr>
        <w:t xml:space="preserve"> disclosure</w:t>
      </w:r>
      <w:r w:rsidR="00F01D35">
        <w:rPr>
          <w:rFonts w:asciiTheme="minorHAnsi" w:hAnsiTheme="minorHAnsi" w:cstheme="minorHAnsi"/>
          <w:sz w:val="22"/>
          <w:szCs w:val="22"/>
        </w:rPr>
        <w:t>s</w:t>
      </w:r>
      <w:r w:rsidR="00CF21C1">
        <w:rPr>
          <w:rFonts w:asciiTheme="minorHAnsi" w:hAnsiTheme="minorHAnsi" w:cstheme="minorHAnsi"/>
          <w:sz w:val="22"/>
          <w:szCs w:val="22"/>
        </w:rPr>
        <w:t xml:space="preserve"> </w:t>
      </w:r>
      <w:r w:rsidR="00205079">
        <w:rPr>
          <w:rFonts w:asciiTheme="minorHAnsi" w:hAnsiTheme="minorHAnsi" w:cstheme="minorHAnsi"/>
          <w:sz w:val="22"/>
          <w:szCs w:val="22"/>
        </w:rPr>
        <w:t xml:space="preserve">and transparency </w:t>
      </w:r>
      <w:r w:rsidR="00837B88">
        <w:rPr>
          <w:rFonts w:asciiTheme="minorHAnsi" w:hAnsiTheme="minorHAnsi" w:cstheme="minorHAnsi"/>
          <w:sz w:val="22"/>
          <w:szCs w:val="22"/>
        </w:rPr>
        <w:t>to better understand</w:t>
      </w:r>
      <w:r w:rsidR="00CF21C1">
        <w:rPr>
          <w:rFonts w:asciiTheme="minorHAnsi" w:hAnsiTheme="minorHAnsi" w:cstheme="minorHAnsi"/>
          <w:sz w:val="22"/>
          <w:szCs w:val="22"/>
        </w:rPr>
        <w:t xml:space="preserve"> funding agreements and related FABN structures</w:t>
      </w:r>
      <w:r w:rsidR="00BE7409">
        <w:rPr>
          <w:rFonts w:asciiTheme="minorHAnsi" w:hAnsiTheme="minorHAnsi" w:cstheme="minorHAnsi"/>
          <w:sz w:val="22"/>
          <w:szCs w:val="22"/>
        </w:rPr>
        <w:t xml:space="preserve"> within the insurance industry</w:t>
      </w:r>
      <w:r w:rsidR="00CF21C1">
        <w:rPr>
          <w:rFonts w:asciiTheme="minorHAnsi" w:hAnsiTheme="minorHAnsi" w:cstheme="minorHAnsi"/>
          <w:sz w:val="22"/>
          <w:szCs w:val="22"/>
        </w:rPr>
        <w:t xml:space="preserve">. </w:t>
      </w:r>
    </w:p>
    <w:p w14:paraId="0D19C758" w14:textId="77777777" w:rsidR="009261BE" w:rsidRDefault="009261BE" w:rsidP="00E5139A">
      <w:pPr>
        <w:spacing w:line="276" w:lineRule="auto"/>
        <w:jc w:val="both"/>
        <w:rPr>
          <w:rFonts w:asciiTheme="minorHAnsi" w:hAnsiTheme="minorHAnsi" w:cstheme="minorHAnsi"/>
          <w:sz w:val="22"/>
          <w:szCs w:val="22"/>
        </w:rPr>
      </w:pPr>
    </w:p>
    <w:p w14:paraId="6C2E7834" w14:textId="4198FFA0" w:rsidR="004F67CD" w:rsidRDefault="009F053D" w:rsidP="00E5139A">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 Task Force encourages the Macroprudential (E) Working Group or </w:t>
      </w:r>
      <w:r w:rsidR="00743C2A">
        <w:rPr>
          <w:rFonts w:asciiTheme="minorHAnsi" w:hAnsiTheme="minorHAnsi" w:cstheme="minorHAnsi"/>
          <w:sz w:val="22"/>
          <w:szCs w:val="22"/>
        </w:rPr>
        <w:t>an</w:t>
      </w:r>
      <w:r>
        <w:rPr>
          <w:rFonts w:asciiTheme="minorHAnsi" w:hAnsiTheme="minorHAnsi" w:cstheme="minorHAnsi"/>
          <w:sz w:val="22"/>
          <w:szCs w:val="22"/>
        </w:rPr>
        <w:t>other appropriate NAIC group</w:t>
      </w:r>
      <w:r w:rsidR="00581C5E">
        <w:rPr>
          <w:rFonts w:asciiTheme="minorHAnsi" w:hAnsiTheme="minorHAnsi" w:cstheme="minorHAnsi"/>
          <w:sz w:val="22"/>
          <w:szCs w:val="22"/>
        </w:rPr>
        <w:t>(</w:t>
      </w:r>
      <w:r>
        <w:rPr>
          <w:rFonts w:asciiTheme="minorHAnsi" w:hAnsiTheme="minorHAnsi" w:cstheme="minorHAnsi"/>
          <w:sz w:val="22"/>
          <w:szCs w:val="22"/>
        </w:rPr>
        <w:t>s</w:t>
      </w:r>
      <w:r w:rsidR="00581C5E">
        <w:rPr>
          <w:rFonts w:asciiTheme="minorHAnsi" w:hAnsiTheme="minorHAnsi" w:cstheme="minorHAnsi"/>
          <w:sz w:val="22"/>
          <w:szCs w:val="22"/>
        </w:rPr>
        <w:t>)</w:t>
      </w:r>
      <w:r>
        <w:rPr>
          <w:rFonts w:asciiTheme="minorHAnsi" w:hAnsiTheme="minorHAnsi" w:cstheme="minorHAnsi"/>
          <w:sz w:val="22"/>
          <w:szCs w:val="22"/>
        </w:rPr>
        <w:t xml:space="preserve"> to </w:t>
      </w:r>
      <w:r w:rsidR="008C2281">
        <w:rPr>
          <w:rFonts w:asciiTheme="minorHAnsi" w:hAnsiTheme="minorHAnsi" w:cstheme="minorHAnsi"/>
          <w:sz w:val="22"/>
          <w:szCs w:val="22"/>
        </w:rPr>
        <w:t xml:space="preserve">also consider evaluating such arrangements </w:t>
      </w:r>
      <w:r w:rsidR="00C56C8D" w:rsidRPr="00C56C8D">
        <w:rPr>
          <w:rFonts w:asciiTheme="minorHAnsi" w:hAnsiTheme="minorHAnsi" w:cstheme="minorHAnsi"/>
          <w:sz w:val="22"/>
          <w:szCs w:val="22"/>
        </w:rPr>
        <w:t>on an enterprise basis, including the role of affiliated entities and off-balance-sheet structures</w:t>
      </w:r>
      <w:r w:rsidR="00581C5E">
        <w:rPr>
          <w:rFonts w:asciiTheme="minorHAnsi" w:hAnsiTheme="minorHAnsi" w:cstheme="minorHAnsi"/>
          <w:sz w:val="22"/>
          <w:szCs w:val="22"/>
        </w:rPr>
        <w:t>,</w:t>
      </w:r>
      <w:r w:rsidR="00C56C8D">
        <w:rPr>
          <w:rFonts w:asciiTheme="minorHAnsi" w:hAnsiTheme="minorHAnsi" w:cstheme="minorHAnsi"/>
          <w:sz w:val="22"/>
          <w:szCs w:val="22"/>
        </w:rPr>
        <w:t xml:space="preserve"> to understand the broader holding company system exposure,</w:t>
      </w:r>
      <w:r w:rsidR="00581C5E">
        <w:rPr>
          <w:rFonts w:asciiTheme="minorHAnsi" w:hAnsiTheme="minorHAnsi" w:cstheme="minorHAnsi"/>
          <w:sz w:val="22"/>
          <w:szCs w:val="22"/>
        </w:rPr>
        <w:t xml:space="preserve"> and to ensure such structures operate in a manner that </w:t>
      </w:r>
      <w:r w:rsidR="00244F9A">
        <w:rPr>
          <w:rFonts w:asciiTheme="minorHAnsi" w:hAnsiTheme="minorHAnsi" w:cstheme="minorHAnsi"/>
          <w:sz w:val="22"/>
          <w:szCs w:val="22"/>
        </w:rPr>
        <w:t xml:space="preserve">does not </w:t>
      </w:r>
      <w:r w:rsidR="009538EC">
        <w:rPr>
          <w:rFonts w:asciiTheme="minorHAnsi" w:hAnsiTheme="minorHAnsi" w:cstheme="minorHAnsi"/>
          <w:sz w:val="22"/>
          <w:szCs w:val="22"/>
        </w:rPr>
        <w:t xml:space="preserve">circumvent statutory protections. </w:t>
      </w:r>
    </w:p>
    <w:p w14:paraId="0CF52CA9" w14:textId="77777777" w:rsidR="006D6F6A" w:rsidRDefault="006D6F6A" w:rsidP="00E5139A">
      <w:pPr>
        <w:spacing w:line="276" w:lineRule="auto"/>
        <w:jc w:val="both"/>
        <w:rPr>
          <w:rFonts w:asciiTheme="minorHAnsi" w:hAnsiTheme="minorHAnsi" w:cstheme="minorHAnsi"/>
          <w:sz w:val="22"/>
          <w:szCs w:val="22"/>
        </w:rPr>
      </w:pPr>
    </w:p>
    <w:p w14:paraId="401D0F5C" w14:textId="79DF9090" w:rsidR="00333391" w:rsidRPr="00E27D0B" w:rsidRDefault="00333391" w:rsidP="00333391">
      <w:pPr>
        <w:jc w:val="both"/>
        <w:rPr>
          <w:rFonts w:asciiTheme="minorHAnsi" w:hAnsiTheme="minorHAnsi" w:cstheme="minorHAnsi"/>
          <w:sz w:val="22"/>
          <w:szCs w:val="22"/>
        </w:rPr>
      </w:pPr>
      <w:r w:rsidRPr="00E27D0B">
        <w:rPr>
          <w:rFonts w:asciiTheme="minorHAnsi" w:hAnsiTheme="minorHAnsi" w:cstheme="minorHAnsi"/>
          <w:sz w:val="22"/>
          <w:szCs w:val="22"/>
        </w:rPr>
        <w:t xml:space="preserve">If there are any questions regarding this response, please contact </w:t>
      </w:r>
      <w:r w:rsidR="00963EAB">
        <w:rPr>
          <w:rFonts w:asciiTheme="minorHAnsi" w:hAnsiTheme="minorHAnsi" w:cstheme="minorHAnsi"/>
          <w:sz w:val="22"/>
          <w:szCs w:val="22"/>
        </w:rPr>
        <w:t xml:space="preserve">me or </w:t>
      </w:r>
      <w:r w:rsidRPr="00E27D0B">
        <w:rPr>
          <w:rFonts w:asciiTheme="minorHAnsi" w:hAnsiTheme="minorHAnsi" w:cstheme="minorHAnsi"/>
          <w:sz w:val="22"/>
          <w:szCs w:val="22"/>
        </w:rPr>
        <w:t xml:space="preserve">NAIC staff </w:t>
      </w:r>
      <w:r w:rsidR="000A111D">
        <w:rPr>
          <w:rFonts w:asciiTheme="minorHAnsi" w:hAnsiTheme="minorHAnsi" w:cstheme="minorHAnsi"/>
          <w:sz w:val="22"/>
          <w:szCs w:val="22"/>
        </w:rPr>
        <w:t>(</w:t>
      </w:r>
      <w:r w:rsidRPr="00E27D0B">
        <w:rPr>
          <w:rFonts w:asciiTheme="minorHAnsi" w:hAnsiTheme="minorHAnsi" w:cstheme="minorHAnsi"/>
          <w:sz w:val="22"/>
          <w:szCs w:val="22"/>
        </w:rPr>
        <w:t xml:space="preserve">Jane Koenigsman, </w:t>
      </w:r>
      <w:hyperlink r:id="rId11" w:history="1">
        <w:r w:rsidRPr="00E27D0B">
          <w:rPr>
            <w:rStyle w:val="Hyperlink"/>
            <w:rFonts w:asciiTheme="minorHAnsi" w:hAnsiTheme="minorHAnsi" w:cstheme="minorHAnsi"/>
            <w:sz w:val="22"/>
            <w:szCs w:val="22"/>
          </w:rPr>
          <w:t>jkoenigsman@naic.org</w:t>
        </w:r>
      </w:hyperlink>
      <w:r w:rsidRPr="00E27D0B">
        <w:rPr>
          <w:rFonts w:asciiTheme="minorHAnsi" w:hAnsiTheme="minorHAnsi" w:cstheme="minorHAnsi"/>
          <w:sz w:val="22"/>
          <w:szCs w:val="22"/>
        </w:rPr>
        <w:t xml:space="preserve"> ) for further clarification. </w:t>
      </w:r>
    </w:p>
    <w:p w14:paraId="2E45BB83" w14:textId="77777777" w:rsidR="00306D42" w:rsidRDefault="00306D42">
      <w:pPr>
        <w:rPr>
          <w:b/>
          <w:bCs/>
          <w:color w:val="000000"/>
          <w:sz w:val="22"/>
          <w:szCs w:val="22"/>
        </w:rPr>
      </w:pPr>
      <w:r>
        <w:rPr>
          <w:b/>
          <w:bCs/>
          <w:color w:val="000000"/>
          <w:sz w:val="22"/>
          <w:szCs w:val="22"/>
        </w:rPr>
        <w:br w:type="page"/>
      </w:r>
    </w:p>
    <w:p w14:paraId="4102CD47" w14:textId="46BBD0CA" w:rsidR="00FD24D0" w:rsidRPr="0015383B" w:rsidRDefault="00FD24D0" w:rsidP="002F2EA2">
      <w:pPr>
        <w:autoSpaceDE w:val="0"/>
        <w:autoSpaceDN w:val="0"/>
        <w:adjustRightInd w:val="0"/>
        <w:jc w:val="center"/>
        <w:rPr>
          <w:b/>
          <w:bCs/>
          <w:color w:val="000000"/>
          <w:sz w:val="22"/>
          <w:szCs w:val="22"/>
        </w:rPr>
      </w:pPr>
      <w:r w:rsidRPr="0015383B">
        <w:rPr>
          <w:b/>
          <w:bCs/>
          <w:color w:val="000000"/>
          <w:sz w:val="22"/>
          <w:szCs w:val="22"/>
        </w:rPr>
        <w:lastRenderedPageBreak/>
        <w:t>A</w:t>
      </w:r>
      <w:r w:rsidR="002F2EA2">
        <w:rPr>
          <w:b/>
          <w:bCs/>
          <w:color w:val="000000"/>
          <w:sz w:val="22"/>
          <w:szCs w:val="22"/>
        </w:rPr>
        <w:t>PPENDIX</w:t>
      </w:r>
      <w:r w:rsidRPr="0015383B">
        <w:rPr>
          <w:b/>
          <w:bCs/>
          <w:color w:val="000000"/>
          <w:sz w:val="22"/>
          <w:szCs w:val="22"/>
        </w:rPr>
        <w:t xml:space="preserve"> A</w:t>
      </w:r>
    </w:p>
    <w:p w14:paraId="6F28B88E" w14:textId="77777777" w:rsidR="00FD24D0" w:rsidRPr="0015383B" w:rsidRDefault="00FD24D0" w:rsidP="00FD24D0">
      <w:pPr>
        <w:autoSpaceDE w:val="0"/>
        <w:autoSpaceDN w:val="0"/>
        <w:adjustRightInd w:val="0"/>
        <w:jc w:val="both"/>
        <w:rPr>
          <w:b/>
          <w:bCs/>
          <w:color w:val="000000"/>
          <w:sz w:val="22"/>
          <w:szCs w:val="22"/>
        </w:rPr>
      </w:pPr>
    </w:p>
    <w:p w14:paraId="735A8142" w14:textId="5824F98C" w:rsidR="00FD24D0" w:rsidRPr="002F2EA2" w:rsidRDefault="00FD24D0" w:rsidP="00FD24D0">
      <w:pPr>
        <w:autoSpaceDE w:val="0"/>
        <w:autoSpaceDN w:val="0"/>
        <w:adjustRightInd w:val="0"/>
        <w:jc w:val="both"/>
        <w:rPr>
          <w:b/>
          <w:bCs/>
          <w:color w:val="000000"/>
          <w:sz w:val="22"/>
          <w:szCs w:val="22"/>
          <w:u w:val="single"/>
        </w:rPr>
      </w:pPr>
      <w:r w:rsidRPr="002F2EA2">
        <w:rPr>
          <w:b/>
          <w:bCs/>
          <w:color w:val="000000"/>
          <w:sz w:val="22"/>
          <w:szCs w:val="22"/>
          <w:u w:val="single"/>
        </w:rPr>
        <w:t>Insurer Receivership Model Act (</w:t>
      </w:r>
      <w:r w:rsidR="00520050" w:rsidRPr="002F2EA2">
        <w:rPr>
          <w:b/>
          <w:bCs/>
          <w:color w:val="000000"/>
          <w:sz w:val="22"/>
          <w:szCs w:val="22"/>
          <w:u w:val="single"/>
        </w:rPr>
        <w:t xml:space="preserve">Current 2007 Version of </w:t>
      </w:r>
      <w:r w:rsidR="00810B1A" w:rsidRPr="002F2EA2">
        <w:rPr>
          <w:b/>
          <w:bCs/>
          <w:color w:val="000000"/>
          <w:sz w:val="22"/>
          <w:szCs w:val="22"/>
          <w:u w:val="single"/>
        </w:rPr>
        <w:t xml:space="preserve">Model 555 </w:t>
      </w:r>
      <w:r w:rsidRPr="002F2EA2">
        <w:rPr>
          <w:b/>
          <w:bCs/>
          <w:color w:val="000000"/>
          <w:sz w:val="22"/>
          <w:szCs w:val="22"/>
          <w:u w:val="single"/>
        </w:rPr>
        <w:t>“</w:t>
      </w:r>
      <w:r w:rsidR="00810B1A" w:rsidRPr="002F2EA2">
        <w:rPr>
          <w:b/>
          <w:bCs/>
          <w:color w:val="000000"/>
          <w:sz w:val="22"/>
          <w:szCs w:val="22"/>
          <w:u w:val="single"/>
        </w:rPr>
        <w:t>IRMA</w:t>
      </w:r>
      <w:r w:rsidRPr="002F2EA2">
        <w:rPr>
          <w:b/>
          <w:bCs/>
          <w:color w:val="000000"/>
          <w:sz w:val="22"/>
          <w:szCs w:val="22"/>
          <w:u w:val="single"/>
        </w:rPr>
        <w:t>”</w:t>
      </w:r>
      <w:r w:rsidR="00810B1A" w:rsidRPr="002F2EA2">
        <w:rPr>
          <w:b/>
          <w:bCs/>
          <w:color w:val="000000"/>
          <w:sz w:val="22"/>
          <w:szCs w:val="22"/>
          <w:u w:val="single"/>
        </w:rPr>
        <w:t>)</w:t>
      </w:r>
    </w:p>
    <w:p w14:paraId="79A2DDCD" w14:textId="77777777" w:rsidR="00FD24D0" w:rsidRPr="0015383B" w:rsidRDefault="00FD24D0" w:rsidP="00810B1A">
      <w:pPr>
        <w:autoSpaceDE w:val="0"/>
        <w:autoSpaceDN w:val="0"/>
        <w:adjustRightInd w:val="0"/>
        <w:ind w:left="720"/>
        <w:jc w:val="both"/>
        <w:rPr>
          <w:b/>
          <w:bCs/>
          <w:color w:val="000000"/>
          <w:sz w:val="22"/>
          <w:szCs w:val="22"/>
        </w:rPr>
      </w:pPr>
    </w:p>
    <w:p w14:paraId="175E9649" w14:textId="721DBB2F" w:rsidR="00810B1A" w:rsidRPr="0015383B" w:rsidRDefault="00810B1A" w:rsidP="00633A41">
      <w:pPr>
        <w:autoSpaceDE w:val="0"/>
        <w:autoSpaceDN w:val="0"/>
        <w:adjustRightInd w:val="0"/>
        <w:jc w:val="both"/>
        <w:rPr>
          <w:b/>
          <w:bCs/>
          <w:color w:val="000000"/>
          <w:sz w:val="22"/>
          <w:szCs w:val="22"/>
        </w:rPr>
      </w:pPr>
      <w:r w:rsidRPr="0015383B">
        <w:rPr>
          <w:b/>
          <w:bCs/>
          <w:color w:val="000000"/>
          <w:sz w:val="22"/>
          <w:szCs w:val="22"/>
        </w:rPr>
        <w:t xml:space="preserve">ARTICLE VIII. DISTRIBUTIONS. </w:t>
      </w:r>
    </w:p>
    <w:p w14:paraId="47A72B6B" w14:textId="5A2DB7C6" w:rsidR="0061437C" w:rsidRPr="0015383B" w:rsidRDefault="00810B1A" w:rsidP="00633A41">
      <w:pPr>
        <w:autoSpaceDE w:val="0"/>
        <w:autoSpaceDN w:val="0"/>
        <w:adjustRightInd w:val="0"/>
        <w:jc w:val="both"/>
        <w:rPr>
          <w:b/>
          <w:bCs/>
          <w:color w:val="000000"/>
          <w:sz w:val="22"/>
          <w:szCs w:val="22"/>
        </w:rPr>
      </w:pPr>
      <w:r w:rsidRPr="0015383B">
        <w:rPr>
          <w:b/>
          <w:bCs/>
          <w:color w:val="000000"/>
          <w:sz w:val="22"/>
          <w:szCs w:val="22"/>
        </w:rPr>
        <w:t xml:space="preserve">Section 801. Priority of Distribution </w:t>
      </w:r>
    </w:p>
    <w:p w14:paraId="000116FE" w14:textId="77777777" w:rsidR="0061437C" w:rsidRPr="0015383B" w:rsidRDefault="0061437C" w:rsidP="00810B1A">
      <w:pPr>
        <w:autoSpaceDE w:val="0"/>
        <w:autoSpaceDN w:val="0"/>
        <w:adjustRightInd w:val="0"/>
        <w:ind w:left="720"/>
        <w:jc w:val="both"/>
        <w:rPr>
          <w:b/>
          <w:bCs/>
          <w:color w:val="000000"/>
          <w:sz w:val="22"/>
          <w:szCs w:val="22"/>
        </w:rPr>
      </w:pPr>
    </w:p>
    <w:p w14:paraId="62C4305E" w14:textId="1BEB690C" w:rsidR="00801BAC" w:rsidRPr="0015383B" w:rsidRDefault="00810B1A" w:rsidP="00E77B14">
      <w:pPr>
        <w:pStyle w:val="Default"/>
        <w:ind w:left="720"/>
        <w:jc w:val="both"/>
        <w:rPr>
          <w:sz w:val="22"/>
          <w:szCs w:val="22"/>
        </w:rPr>
      </w:pPr>
      <w:r w:rsidRPr="0020055E">
        <w:rPr>
          <w:sz w:val="22"/>
          <w:szCs w:val="22"/>
        </w:rPr>
        <w:t xml:space="preserve">C. </w:t>
      </w:r>
      <w:r w:rsidR="00E77B14" w:rsidRPr="0020055E">
        <w:rPr>
          <w:sz w:val="22"/>
          <w:szCs w:val="22"/>
        </w:rPr>
        <w:tab/>
      </w:r>
      <w:r w:rsidRPr="0020055E">
        <w:rPr>
          <w:sz w:val="22"/>
          <w:szCs w:val="22"/>
        </w:rPr>
        <w:t>Class. 3</w:t>
      </w:r>
      <w:r w:rsidRPr="0015383B">
        <w:rPr>
          <w:sz w:val="22"/>
          <w:szCs w:val="22"/>
        </w:rPr>
        <w:t xml:space="preserve">. All claims under policies of insurance including third party claims, </w:t>
      </w:r>
      <w:r w:rsidRPr="0015383B">
        <w:rPr>
          <w:sz w:val="22"/>
          <w:szCs w:val="22"/>
          <w:highlight w:val="lightGray"/>
        </w:rPr>
        <w:t>claims under annuity contracts and funding agreements</w:t>
      </w:r>
      <w:r w:rsidRPr="0015383B">
        <w:rPr>
          <w:sz w:val="22"/>
          <w:szCs w:val="22"/>
        </w:rPr>
        <w:t>, claims under non-assessable policies for unearned premium, claims of obligees (and, subject to the discretion of the receiver, completion contractors) under surety bonds and surety undertakings (not to include bail bonds, mortgage or financial guaranty or other forms of insurance offering protection against investment risk, or warranties), claims by principals under surety bonds and surety undertakings for wrongful dissipation of collateral by the insurer or its agents, and claims incurred during the extension of coverage provided for in Section 502</w:t>
      </w:r>
      <w:r w:rsidR="00801BAC" w:rsidRPr="0015383B">
        <w:rPr>
          <w:sz w:val="22"/>
          <w:szCs w:val="22"/>
        </w:rPr>
        <w:t xml:space="preserve">. All other claims incurred in fulfilling the statutory obligations of a guaranty association not included in Class 2, including but not limited to indemnity payments on covered claims and, in the case of a life, health and annuity guaranty association, all claims as a creditor of the impaired or insolvent insurer for all payments of and liabilities incurred on behalf of covered claims or covered obligations of the insurer and for the funds needed to reinsure those obligations with a solvent insurer. </w:t>
      </w:r>
    </w:p>
    <w:p w14:paraId="525FF870" w14:textId="77777777" w:rsidR="0015383B" w:rsidRPr="0015383B" w:rsidRDefault="0015383B" w:rsidP="00E77B14">
      <w:pPr>
        <w:pStyle w:val="Default"/>
        <w:ind w:left="720"/>
        <w:jc w:val="both"/>
        <w:rPr>
          <w:sz w:val="22"/>
          <w:szCs w:val="22"/>
        </w:rPr>
      </w:pPr>
    </w:p>
    <w:p w14:paraId="5393D6BA" w14:textId="1B807BCA" w:rsidR="00801BAC" w:rsidRPr="0015383B" w:rsidRDefault="00801BAC" w:rsidP="00E77B14">
      <w:pPr>
        <w:autoSpaceDE w:val="0"/>
        <w:autoSpaceDN w:val="0"/>
        <w:adjustRightInd w:val="0"/>
        <w:ind w:left="720"/>
        <w:jc w:val="both"/>
        <w:rPr>
          <w:sz w:val="22"/>
          <w:szCs w:val="22"/>
        </w:rPr>
      </w:pPr>
      <w:r w:rsidRPr="0015383B">
        <w:rPr>
          <w:color w:val="000000"/>
          <w:sz w:val="22"/>
          <w:szCs w:val="22"/>
        </w:rPr>
        <w:t>Notwithstanding any other provision of this Act, the following claims shall be excluded from Class 3 priority and paid as claims in Class 7, except as otherwise provided in this section:</w:t>
      </w:r>
    </w:p>
    <w:p w14:paraId="71BF70B4" w14:textId="77777777" w:rsidR="00801BAC" w:rsidRPr="0015383B" w:rsidRDefault="00801BAC" w:rsidP="00E77B14">
      <w:pPr>
        <w:autoSpaceDE w:val="0"/>
        <w:autoSpaceDN w:val="0"/>
        <w:adjustRightInd w:val="0"/>
        <w:ind w:left="720"/>
        <w:jc w:val="both"/>
        <w:rPr>
          <w:b/>
          <w:bCs/>
          <w:color w:val="000000"/>
          <w:sz w:val="22"/>
          <w:szCs w:val="22"/>
        </w:rPr>
      </w:pPr>
    </w:p>
    <w:p w14:paraId="550F270A" w14:textId="77777777" w:rsidR="00870502" w:rsidRPr="00C75B14" w:rsidRDefault="00870502" w:rsidP="00E77B14">
      <w:pPr>
        <w:autoSpaceDE w:val="0"/>
        <w:autoSpaceDN w:val="0"/>
        <w:adjustRightInd w:val="0"/>
        <w:jc w:val="both"/>
        <w:rPr>
          <w:color w:val="000000"/>
          <w:sz w:val="18"/>
          <w:szCs w:val="18"/>
        </w:rPr>
      </w:pPr>
      <w:r w:rsidRPr="00C75B14">
        <w:rPr>
          <w:b/>
          <w:bCs/>
          <w:color w:val="000000"/>
          <w:sz w:val="18"/>
          <w:szCs w:val="18"/>
        </w:rPr>
        <w:t xml:space="preserve">Drafting Note: </w:t>
      </w:r>
      <w:r w:rsidRPr="00C75B14">
        <w:rPr>
          <w:color w:val="000000"/>
          <w:sz w:val="18"/>
          <w:szCs w:val="18"/>
        </w:rPr>
        <w:t xml:space="preserve">If appropriate, states may add to Class 3: “This class shall also include indemnity payments on covered claims, unearned premiums, and payments for the continuation of coverage made by any entity responsible for the payment of claims or continuation of coverage of an insolvent health maintenance organization.” </w:t>
      </w:r>
    </w:p>
    <w:p w14:paraId="28A92950" w14:textId="77777777" w:rsidR="00870502" w:rsidRPr="0015383B" w:rsidRDefault="00870502" w:rsidP="00E77B14">
      <w:pPr>
        <w:autoSpaceDE w:val="0"/>
        <w:autoSpaceDN w:val="0"/>
        <w:adjustRightInd w:val="0"/>
        <w:jc w:val="both"/>
        <w:rPr>
          <w:color w:val="000000"/>
          <w:sz w:val="22"/>
          <w:szCs w:val="22"/>
        </w:rPr>
      </w:pPr>
    </w:p>
    <w:p w14:paraId="415982C0" w14:textId="6A1AFEAD" w:rsidR="00870502" w:rsidRPr="0015383B" w:rsidRDefault="00870502" w:rsidP="00E77B14">
      <w:pPr>
        <w:autoSpaceDE w:val="0"/>
        <w:autoSpaceDN w:val="0"/>
        <w:adjustRightInd w:val="0"/>
        <w:ind w:left="1080"/>
        <w:jc w:val="both"/>
        <w:rPr>
          <w:color w:val="000000"/>
          <w:sz w:val="22"/>
          <w:szCs w:val="22"/>
        </w:rPr>
      </w:pPr>
      <w:r w:rsidRPr="0015383B">
        <w:rPr>
          <w:color w:val="000000"/>
          <w:sz w:val="22"/>
          <w:szCs w:val="22"/>
        </w:rPr>
        <w:t xml:space="preserve">(1) Obligations of the insolvent insurer arising out of reinsurance contracts; </w:t>
      </w:r>
    </w:p>
    <w:p w14:paraId="21F9CA9B" w14:textId="77777777" w:rsidR="00870502" w:rsidRPr="0015383B" w:rsidRDefault="00870502" w:rsidP="00E77B14">
      <w:pPr>
        <w:autoSpaceDE w:val="0"/>
        <w:autoSpaceDN w:val="0"/>
        <w:adjustRightInd w:val="0"/>
        <w:ind w:left="1080"/>
        <w:jc w:val="both"/>
        <w:rPr>
          <w:color w:val="000000"/>
          <w:sz w:val="22"/>
          <w:szCs w:val="22"/>
        </w:rPr>
      </w:pPr>
      <w:r w:rsidRPr="0015383B">
        <w:rPr>
          <w:color w:val="000000"/>
          <w:sz w:val="22"/>
          <w:szCs w:val="22"/>
        </w:rPr>
        <w:t xml:space="preserve">(2) Obligations incurred pursuant to an occurrence policy, or reported pursuant to a claims made policy, after the expiration date of the insurance policy or after the policy has been replaced by the insured or canceled at the insured’s request or after the policy has been canceled as provided in this Act. Notwithstanding this subsection, unearned premium claims on policies, other than reinsurance agreements, shall not be excluded; </w:t>
      </w:r>
    </w:p>
    <w:p w14:paraId="06DE6165" w14:textId="77777777" w:rsidR="00870502" w:rsidRPr="0015383B" w:rsidRDefault="00870502" w:rsidP="00E77B14">
      <w:pPr>
        <w:autoSpaceDE w:val="0"/>
        <w:autoSpaceDN w:val="0"/>
        <w:adjustRightInd w:val="0"/>
        <w:ind w:left="1080"/>
        <w:jc w:val="both"/>
        <w:rPr>
          <w:color w:val="000000"/>
          <w:sz w:val="22"/>
          <w:szCs w:val="22"/>
        </w:rPr>
      </w:pPr>
      <w:r w:rsidRPr="0015383B">
        <w:rPr>
          <w:color w:val="000000"/>
          <w:sz w:val="22"/>
          <w:szCs w:val="22"/>
        </w:rPr>
        <w:t xml:space="preserve">(3) Obligations to insurers, insurance pools or underwriting associations and their claims for contribution, indemnity or subrogation, equitable or otherwise, except for direct claims under policies where the insurer is the named insured; </w:t>
      </w:r>
    </w:p>
    <w:p w14:paraId="1C4B254D" w14:textId="77777777" w:rsidR="00870502" w:rsidRPr="0015383B" w:rsidRDefault="00870502" w:rsidP="00E77B14">
      <w:pPr>
        <w:autoSpaceDE w:val="0"/>
        <w:autoSpaceDN w:val="0"/>
        <w:adjustRightInd w:val="0"/>
        <w:ind w:left="1080"/>
        <w:jc w:val="both"/>
        <w:rPr>
          <w:color w:val="000000"/>
          <w:sz w:val="22"/>
          <w:szCs w:val="22"/>
        </w:rPr>
      </w:pPr>
      <w:r w:rsidRPr="0015383B">
        <w:rPr>
          <w:color w:val="000000"/>
          <w:sz w:val="22"/>
          <w:szCs w:val="22"/>
        </w:rPr>
        <w:t xml:space="preserve">(4) Any amount accrued as punitive or exemplary damages unless expressly covered under the terms of the policy, which shall be paid as claims in Class 9; </w:t>
      </w:r>
    </w:p>
    <w:p w14:paraId="3F59D34A" w14:textId="77777777" w:rsidR="0015383B" w:rsidRDefault="0015383B" w:rsidP="00E77B14">
      <w:pPr>
        <w:autoSpaceDE w:val="0"/>
        <w:autoSpaceDN w:val="0"/>
        <w:adjustRightInd w:val="0"/>
        <w:jc w:val="both"/>
        <w:rPr>
          <w:b/>
          <w:bCs/>
          <w:color w:val="000000"/>
          <w:sz w:val="22"/>
          <w:szCs w:val="22"/>
        </w:rPr>
      </w:pPr>
    </w:p>
    <w:p w14:paraId="09E2CB00" w14:textId="624D0230" w:rsidR="00870502" w:rsidRPr="00C75B14" w:rsidRDefault="00870502" w:rsidP="00E77B14">
      <w:pPr>
        <w:autoSpaceDE w:val="0"/>
        <w:autoSpaceDN w:val="0"/>
        <w:adjustRightInd w:val="0"/>
        <w:jc w:val="both"/>
        <w:rPr>
          <w:color w:val="000000"/>
          <w:sz w:val="18"/>
          <w:szCs w:val="18"/>
        </w:rPr>
      </w:pPr>
      <w:r w:rsidRPr="00C75B14">
        <w:rPr>
          <w:b/>
          <w:bCs/>
          <w:color w:val="000000"/>
          <w:sz w:val="18"/>
          <w:szCs w:val="18"/>
        </w:rPr>
        <w:t xml:space="preserve">Drafting Note: </w:t>
      </w:r>
      <w:r w:rsidRPr="00C75B14">
        <w:rPr>
          <w:color w:val="000000"/>
          <w:sz w:val="18"/>
          <w:szCs w:val="18"/>
        </w:rPr>
        <w:t xml:space="preserve">In some jurisdictions the courts have held that coverage for punitive or exemplary damages may not be excluded from liability policies. </w:t>
      </w:r>
    </w:p>
    <w:p w14:paraId="5C92722D" w14:textId="77777777" w:rsidR="00870502" w:rsidRPr="0015383B" w:rsidRDefault="00870502" w:rsidP="00E77B14">
      <w:pPr>
        <w:autoSpaceDE w:val="0"/>
        <w:autoSpaceDN w:val="0"/>
        <w:adjustRightInd w:val="0"/>
        <w:ind w:left="1080"/>
        <w:jc w:val="both"/>
        <w:rPr>
          <w:color w:val="000000"/>
          <w:sz w:val="22"/>
          <w:szCs w:val="22"/>
        </w:rPr>
      </w:pPr>
      <w:r w:rsidRPr="0015383B">
        <w:rPr>
          <w:color w:val="000000"/>
          <w:sz w:val="22"/>
          <w:szCs w:val="22"/>
        </w:rPr>
        <w:t xml:space="preserve">(5) Tort claims of any kind against the insurer, and claims against the insurer for bad faith or wrongful settlement practices; and </w:t>
      </w:r>
    </w:p>
    <w:p w14:paraId="19FA7C49" w14:textId="79330482" w:rsidR="00801BAC" w:rsidRPr="0015383B" w:rsidRDefault="00870502" w:rsidP="00E77B14">
      <w:pPr>
        <w:autoSpaceDE w:val="0"/>
        <w:autoSpaceDN w:val="0"/>
        <w:adjustRightInd w:val="0"/>
        <w:ind w:left="1080"/>
        <w:jc w:val="both"/>
        <w:rPr>
          <w:b/>
          <w:bCs/>
          <w:color w:val="000000"/>
          <w:sz w:val="22"/>
          <w:szCs w:val="22"/>
        </w:rPr>
      </w:pPr>
      <w:r w:rsidRPr="0015383B">
        <w:rPr>
          <w:color w:val="000000"/>
          <w:sz w:val="22"/>
          <w:szCs w:val="22"/>
        </w:rPr>
        <w:t>(6) Claims of the guaranty associations for assessments not paid by the insurer.</w:t>
      </w:r>
    </w:p>
    <w:p w14:paraId="4D88ABEB" w14:textId="77777777" w:rsidR="00801BAC" w:rsidRDefault="00801BAC" w:rsidP="00E77B14">
      <w:pPr>
        <w:autoSpaceDE w:val="0"/>
        <w:autoSpaceDN w:val="0"/>
        <w:adjustRightInd w:val="0"/>
        <w:ind w:left="720"/>
        <w:jc w:val="both"/>
        <w:rPr>
          <w:b/>
          <w:bCs/>
          <w:color w:val="000000"/>
          <w:sz w:val="22"/>
          <w:szCs w:val="22"/>
        </w:rPr>
      </w:pPr>
    </w:p>
    <w:p w14:paraId="3FF89FF3" w14:textId="7ACC2BB5" w:rsidR="00333391" w:rsidRPr="002F2EA2" w:rsidRDefault="00801BAC" w:rsidP="00E77B14">
      <w:pPr>
        <w:autoSpaceDE w:val="0"/>
        <w:autoSpaceDN w:val="0"/>
        <w:adjustRightInd w:val="0"/>
        <w:jc w:val="both"/>
        <w:rPr>
          <w:b/>
          <w:bCs/>
          <w:color w:val="000000"/>
          <w:sz w:val="22"/>
          <w:szCs w:val="22"/>
          <w:u w:val="single"/>
        </w:rPr>
      </w:pPr>
      <w:r w:rsidRPr="002F2EA2">
        <w:rPr>
          <w:b/>
          <w:bCs/>
          <w:color w:val="000000"/>
          <w:sz w:val="22"/>
          <w:szCs w:val="22"/>
          <w:u w:val="single"/>
        </w:rPr>
        <w:t>I</w:t>
      </w:r>
      <w:r w:rsidR="00404C0C" w:rsidRPr="002F2EA2">
        <w:rPr>
          <w:b/>
          <w:bCs/>
          <w:color w:val="000000"/>
          <w:sz w:val="22"/>
          <w:szCs w:val="22"/>
          <w:u w:val="single"/>
        </w:rPr>
        <w:t>nsurers Rehabilitation and Liquidation Model Act (</w:t>
      </w:r>
      <w:r w:rsidR="00520050" w:rsidRPr="002F2EA2">
        <w:rPr>
          <w:b/>
          <w:bCs/>
          <w:color w:val="000000"/>
          <w:sz w:val="22"/>
          <w:szCs w:val="22"/>
          <w:u w:val="single"/>
        </w:rPr>
        <w:t xml:space="preserve">1999 Version of </w:t>
      </w:r>
      <w:r w:rsidR="00810B1A" w:rsidRPr="002F2EA2">
        <w:rPr>
          <w:b/>
          <w:bCs/>
          <w:color w:val="000000"/>
          <w:sz w:val="22"/>
          <w:szCs w:val="22"/>
          <w:u w:val="single"/>
        </w:rPr>
        <w:t xml:space="preserve">Model 555 </w:t>
      </w:r>
      <w:r w:rsidR="00520050" w:rsidRPr="002F2EA2">
        <w:rPr>
          <w:b/>
          <w:bCs/>
          <w:color w:val="000000"/>
          <w:sz w:val="22"/>
          <w:szCs w:val="22"/>
          <w:u w:val="single"/>
        </w:rPr>
        <w:t>“</w:t>
      </w:r>
      <w:r w:rsidR="00810B1A" w:rsidRPr="002F2EA2">
        <w:rPr>
          <w:b/>
          <w:bCs/>
          <w:color w:val="000000"/>
          <w:sz w:val="22"/>
          <w:szCs w:val="22"/>
          <w:u w:val="single"/>
        </w:rPr>
        <w:t>IRLMA</w:t>
      </w:r>
      <w:r w:rsidR="00520050" w:rsidRPr="002F2EA2">
        <w:rPr>
          <w:b/>
          <w:bCs/>
          <w:color w:val="000000"/>
          <w:sz w:val="22"/>
          <w:szCs w:val="22"/>
          <w:u w:val="single"/>
        </w:rPr>
        <w:t>”</w:t>
      </w:r>
      <w:r w:rsidR="00810B1A" w:rsidRPr="002F2EA2">
        <w:rPr>
          <w:b/>
          <w:bCs/>
          <w:color w:val="000000"/>
          <w:sz w:val="22"/>
          <w:szCs w:val="22"/>
          <w:u w:val="single"/>
        </w:rPr>
        <w:t>)</w:t>
      </w:r>
    </w:p>
    <w:p w14:paraId="6EF373B2" w14:textId="77777777" w:rsidR="009B5F10" w:rsidRPr="00A33FF0" w:rsidRDefault="009B5F10" w:rsidP="00E77B14">
      <w:pPr>
        <w:autoSpaceDE w:val="0"/>
        <w:autoSpaceDN w:val="0"/>
        <w:adjustRightInd w:val="0"/>
        <w:jc w:val="both"/>
        <w:rPr>
          <w:b/>
          <w:bCs/>
          <w:color w:val="000000"/>
          <w:sz w:val="22"/>
          <w:szCs w:val="22"/>
        </w:rPr>
      </w:pPr>
    </w:p>
    <w:p w14:paraId="7624135D" w14:textId="77777777" w:rsidR="00633A41" w:rsidRDefault="00633A41" w:rsidP="00633A41">
      <w:pPr>
        <w:spacing w:line="240" w:lineRule="atLeast"/>
        <w:rPr>
          <w:sz w:val="24"/>
        </w:rPr>
      </w:pPr>
      <w:r>
        <w:rPr>
          <w:b/>
          <w:sz w:val="24"/>
        </w:rPr>
        <w:t>Article II.  Proceedings</w:t>
      </w:r>
    </w:p>
    <w:p w14:paraId="5F543507" w14:textId="77777777" w:rsidR="00DD1BCE" w:rsidRPr="00A33FF0" w:rsidRDefault="00DD1BCE" w:rsidP="00E77B14">
      <w:pPr>
        <w:spacing w:line="240" w:lineRule="atLeast"/>
        <w:jc w:val="both"/>
        <w:rPr>
          <w:sz w:val="22"/>
          <w:szCs w:val="22"/>
        </w:rPr>
      </w:pPr>
      <w:r w:rsidRPr="00A33FF0">
        <w:rPr>
          <w:b/>
          <w:sz w:val="22"/>
          <w:szCs w:val="22"/>
        </w:rPr>
        <w:t>Section 47.</w:t>
      </w:r>
      <w:r w:rsidRPr="00A33FF0">
        <w:rPr>
          <w:b/>
          <w:sz w:val="22"/>
          <w:szCs w:val="22"/>
        </w:rPr>
        <w:tab/>
        <w:t>Priority of Distribution</w:t>
      </w:r>
    </w:p>
    <w:p w14:paraId="0D335C56" w14:textId="3A9D05FC" w:rsidR="009B5F10" w:rsidRPr="00A33FF0" w:rsidRDefault="009B5F10" w:rsidP="00E77B14">
      <w:pPr>
        <w:tabs>
          <w:tab w:val="left" w:pos="1440"/>
        </w:tabs>
        <w:spacing w:line="240" w:lineRule="atLeast"/>
        <w:ind w:left="1440" w:hanging="720"/>
        <w:jc w:val="both"/>
        <w:rPr>
          <w:sz w:val="22"/>
          <w:szCs w:val="22"/>
        </w:rPr>
      </w:pPr>
      <w:r w:rsidRPr="00A33FF0">
        <w:rPr>
          <w:sz w:val="22"/>
          <w:szCs w:val="22"/>
        </w:rPr>
        <w:t>C.</w:t>
      </w:r>
      <w:r w:rsidRPr="00A33FF0">
        <w:rPr>
          <w:sz w:val="22"/>
          <w:szCs w:val="22"/>
        </w:rPr>
        <w:tab/>
        <w:t xml:space="preserve">Class 3.  All claims under policies including claims of the federal or any state or local government for losses incurred, (“loss claims”) including third party claims, claims for unearned premiums, and all claims of a guaranty association, for payment of covered claims or covered obligations of the insurer.  All claims of a guaranty association for reasonable expenses other than those included in Class 2.  </w:t>
      </w:r>
      <w:r w:rsidRPr="0020055E">
        <w:rPr>
          <w:sz w:val="22"/>
          <w:szCs w:val="22"/>
          <w:highlight w:val="lightGray"/>
        </w:rPr>
        <w:t xml:space="preserve">All claims under life and health insurance and annuity policies, whether for death </w:t>
      </w:r>
      <w:r w:rsidRPr="0020055E">
        <w:rPr>
          <w:sz w:val="22"/>
          <w:szCs w:val="22"/>
          <w:highlight w:val="lightGray"/>
        </w:rPr>
        <w:lastRenderedPageBreak/>
        <w:t>proceeds, health benefits, annuity proceeds, or investment values shall be treated as loss claims.</w:t>
      </w:r>
      <w:r w:rsidRPr="00A33FF0">
        <w:rPr>
          <w:sz w:val="22"/>
          <w:szCs w:val="22"/>
        </w:rPr>
        <w:t xml:space="preserve">  That portion of any loss, indemnification for which is provided by other benefits or advantages recovered by the claimant, shall not be included in this class, other than benefits or advantages recovered or recoverable in discharge of familial obligation of support or by way of succession at death or as proceeds of life insurance, or as gratuities.  No payment by an employer to his employee shall be treated as a gratuity.</w:t>
      </w:r>
    </w:p>
    <w:p w14:paraId="0669FFBA" w14:textId="77777777" w:rsidR="009B5F10" w:rsidRPr="00A33FF0" w:rsidRDefault="009B5F10" w:rsidP="00E77B14">
      <w:pPr>
        <w:spacing w:line="240" w:lineRule="atLeast"/>
        <w:jc w:val="both"/>
        <w:rPr>
          <w:sz w:val="22"/>
          <w:szCs w:val="22"/>
        </w:rPr>
      </w:pPr>
    </w:p>
    <w:p w14:paraId="2B843AAF" w14:textId="77777777" w:rsidR="009B5F10" w:rsidRPr="00A33FF0" w:rsidRDefault="009B5F10" w:rsidP="00E77B14">
      <w:pPr>
        <w:spacing w:line="240" w:lineRule="atLeast"/>
        <w:ind w:left="1440"/>
        <w:jc w:val="both"/>
        <w:rPr>
          <w:sz w:val="22"/>
          <w:szCs w:val="22"/>
        </w:rPr>
      </w:pPr>
      <w:r w:rsidRPr="00A33FF0">
        <w:rPr>
          <w:sz w:val="22"/>
          <w:szCs w:val="22"/>
        </w:rPr>
        <w:t>Notwithstanding the foregoing, the following claims shall be excluded from Class 3 priority:</w:t>
      </w:r>
    </w:p>
    <w:p w14:paraId="0ACC1808" w14:textId="77777777" w:rsidR="009B5F10" w:rsidRPr="00A33FF0" w:rsidRDefault="009B5F10" w:rsidP="00E77B14">
      <w:pPr>
        <w:spacing w:line="240" w:lineRule="atLeast"/>
        <w:jc w:val="both"/>
        <w:rPr>
          <w:sz w:val="22"/>
          <w:szCs w:val="22"/>
        </w:rPr>
      </w:pPr>
    </w:p>
    <w:p w14:paraId="52C2B04A" w14:textId="77777777" w:rsidR="009B5F10" w:rsidRPr="00A33FF0" w:rsidRDefault="009B5F10" w:rsidP="00E77B14">
      <w:pPr>
        <w:tabs>
          <w:tab w:val="left" w:pos="2160"/>
        </w:tabs>
        <w:spacing w:line="240" w:lineRule="atLeast"/>
        <w:ind w:left="2160" w:hanging="720"/>
        <w:jc w:val="both"/>
        <w:rPr>
          <w:sz w:val="22"/>
          <w:szCs w:val="22"/>
        </w:rPr>
      </w:pPr>
      <w:r w:rsidRPr="00A33FF0">
        <w:rPr>
          <w:sz w:val="22"/>
          <w:szCs w:val="22"/>
        </w:rPr>
        <w:t>(1)</w:t>
      </w:r>
      <w:r w:rsidRPr="00A33FF0">
        <w:rPr>
          <w:sz w:val="22"/>
          <w:szCs w:val="22"/>
        </w:rPr>
        <w:tab/>
        <w:t>Obligations of the insolvent insurer arising out of reinsurance contracts;</w:t>
      </w:r>
    </w:p>
    <w:p w14:paraId="11F1E85E" w14:textId="77777777" w:rsidR="009B5F10" w:rsidRPr="00A33FF0" w:rsidRDefault="009B5F10" w:rsidP="00E77B14">
      <w:pPr>
        <w:tabs>
          <w:tab w:val="left" w:pos="2160"/>
        </w:tabs>
        <w:spacing w:line="240" w:lineRule="atLeast"/>
        <w:jc w:val="both"/>
        <w:rPr>
          <w:sz w:val="22"/>
          <w:szCs w:val="22"/>
        </w:rPr>
      </w:pPr>
    </w:p>
    <w:p w14:paraId="086C1DB1" w14:textId="77777777" w:rsidR="009B5F10" w:rsidRPr="00A33FF0" w:rsidRDefault="009B5F10" w:rsidP="00E77B14">
      <w:pPr>
        <w:tabs>
          <w:tab w:val="left" w:pos="2160"/>
        </w:tabs>
        <w:spacing w:line="240" w:lineRule="atLeast"/>
        <w:ind w:left="2160" w:hanging="720"/>
        <w:jc w:val="both"/>
        <w:rPr>
          <w:sz w:val="22"/>
          <w:szCs w:val="22"/>
        </w:rPr>
      </w:pPr>
      <w:r w:rsidRPr="00A33FF0">
        <w:rPr>
          <w:sz w:val="22"/>
          <w:szCs w:val="22"/>
        </w:rPr>
        <w:t>(2)</w:t>
      </w:r>
      <w:r w:rsidRPr="00A33FF0">
        <w:rPr>
          <w:sz w:val="22"/>
          <w:szCs w:val="22"/>
        </w:rPr>
        <w:tab/>
        <w:t xml:space="preserve">Obligations incurred after the expiration date of the insurance policy or after the policy has been replaced by the insured or canceled at the insured’s request or after the policy has been canceled as provided in this Act; </w:t>
      </w:r>
    </w:p>
    <w:p w14:paraId="36BBC3FA" w14:textId="77777777" w:rsidR="009B5F10" w:rsidRPr="00A33FF0" w:rsidRDefault="009B5F10" w:rsidP="00E77B14">
      <w:pPr>
        <w:spacing w:line="240" w:lineRule="atLeast"/>
        <w:jc w:val="both"/>
        <w:rPr>
          <w:sz w:val="22"/>
          <w:szCs w:val="22"/>
        </w:rPr>
      </w:pPr>
    </w:p>
    <w:p w14:paraId="5C5A1BE5" w14:textId="77777777" w:rsidR="009B5F10" w:rsidRPr="00A33FF0" w:rsidRDefault="009B5F10" w:rsidP="00E77B14">
      <w:pPr>
        <w:tabs>
          <w:tab w:val="left" w:pos="2160"/>
        </w:tabs>
        <w:spacing w:line="240" w:lineRule="atLeast"/>
        <w:ind w:left="2160" w:hanging="720"/>
        <w:jc w:val="both"/>
        <w:rPr>
          <w:sz w:val="22"/>
          <w:szCs w:val="22"/>
        </w:rPr>
      </w:pPr>
      <w:r w:rsidRPr="00A33FF0">
        <w:rPr>
          <w:sz w:val="22"/>
          <w:szCs w:val="22"/>
        </w:rPr>
        <w:t>(3)</w:t>
      </w:r>
      <w:r w:rsidRPr="00A33FF0">
        <w:rPr>
          <w:sz w:val="22"/>
          <w:szCs w:val="22"/>
        </w:rPr>
        <w:tab/>
        <w:t>Obligations to insurers, insurance pools or underwriting associations and their claims for contribution, indemnity or subrogation, equitable or otherwise;</w:t>
      </w:r>
    </w:p>
    <w:p w14:paraId="07ED0460" w14:textId="77777777" w:rsidR="009B5F10" w:rsidRPr="00A33FF0" w:rsidRDefault="009B5F10" w:rsidP="00E77B14">
      <w:pPr>
        <w:tabs>
          <w:tab w:val="left" w:pos="2160"/>
        </w:tabs>
        <w:spacing w:line="240" w:lineRule="atLeast"/>
        <w:jc w:val="both"/>
        <w:rPr>
          <w:sz w:val="22"/>
          <w:szCs w:val="22"/>
        </w:rPr>
      </w:pPr>
    </w:p>
    <w:p w14:paraId="2ACD84BC" w14:textId="77777777" w:rsidR="009B5F10" w:rsidRPr="00A33FF0" w:rsidRDefault="009B5F10" w:rsidP="00E77B14">
      <w:pPr>
        <w:tabs>
          <w:tab w:val="left" w:pos="2160"/>
        </w:tabs>
        <w:spacing w:line="240" w:lineRule="atLeast"/>
        <w:ind w:left="2160" w:hanging="720"/>
        <w:jc w:val="both"/>
        <w:rPr>
          <w:sz w:val="22"/>
          <w:szCs w:val="22"/>
        </w:rPr>
      </w:pPr>
      <w:r w:rsidRPr="00A33FF0">
        <w:rPr>
          <w:sz w:val="22"/>
          <w:szCs w:val="22"/>
        </w:rPr>
        <w:t>(4)</w:t>
      </w:r>
      <w:r w:rsidRPr="00A33FF0">
        <w:rPr>
          <w:sz w:val="22"/>
          <w:szCs w:val="22"/>
        </w:rPr>
        <w:tab/>
        <w:t>Any claim which is in excess of any applicable limits provided in the insurance policy issued by the insolvent insurer;</w:t>
      </w:r>
    </w:p>
    <w:p w14:paraId="2969DA11" w14:textId="77777777" w:rsidR="009B5F10" w:rsidRPr="00A33FF0" w:rsidRDefault="009B5F10" w:rsidP="00E77B14">
      <w:pPr>
        <w:tabs>
          <w:tab w:val="left" w:pos="2160"/>
        </w:tabs>
        <w:spacing w:line="240" w:lineRule="atLeast"/>
        <w:jc w:val="both"/>
        <w:rPr>
          <w:sz w:val="22"/>
          <w:szCs w:val="22"/>
        </w:rPr>
      </w:pPr>
    </w:p>
    <w:p w14:paraId="5CDF99BD" w14:textId="77777777" w:rsidR="009B5F10" w:rsidRPr="00A33FF0" w:rsidRDefault="009B5F10" w:rsidP="00E77B14">
      <w:pPr>
        <w:tabs>
          <w:tab w:val="left" w:pos="2160"/>
        </w:tabs>
        <w:spacing w:line="240" w:lineRule="atLeast"/>
        <w:ind w:left="2160" w:hanging="720"/>
        <w:jc w:val="both"/>
        <w:rPr>
          <w:sz w:val="22"/>
          <w:szCs w:val="22"/>
        </w:rPr>
      </w:pPr>
      <w:r w:rsidRPr="00A33FF0">
        <w:rPr>
          <w:sz w:val="22"/>
          <w:szCs w:val="22"/>
        </w:rPr>
        <w:t>(5)</w:t>
      </w:r>
      <w:r w:rsidRPr="00A33FF0">
        <w:rPr>
          <w:sz w:val="22"/>
          <w:szCs w:val="22"/>
        </w:rPr>
        <w:tab/>
        <w:t>Any amount accrued as punitive or exemplary damages unless expressly covered under the terms of the policy; and</w:t>
      </w:r>
    </w:p>
    <w:p w14:paraId="0919C027" w14:textId="77777777" w:rsidR="009B5F10" w:rsidRPr="00A33FF0" w:rsidRDefault="009B5F10" w:rsidP="00E77B14">
      <w:pPr>
        <w:tabs>
          <w:tab w:val="left" w:pos="2160"/>
        </w:tabs>
        <w:spacing w:line="240" w:lineRule="atLeast"/>
        <w:jc w:val="both"/>
        <w:rPr>
          <w:sz w:val="22"/>
          <w:szCs w:val="22"/>
        </w:rPr>
      </w:pPr>
    </w:p>
    <w:p w14:paraId="3BED5F80" w14:textId="5A464839" w:rsidR="009B5F10" w:rsidRPr="00C75B14" w:rsidRDefault="009B5F10" w:rsidP="00E77B14">
      <w:pPr>
        <w:tabs>
          <w:tab w:val="left" w:pos="2160"/>
        </w:tabs>
        <w:spacing w:line="240" w:lineRule="atLeast"/>
        <w:jc w:val="both"/>
        <w:rPr>
          <w:sz w:val="18"/>
          <w:szCs w:val="18"/>
        </w:rPr>
      </w:pPr>
      <w:r w:rsidRPr="00C75B14">
        <w:rPr>
          <w:b/>
          <w:sz w:val="18"/>
          <w:szCs w:val="18"/>
        </w:rPr>
        <w:t>Drafting Note:</w:t>
      </w:r>
      <w:r w:rsidRPr="00C75B14">
        <w:rPr>
          <w:sz w:val="18"/>
          <w:szCs w:val="18"/>
        </w:rPr>
        <w:t xml:space="preserve"> In some jurisdictions the courts have held that coverage for punitive or exemplary damages may not be excluded from liability policies.</w:t>
      </w:r>
    </w:p>
    <w:p w14:paraId="1C758858" w14:textId="77777777" w:rsidR="009B5F10" w:rsidRPr="00A33FF0" w:rsidRDefault="009B5F10" w:rsidP="00E77B14">
      <w:pPr>
        <w:tabs>
          <w:tab w:val="left" w:pos="2160"/>
        </w:tabs>
        <w:spacing w:line="240" w:lineRule="atLeast"/>
        <w:jc w:val="both"/>
        <w:rPr>
          <w:sz w:val="22"/>
          <w:szCs w:val="22"/>
        </w:rPr>
      </w:pPr>
    </w:p>
    <w:p w14:paraId="63FC5F73" w14:textId="77777777" w:rsidR="009B5F10" w:rsidRPr="00A33FF0" w:rsidRDefault="009B5F10" w:rsidP="00E77B14">
      <w:pPr>
        <w:tabs>
          <w:tab w:val="left" w:pos="2160"/>
        </w:tabs>
        <w:spacing w:line="240" w:lineRule="atLeast"/>
        <w:ind w:left="2160" w:hanging="720"/>
        <w:jc w:val="both"/>
        <w:rPr>
          <w:sz w:val="22"/>
          <w:szCs w:val="22"/>
        </w:rPr>
      </w:pPr>
      <w:r w:rsidRPr="00A33FF0">
        <w:rPr>
          <w:sz w:val="22"/>
          <w:szCs w:val="22"/>
        </w:rPr>
        <w:t>(6)</w:t>
      </w:r>
      <w:r w:rsidRPr="00A33FF0">
        <w:rPr>
          <w:sz w:val="22"/>
          <w:szCs w:val="22"/>
        </w:rPr>
        <w:tab/>
        <w:t>Tort claims of any kind against the insurer, and claims against the insurer for bad faith or wrongful settlement practices.</w:t>
      </w:r>
    </w:p>
    <w:p w14:paraId="63E6A38E" w14:textId="77777777" w:rsidR="009B5F10" w:rsidRPr="00A33FF0" w:rsidRDefault="009B5F10" w:rsidP="009B5F10">
      <w:pPr>
        <w:tabs>
          <w:tab w:val="left" w:pos="2160"/>
        </w:tabs>
        <w:spacing w:line="240" w:lineRule="atLeast"/>
        <w:jc w:val="both"/>
        <w:rPr>
          <w:sz w:val="22"/>
          <w:szCs w:val="22"/>
        </w:rPr>
      </w:pPr>
    </w:p>
    <w:p w14:paraId="1E8302CD" w14:textId="30A64F30" w:rsidR="00FB6161" w:rsidRPr="002F2EA2" w:rsidRDefault="00FB6161" w:rsidP="00FB6161">
      <w:pPr>
        <w:autoSpaceDE w:val="0"/>
        <w:autoSpaceDN w:val="0"/>
        <w:adjustRightInd w:val="0"/>
        <w:jc w:val="both"/>
        <w:rPr>
          <w:b/>
          <w:bCs/>
          <w:color w:val="000000"/>
          <w:sz w:val="22"/>
          <w:szCs w:val="22"/>
          <w:u w:val="single"/>
        </w:rPr>
      </w:pPr>
      <w:r w:rsidRPr="002F2EA2">
        <w:rPr>
          <w:b/>
          <w:bCs/>
          <w:color w:val="000000"/>
          <w:sz w:val="22"/>
          <w:szCs w:val="22"/>
          <w:u w:val="single"/>
        </w:rPr>
        <w:t xml:space="preserve">Insurers </w:t>
      </w:r>
      <w:r>
        <w:rPr>
          <w:b/>
          <w:bCs/>
          <w:color w:val="000000"/>
          <w:sz w:val="22"/>
          <w:szCs w:val="22"/>
          <w:u w:val="single"/>
        </w:rPr>
        <w:t xml:space="preserve">Supervisions, </w:t>
      </w:r>
      <w:r w:rsidRPr="002F2EA2">
        <w:rPr>
          <w:b/>
          <w:bCs/>
          <w:color w:val="000000"/>
          <w:sz w:val="22"/>
          <w:szCs w:val="22"/>
          <w:u w:val="single"/>
        </w:rPr>
        <w:t>Rehabilitation and Liquidation Model Act (19</w:t>
      </w:r>
      <w:r w:rsidR="00D16CD6">
        <w:rPr>
          <w:b/>
          <w:bCs/>
          <w:color w:val="000000"/>
          <w:sz w:val="22"/>
          <w:szCs w:val="22"/>
          <w:u w:val="single"/>
        </w:rPr>
        <w:t>77</w:t>
      </w:r>
      <w:r w:rsidRPr="002F2EA2">
        <w:rPr>
          <w:b/>
          <w:bCs/>
          <w:color w:val="000000"/>
          <w:sz w:val="22"/>
          <w:szCs w:val="22"/>
          <w:u w:val="single"/>
        </w:rPr>
        <w:t xml:space="preserve"> Version of Model 555)</w:t>
      </w:r>
    </w:p>
    <w:p w14:paraId="230F267A" w14:textId="77777777" w:rsidR="00FB6161" w:rsidRPr="00A33FF0" w:rsidRDefault="00FB6161" w:rsidP="00FB6161">
      <w:pPr>
        <w:autoSpaceDE w:val="0"/>
        <w:autoSpaceDN w:val="0"/>
        <w:adjustRightInd w:val="0"/>
        <w:jc w:val="both"/>
        <w:rPr>
          <w:b/>
          <w:bCs/>
          <w:color w:val="000000"/>
          <w:sz w:val="22"/>
          <w:szCs w:val="22"/>
        </w:rPr>
      </w:pPr>
    </w:p>
    <w:p w14:paraId="1743CC0C" w14:textId="5F76C848" w:rsidR="00FB6161" w:rsidRDefault="00FB6161" w:rsidP="00FB6161">
      <w:pPr>
        <w:spacing w:line="240" w:lineRule="atLeast"/>
        <w:rPr>
          <w:sz w:val="24"/>
        </w:rPr>
      </w:pPr>
      <w:r>
        <w:rPr>
          <w:b/>
          <w:sz w:val="24"/>
        </w:rPr>
        <w:t>Article I</w:t>
      </w:r>
      <w:r w:rsidR="007A2841">
        <w:rPr>
          <w:b/>
          <w:sz w:val="24"/>
        </w:rPr>
        <w:t>I</w:t>
      </w:r>
      <w:r>
        <w:rPr>
          <w:b/>
          <w:sz w:val="24"/>
        </w:rPr>
        <w:t xml:space="preserve">I.  </w:t>
      </w:r>
      <w:r w:rsidR="007A2841">
        <w:rPr>
          <w:b/>
          <w:sz w:val="24"/>
        </w:rPr>
        <w:t xml:space="preserve">Formal </w:t>
      </w:r>
      <w:r>
        <w:rPr>
          <w:b/>
          <w:sz w:val="24"/>
        </w:rPr>
        <w:t>Proceedings</w:t>
      </w:r>
    </w:p>
    <w:p w14:paraId="1EF7A4E7" w14:textId="78BFBBA7" w:rsidR="00FB6161" w:rsidRPr="00A33FF0" w:rsidRDefault="00FB6161" w:rsidP="00FB6161">
      <w:pPr>
        <w:spacing w:line="240" w:lineRule="atLeast"/>
        <w:jc w:val="both"/>
        <w:rPr>
          <w:sz w:val="22"/>
          <w:szCs w:val="22"/>
        </w:rPr>
      </w:pPr>
      <w:r w:rsidRPr="00A33FF0">
        <w:rPr>
          <w:b/>
          <w:sz w:val="22"/>
          <w:szCs w:val="22"/>
        </w:rPr>
        <w:t>Section 4</w:t>
      </w:r>
      <w:r>
        <w:rPr>
          <w:b/>
          <w:sz w:val="22"/>
          <w:szCs w:val="22"/>
        </w:rPr>
        <w:t>2</w:t>
      </w:r>
      <w:r w:rsidRPr="00A33FF0">
        <w:rPr>
          <w:b/>
          <w:sz w:val="22"/>
          <w:szCs w:val="22"/>
        </w:rPr>
        <w:t>.</w:t>
      </w:r>
      <w:r w:rsidRPr="00A33FF0">
        <w:rPr>
          <w:b/>
          <w:sz w:val="22"/>
          <w:szCs w:val="22"/>
        </w:rPr>
        <w:tab/>
        <w:t>Priority of Distribution</w:t>
      </w:r>
    </w:p>
    <w:p w14:paraId="32BF063D" w14:textId="77777777" w:rsidR="00D16CD6" w:rsidRDefault="00D16CD6" w:rsidP="00FD24D0">
      <w:pPr>
        <w:autoSpaceDE w:val="0"/>
        <w:autoSpaceDN w:val="0"/>
        <w:adjustRightInd w:val="0"/>
        <w:jc w:val="both"/>
        <w:rPr>
          <w:b/>
          <w:bCs/>
          <w:color w:val="000000"/>
          <w:sz w:val="22"/>
          <w:szCs w:val="22"/>
        </w:rPr>
      </w:pPr>
    </w:p>
    <w:p w14:paraId="028D9901" w14:textId="655F10B9" w:rsidR="009B5F10" w:rsidRPr="00A33FF0" w:rsidRDefault="00D16CD6" w:rsidP="00FD24D0">
      <w:pPr>
        <w:autoSpaceDE w:val="0"/>
        <w:autoSpaceDN w:val="0"/>
        <w:adjustRightInd w:val="0"/>
        <w:jc w:val="both"/>
        <w:rPr>
          <w:b/>
          <w:bCs/>
          <w:color w:val="000000"/>
          <w:sz w:val="22"/>
          <w:szCs w:val="22"/>
        </w:rPr>
      </w:pPr>
      <w:r w:rsidRPr="0020055E">
        <w:rPr>
          <w:color w:val="000000"/>
          <w:sz w:val="22"/>
          <w:szCs w:val="22"/>
        </w:rPr>
        <w:t xml:space="preserve">C. </w:t>
      </w:r>
      <w:r w:rsidRPr="0020055E">
        <w:rPr>
          <w:color w:val="000000"/>
          <w:sz w:val="22"/>
          <w:szCs w:val="22"/>
        </w:rPr>
        <w:tab/>
      </w:r>
      <w:r w:rsidRPr="00D16CD6">
        <w:rPr>
          <w:color w:val="000000"/>
          <w:sz w:val="22"/>
          <w:szCs w:val="22"/>
        </w:rPr>
        <w:t xml:space="preserve">Class 3. All claims under policies for losses incurred, including third party claims, all claims against the insurer for liability for bodily injury or for injury to or destruction of tangible property which are not under policies, and all claims of a guaranty association or foreign guaranty association. </w:t>
      </w:r>
      <w:r w:rsidRPr="0020055E">
        <w:rPr>
          <w:color w:val="000000"/>
          <w:sz w:val="22"/>
          <w:szCs w:val="22"/>
          <w:highlight w:val="lightGray"/>
        </w:rPr>
        <w:t>All claims under life insurance and annuity policies, whether for death proceeds, annuity proceeds, or investment values shall be treated as loss claims.</w:t>
      </w:r>
      <w:r w:rsidRPr="00D16CD6">
        <w:rPr>
          <w:color w:val="000000"/>
          <w:sz w:val="22"/>
          <w:szCs w:val="22"/>
        </w:rPr>
        <w:t xml:space="preserve"> That portion of any loss, indemnification for which is provided by other benefits or advantages recovered by the claimant, shall not be included in this class, other than benefits or advantages recovered or recoverable in discharge of familial obligations of support or by way of succession at death or as proceeds of life insurance, or as gratuities. No payment by an employer to his employee shall be treated as a gratuity.</w:t>
      </w:r>
    </w:p>
    <w:sectPr w:rsidR="009B5F10" w:rsidRPr="00A33FF0" w:rsidSect="00476557">
      <w:headerReference w:type="even" r:id="rId12"/>
      <w:headerReference w:type="default" r:id="rId13"/>
      <w:footerReference w:type="even" r:id="rId14"/>
      <w:footerReference w:type="default" r:id="rId15"/>
      <w:headerReference w:type="first" r:id="rId16"/>
      <w:footerReference w:type="first" r:id="rId17"/>
      <w:pgSz w:w="12240" w:h="15840" w:code="1"/>
      <w:pgMar w:top="1080" w:right="1080" w:bottom="1080" w:left="1080" w:header="720" w:footer="30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396E2" w14:textId="77777777" w:rsidR="00B919C6" w:rsidRDefault="00B919C6">
      <w:r>
        <w:separator/>
      </w:r>
    </w:p>
  </w:endnote>
  <w:endnote w:type="continuationSeparator" w:id="0">
    <w:p w14:paraId="7FF75CE0" w14:textId="77777777" w:rsidR="00B919C6" w:rsidRDefault="00B919C6">
      <w:r>
        <w:continuationSeparator/>
      </w:r>
    </w:p>
  </w:endnote>
  <w:endnote w:type="continuationNotice" w:id="1">
    <w:p w14:paraId="22B0D1C1" w14:textId="77777777" w:rsidR="00B919C6" w:rsidRDefault="00B919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DF52B" w14:textId="3CF137C3" w:rsidR="007E2810" w:rsidRDefault="007E2810" w:rsidP="00717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C7B26">
      <w:rPr>
        <w:rStyle w:val="PageNumber"/>
        <w:noProof/>
      </w:rPr>
      <w:t>2</w:t>
    </w:r>
    <w:r>
      <w:rPr>
        <w:rStyle w:val="PageNumber"/>
      </w:rPr>
      <w:fldChar w:fldCharType="end"/>
    </w:r>
  </w:p>
  <w:p w14:paraId="1DF31E4F" w14:textId="77777777" w:rsidR="007E2810" w:rsidRDefault="007E28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9FDE0" w14:textId="0B110701" w:rsidR="007E2810" w:rsidRPr="002001A2" w:rsidRDefault="00D2255A" w:rsidP="00717DA4">
    <w:pPr>
      <w:pStyle w:val="Footer"/>
      <w:framePr w:wrap="around" w:vAnchor="text" w:hAnchor="margin" w:xAlign="center" w:y="1"/>
      <w:rPr>
        <w:rStyle w:val="PageNumbe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57216" behindDoc="0" locked="0" layoutInCell="0" allowOverlap="1" wp14:anchorId="27466F8E" wp14:editId="37089F42">
              <wp:simplePos x="0" y="0"/>
              <wp:positionH relativeFrom="page">
                <wp:posOffset>0</wp:posOffset>
              </wp:positionH>
              <wp:positionV relativeFrom="page">
                <wp:posOffset>9594215</wp:posOffset>
              </wp:positionV>
              <wp:extent cx="7772400" cy="273050"/>
              <wp:effectExtent l="0" t="0" r="0" b="12700"/>
              <wp:wrapNone/>
              <wp:docPr id="1" name="MSIPCMc8ed42adbe7dff014bcf7da0" descr="{&quot;HashCode&quot;:1071427657,&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9770FD" w14:textId="271817CC" w:rsidR="00D2255A" w:rsidRPr="00D2255A" w:rsidRDefault="00D2255A" w:rsidP="00D2255A">
                          <w:pPr>
                            <w:jc w:val="center"/>
                            <w:rPr>
                              <w:rFonts w:ascii="Calibri" w:hAnsi="Calibri" w:cs="Calibri"/>
                              <w:color w:val="000000"/>
                            </w:rPr>
                          </w:pPr>
                          <w:r w:rsidRPr="00D2255A">
                            <w:rPr>
                              <w:rFonts w:ascii="Calibri" w:hAnsi="Calibri" w:cs="Calibri"/>
                              <w:color w:val="000000"/>
                            </w:rPr>
                            <w:t>Confidential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7466F8E" id="_x0000_t202" coordsize="21600,21600" o:spt="202" path="m,l,21600r21600,l21600,xe">
              <v:stroke joinstyle="miter"/>
              <v:path gradientshapeok="t" o:connecttype="rect"/>
            </v:shapetype>
            <v:shape id="MSIPCMc8ed42adbe7dff014bcf7da0" o:spid="_x0000_s1026" type="#_x0000_t202" alt="{&quot;HashCode&quot;:1071427657,&quot;Height&quot;:792.0,&quot;Width&quot;:612.0,&quot;Placement&quot;:&quot;Footer&quot;,&quot;Index&quot;:&quot;Primary&quot;,&quot;Section&quot;:1,&quot;Top&quot;:0.0,&quot;Left&quot;:0.0}" style="position:absolute;margin-left:0;margin-top:755.45pt;width:612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WEwIAACQEAAAOAAAAZHJzL2Uyb0RvYy54bWysU99v2jAQfp+0/8Hy+0igrGwRoWKtmCah&#10;thKd+mwcm0SyfZ5tSNhfv7MToGv7NO3Fudyd78f3fZ7fdFqRg3C+AVPS8SinRBgOVWN2Jf35tPr0&#10;hRIfmKmYAiNKehSe3iw+fpi3thATqEFVwhEsYnzR2pLWIdgiyzyvhWZ+BFYYDEpwmgX8dbuscqzF&#10;6lplkzy/zlpwlXXAhffoveuDdJHqSyl4eJDSi0BUSXG2kE6Xzm08s8WcFTvHbN3wYQz2D1No1hhs&#10;ei51xwIje9e8KaUb7sCDDCMOOgMpGy7SDrjNOH+1zaZmVqRdEBxvzzD5/1eW3x829tGR0H2DDgmM&#10;gLTWFx6dcZ9OOh2/OCnBOEJ4PMMmukA4Omez2WSaY4hjbDK7yj8nXLPLbet8+C5Ak2iU1CEtCS12&#10;WPuAHTH1lBKbGVg1SiVqlCFtSa+vsORfEbyhDF68zBqt0G27YYEtVEfcy0FPubd81WDzNfPhkTnk&#10;GOdF3YYHPKQCbAKDRUkN7vd7/piP0GOUkhY1U1L/a8+coET9MEjK1/F0GkWWftBwL73bk9fs9S2g&#10;HMf4MixPZswN6mRKB/oZZb2M3TDEDMeeJd2ezNvQKxifBRfLZUpCOVkW1mZjeSwdwYqQPnXPzNkB&#10;94CM3cNJVax4BX+f28O83AeQTeImAtujOeCNUkyUDc8mav3lf8q6PO7FHwAAAP//AwBQSwMEFAAG&#10;AAgAAAAhAPumCdHeAAAACwEAAA8AAABkcnMvZG93bnJldi54bWxMj81OwzAQhO9IvIO1SNyo09Ai&#10;EuJUCMQFCaEWxNmJNz9NvI5it03ens0JjvvNaHYm2022F2ccfetIwXoVgUAqnWmpVvD99Xb3CMIH&#10;TUb3jlDBjB52+fVVplPjLrTH8yHUgkPIp1pBE8KQSunLBq32KzcgsVa50erA51hLM+oLh9texlH0&#10;IK1uiT80esCXBsvucLIKNp9JUcljZ48f8/s8t13181pUSt3eTM9PIAJO4c8MS32uDjl3KtyJjBe9&#10;Ah4SmG7XUQJi0eN4w6xY2PY+AZln8v+G/BcAAP//AwBQSwECLQAUAAYACAAAACEAtoM4kv4AAADh&#10;AQAAEwAAAAAAAAAAAAAAAAAAAAAAW0NvbnRlbnRfVHlwZXNdLnhtbFBLAQItABQABgAIAAAAIQA4&#10;/SH/1gAAAJQBAAALAAAAAAAAAAAAAAAAAC8BAABfcmVscy8ucmVsc1BLAQItABQABgAIAAAAIQDT&#10;rrUWEwIAACQEAAAOAAAAAAAAAAAAAAAAAC4CAABkcnMvZTJvRG9jLnhtbFBLAQItABQABgAIAAAA&#10;IQD7pgnR3gAAAAsBAAAPAAAAAAAAAAAAAAAAAG0EAABkcnMvZG93bnJldi54bWxQSwUGAAAAAAQA&#10;BADzAAAAeAUAAAAA&#10;" o:allowincell="f" filled="f" stroked="f" strokeweight=".5pt">
              <v:textbox inset=",0,,0">
                <w:txbxContent>
                  <w:p w14:paraId="659770FD" w14:textId="271817CC" w:rsidR="00D2255A" w:rsidRPr="00D2255A" w:rsidRDefault="00D2255A" w:rsidP="00D2255A">
                    <w:pPr>
                      <w:jc w:val="center"/>
                      <w:rPr>
                        <w:rFonts w:ascii="Calibri" w:hAnsi="Calibri" w:cs="Calibri"/>
                        <w:color w:val="000000"/>
                      </w:rPr>
                    </w:pPr>
                    <w:r w:rsidRPr="00D2255A">
                      <w:rPr>
                        <w:rFonts w:ascii="Calibri" w:hAnsi="Calibri" w:cs="Calibri"/>
                        <w:color w:val="000000"/>
                      </w:rPr>
                      <w:t>Confidential</w:t>
                    </w:r>
                  </w:p>
                </w:txbxContent>
              </v:textbox>
              <w10:wrap anchorx="page" anchory="page"/>
            </v:shape>
          </w:pict>
        </mc:Fallback>
      </mc:AlternateContent>
    </w:r>
    <w:r w:rsidR="007E2810" w:rsidRPr="002001A2">
      <w:rPr>
        <w:rStyle w:val="PageNumber"/>
        <w:rFonts w:asciiTheme="minorHAnsi" w:hAnsiTheme="minorHAnsi" w:cstheme="minorHAnsi"/>
      </w:rPr>
      <w:fldChar w:fldCharType="begin"/>
    </w:r>
    <w:r w:rsidR="007E2810" w:rsidRPr="002001A2">
      <w:rPr>
        <w:rStyle w:val="PageNumber"/>
        <w:rFonts w:asciiTheme="minorHAnsi" w:hAnsiTheme="minorHAnsi" w:cstheme="minorHAnsi"/>
      </w:rPr>
      <w:instrText xml:space="preserve">PAGE  </w:instrText>
    </w:r>
    <w:r w:rsidR="007E2810" w:rsidRPr="002001A2">
      <w:rPr>
        <w:rStyle w:val="PageNumber"/>
        <w:rFonts w:asciiTheme="minorHAnsi" w:hAnsiTheme="minorHAnsi" w:cstheme="minorHAnsi"/>
      </w:rPr>
      <w:fldChar w:fldCharType="separate"/>
    </w:r>
    <w:r w:rsidR="007E2810" w:rsidRPr="002001A2">
      <w:rPr>
        <w:rStyle w:val="PageNumber"/>
        <w:rFonts w:asciiTheme="minorHAnsi" w:hAnsiTheme="minorHAnsi" w:cstheme="minorHAnsi"/>
        <w:noProof/>
      </w:rPr>
      <w:t>2</w:t>
    </w:r>
    <w:r w:rsidR="007E2810" w:rsidRPr="002001A2">
      <w:rPr>
        <w:rStyle w:val="PageNumber"/>
        <w:rFonts w:asciiTheme="minorHAnsi" w:hAnsiTheme="minorHAnsi" w:cstheme="minorHAnsi"/>
      </w:rPr>
      <w:fldChar w:fldCharType="end"/>
    </w:r>
  </w:p>
  <w:p w14:paraId="20BD654D" w14:textId="77777777" w:rsidR="007E2810" w:rsidRDefault="007E2810">
    <w:pPr>
      <w:pStyle w:val="Footer"/>
    </w:pPr>
  </w:p>
  <w:p w14:paraId="18BD38AF" w14:textId="77777777" w:rsidR="00A712B6" w:rsidRDefault="00A712B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C1A2" w14:textId="58F2A06B" w:rsidR="007E2810" w:rsidRDefault="007E2810" w:rsidP="00A85DBA">
    <w:pPr>
      <w:pStyle w:val="Footer"/>
      <w:jc w:val="center"/>
      <w:rPr>
        <w:lang w:eastAsia="zh-CN"/>
      </w:rPr>
    </w:pPr>
    <w:r>
      <w:rPr>
        <w:noProof/>
      </w:rPr>
      <w:drawing>
        <wp:inline distT="0" distB="0" distL="0" distR="0" wp14:anchorId="194BEDF0" wp14:editId="10F3D4AD">
          <wp:extent cx="6394450" cy="762000"/>
          <wp:effectExtent l="0" t="0" r="6350" b="0"/>
          <wp:docPr id="2" name="Picture 2" descr="naic_cipr_letterhead_footer_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ic_cipr_letterhead_footer_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0" cy="762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9A273" w14:textId="77777777" w:rsidR="00B919C6" w:rsidRDefault="00B919C6">
      <w:r>
        <w:separator/>
      </w:r>
    </w:p>
  </w:footnote>
  <w:footnote w:type="continuationSeparator" w:id="0">
    <w:p w14:paraId="7B63936B" w14:textId="77777777" w:rsidR="00B919C6" w:rsidRDefault="00B919C6">
      <w:r>
        <w:continuationSeparator/>
      </w:r>
    </w:p>
  </w:footnote>
  <w:footnote w:type="continuationNotice" w:id="1">
    <w:p w14:paraId="52F299E4" w14:textId="77777777" w:rsidR="00B919C6" w:rsidRDefault="00B919C6"/>
  </w:footnote>
  <w:footnote w:id="2">
    <w:p w14:paraId="107AAB7E" w14:textId="5438909E" w:rsidR="00EC180C" w:rsidRPr="00E960A2" w:rsidRDefault="00EC180C" w:rsidP="004A054B">
      <w:pPr>
        <w:pStyle w:val="FootnoteText"/>
        <w:jc w:val="both"/>
        <w:rPr>
          <w:rFonts w:asciiTheme="minorHAnsi" w:hAnsiTheme="minorHAnsi" w:cstheme="minorHAnsi"/>
          <w:sz w:val="18"/>
          <w:szCs w:val="18"/>
        </w:rPr>
      </w:pPr>
      <w:r w:rsidRPr="00E960A2">
        <w:rPr>
          <w:rStyle w:val="FootnoteReference"/>
          <w:rFonts w:asciiTheme="minorHAnsi" w:hAnsiTheme="minorHAnsi" w:cstheme="minorHAnsi"/>
          <w:sz w:val="18"/>
          <w:szCs w:val="18"/>
        </w:rPr>
        <w:footnoteRef/>
      </w:r>
      <w:r w:rsidRPr="00E960A2">
        <w:rPr>
          <w:rFonts w:asciiTheme="minorHAnsi" w:hAnsiTheme="minorHAnsi" w:cstheme="minorHAnsi"/>
          <w:sz w:val="18"/>
          <w:szCs w:val="18"/>
        </w:rPr>
        <w:t xml:space="preserve"> </w:t>
      </w:r>
      <w:r w:rsidRPr="00E960A2">
        <w:rPr>
          <w:rFonts w:asciiTheme="minorHAnsi" w:hAnsiTheme="minorHAnsi" w:cstheme="minorHAnsi"/>
          <w:i/>
          <w:iCs/>
          <w:sz w:val="18"/>
          <w:szCs w:val="18"/>
        </w:rPr>
        <w:t>NAIC Proceedings – Summer 2026, Receivership and Insolvency (E) Task Forc</w:t>
      </w:r>
      <w:r w:rsidR="002C19C4" w:rsidRPr="00E960A2">
        <w:rPr>
          <w:rFonts w:asciiTheme="minorHAnsi" w:hAnsiTheme="minorHAnsi" w:cstheme="minorHAnsi"/>
          <w:i/>
          <w:iCs/>
          <w:sz w:val="18"/>
          <w:szCs w:val="18"/>
        </w:rPr>
        <w:t>e,</w:t>
      </w:r>
      <w:r w:rsidRPr="00E960A2">
        <w:rPr>
          <w:rFonts w:asciiTheme="minorHAnsi" w:hAnsiTheme="minorHAnsi" w:cstheme="minorHAnsi"/>
          <w:sz w:val="18"/>
          <w:szCs w:val="18"/>
        </w:rPr>
        <w:t xml:space="preserve"> </w:t>
      </w:r>
      <w:r w:rsidR="002C19C4" w:rsidRPr="00E960A2">
        <w:rPr>
          <w:rFonts w:asciiTheme="minorHAnsi" w:hAnsiTheme="minorHAnsi" w:cstheme="minorHAnsi"/>
          <w:sz w:val="18"/>
          <w:szCs w:val="18"/>
        </w:rPr>
        <w:t>a</w:t>
      </w:r>
      <w:r w:rsidRPr="00E960A2">
        <w:rPr>
          <w:rFonts w:asciiTheme="minorHAnsi" w:hAnsiTheme="minorHAnsi" w:cstheme="minorHAnsi"/>
          <w:sz w:val="18"/>
          <w:szCs w:val="18"/>
        </w:rPr>
        <w:t xml:space="preserve">ttachment </w:t>
      </w:r>
      <w:r w:rsidR="00A862C7" w:rsidRPr="00E960A2">
        <w:rPr>
          <w:rFonts w:asciiTheme="minorHAnsi" w:hAnsiTheme="minorHAnsi" w:cstheme="minorHAnsi"/>
          <w:sz w:val="18"/>
          <w:szCs w:val="18"/>
        </w:rPr>
        <w:t>T</w:t>
      </w:r>
      <w:r w:rsidRPr="00E960A2">
        <w:rPr>
          <w:rFonts w:asciiTheme="minorHAnsi" w:hAnsiTheme="minorHAnsi" w:cstheme="minorHAnsi"/>
          <w:sz w:val="18"/>
          <w:szCs w:val="18"/>
        </w:rPr>
        <w:t>hree</w:t>
      </w:r>
      <w:r w:rsidR="00EE7E0B" w:rsidRPr="00E960A2">
        <w:rPr>
          <w:rFonts w:asciiTheme="minorHAnsi" w:hAnsiTheme="minorHAnsi" w:cstheme="minorHAnsi"/>
          <w:sz w:val="18"/>
          <w:szCs w:val="18"/>
        </w:rPr>
        <w:t>, for related materials</w:t>
      </w:r>
      <w:r w:rsidRPr="00E960A2">
        <w:rPr>
          <w:rFonts w:asciiTheme="minorHAnsi" w:hAnsiTheme="minorHAnsi" w:cstheme="minorHAnsi"/>
          <w:sz w:val="18"/>
          <w:szCs w:val="18"/>
        </w:rPr>
        <w:t>.</w:t>
      </w:r>
    </w:p>
  </w:footnote>
  <w:footnote w:id="3">
    <w:p w14:paraId="02E8DCCF" w14:textId="7A626CCC" w:rsidR="003E1A80" w:rsidRPr="00E960A2" w:rsidRDefault="003E1A80" w:rsidP="004A054B">
      <w:pPr>
        <w:pStyle w:val="FootnoteText"/>
        <w:jc w:val="both"/>
        <w:rPr>
          <w:rFonts w:asciiTheme="minorHAnsi" w:hAnsiTheme="minorHAnsi" w:cstheme="minorHAnsi"/>
          <w:sz w:val="18"/>
          <w:szCs w:val="18"/>
        </w:rPr>
      </w:pPr>
      <w:r w:rsidRPr="00E960A2">
        <w:rPr>
          <w:rStyle w:val="FootnoteReference"/>
          <w:rFonts w:asciiTheme="minorHAnsi" w:hAnsiTheme="minorHAnsi" w:cstheme="minorHAnsi"/>
          <w:sz w:val="18"/>
          <w:szCs w:val="18"/>
        </w:rPr>
        <w:footnoteRef/>
      </w:r>
      <w:r w:rsidRPr="00E960A2">
        <w:rPr>
          <w:rFonts w:asciiTheme="minorHAnsi" w:hAnsiTheme="minorHAnsi" w:cstheme="minorHAnsi"/>
          <w:sz w:val="18"/>
          <w:szCs w:val="18"/>
        </w:rPr>
        <w:t xml:space="preserve"> </w:t>
      </w:r>
      <w:r w:rsidR="00990781">
        <w:rPr>
          <w:rFonts w:asciiTheme="minorHAnsi" w:hAnsiTheme="minorHAnsi" w:cstheme="minorHAnsi"/>
          <w:sz w:val="18"/>
          <w:szCs w:val="18"/>
        </w:rPr>
        <w:t>Historical examples</w:t>
      </w:r>
      <w:r w:rsidR="00B2642D" w:rsidRPr="00E960A2">
        <w:rPr>
          <w:rFonts w:asciiTheme="minorHAnsi" w:hAnsiTheme="minorHAnsi" w:cstheme="minorHAnsi"/>
          <w:sz w:val="18"/>
          <w:szCs w:val="18"/>
        </w:rPr>
        <w:t xml:space="preserve">: </w:t>
      </w:r>
      <w:r w:rsidR="005D2ED3" w:rsidRPr="00E960A2">
        <w:rPr>
          <w:rFonts w:asciiTheme="minorHAnsi" w:hAnsiTheme="minorHAnsi" w:cstheme="minorHAnsi"/>
          <w:sz w:val="18"/>
          <w:szCs w:val="18"/>
        </w:rPr>
        <w:t>Mutual Benefit Life Ins. Co</w:t>
      </w:r>
      <w:r w:rsidR="0066048F" w:rsidRPr="00E960A2">
        <w:rPr>
          <w:rFonts w:asciiTheme="minorHAnsi" w:hAnsiTheme="minorHAnsi" w:cstheme="minorHAnsi"/>
          <w:sz w:val="18"/>
          <w:szCs w:val="18"/>
        </w:rPr>
        <w:t>.</w:t>
      </w:r>
      <w:r w:rsidR="00207142" w:rsidRPr="00E960A2">
        <w:rPr>
          <w:rFonts w:asciiTheme="minorHAnsi" w:hAnsiTheme="minorHAnsi" w:cstheme="minorHAnsi"/>
          <w:sz w:val="18"/>
          <w:szCs w:val="18"/>
        </w:rPr>
        <w:t xml:space="preserve"> (Rehabilitation 1991, Superior Court of New Jersey, Chancery Division, C-91-00109</w:t>
      </w:r>
      <w:r w:rsidR="00B2642D" w:rsidRPr="00E960A2">
        <w:rPr>
          <w:rFonts w:asciiTheme="minorHAnsi" w:hAnsiTheme="minorHAnsi" w:cstheme="minorHAnsi"/>
          <w:sz w:val="18"/>
          <w:szCs w:val="18"/>
        </w:rPr>
        <w:t>)</w:t>
      </w:r>
      <w:r w:rsidR="00990781">
        <w:rPr>
          <w:rFonts w:asciiTheme="minorHAnsi" w:hAnsiTheme="minorHAnsi" w:cstheme="minorHAnsi"/>
          <w:sz w:val="18"/>
          <w:szCs w:val="18"/>
        </w:rPr>
        <w:t xml:space="preserve">; </w:t>
      </w:r>
      <w:r w:rsidR="00B55E07">
        <w:rPr>
          <w:rFonts w:asciiTheme="minorHAnsi" w:hAnsiTheme="minorHAnsi" w:cstheme="minorHAnsi"/>
          <w:sz w:val="18"/>
          <w:szCs w:val="18"/>
        </w:rPr>
        <w:t>Executive Life Ins. Co.</w:t>
      </w:r>
      <w:r w:rsidR="00D236AA">
        <w:rPr>
          <w:rFonts w:asciiTheme="minorHAnsi" w:hAnsiTheme="minorHAnsi" w:cstheme="minorHAnsi"/>
          <w:sz w:val="18"/>
          <w:szCs w:val="18"/>
        </w:rPr>
        <w:t xml:space="preserve"> (Liquidation 1995, Californ</w:t>
      </w:r>
      <w:r w:rsidR="00C76A4E">
        <w:rPr>
          <w:rFonts w:asciiTheme="minorHAnsi" w:hAnsiTheme="minorHAnsi" w:cstheme="minorHAnsi"/>
          <w:sz w:val="18"/>
          <w:szCs w:val="18"/>
        </w:rPr>
        <w:t xml:space="preserve">ia </w:t>
      </w:r>
      <w:r w:rsidR="001B0228">
        <w:rPr>
          <w:rFonts w:asciiTheme="minorHAnsi" w:hAnsiTheme="minorHAnsi" w:cstheme="minorHAnsi"/>
          <w:sz w:val="18"/>
          <w:szCs w:val="18"/>
        </w:rPr>
        <w:t xml:space="preserve">Court of Appeal, </w:t>
      </w:r>
      <w:r w:rsidR="00C76A4E">
        <w:rPr>
          <w:rFonts w:asciiTheme="minorHAnsi" w:hAnsiTheme="minorHAnsi" w:cstheme="minorHAnsi"/>
          <w:sz w:val="18"/>
          <w:szCs w:val="18"/>
        </w:rPr>
        <w:t>32 Cal.App.</w:t>
      </w:r>
      <w:r w:rsidR="00266B89">
        <w:rPr>
          <w:rFonts w:asciiTheme="minorHAnsi" w:hAnsiTheme="minorHAnsi" w:cstheme="minorHAnsi"/>
          <w:sz w:val="18"/>
          <w:szCs w:val="18"/>
        </w:rPr>
        <w:t>4</w:t>
      </w:r>
      <w:r w:rsidR="00266B89" w:rsidRPr="00266B89">
        <w:rPr>
          <w:rFonts w:asciiTheme="minorHAnsi" w:hAnsiTheme="minorHAnsi" w:cstheme="minorHAnsi"/>
          <w:sz w:val="18"/>
          <w:szCs w:val="18"/>
          <w:vertAlign w:val="superscript"/>
        </w:rPr>
        <w:t>th</w:t>
      </w:r>
      <w:r w:rsidR="00266B89">
        <w:rPr>
          <w:rFonts w:asciiTheme="minorHAnsi" w:hAnsiTheme="minorHAnsi" w:cstheme="minorHAnsi"/>
          <w:sz w:val="18"/>
          <w:szCs w:val="18"/>
        </w:rPr>
        <w:t>344)</w:t>
      </w:r>
    </w:p>
  </w:footnote>
  <w:footnote w:id="4">
    <w:p w14:paraId="2CC5B32A" w14:textId="699A899E" w:rsidR="00BA1367" w:rsidRDefault="00BA1367" w:rsidP="004A054B">
      <w:pPr>
        <w:pStyle w:val="FootnoteText"/>
        <w:jc w:val="both"/>
      </w:pPr>
      <w:r w:rsidRPr="00E960A2">
        <w:rPr>
          <w:rStyle w:val="FootnoteReference"/>
          <w:rFonts w:asciiTheme="minorHAnsi" w:hAnsiTheme="minorHAnsi" w:cstheme="minorHAnsi"/>
          <w:sz w:val="18"/>
          <w:szCs w:val="18"/>
        </w:rPr>
        <w:footnoteRef/>
      </w:r>
      <w:r w:rsidRPr="00E960A2">
        <w:rPr>
          <w:rFonts w:asciiTheme="minorHAnsi" w:hAnsiTheme="minorHAnsi" w:cstheme="minorHAnsi"/>
          <w:sz w:val="18"/>
          <w:szCs w:val="18"/>
        </w:rPr>
        <w:t xml:space="preserve"> </w:t>
      </w:r>
      <w:r w:rsidR="00D010F7" w:rsidRPr="00E960A2">
        <w:rPr>
          <w:rFonts w:asciiTheme="minorHAnsi" w:hAnsiTheme="minorHAnsi" w:cstheme="minorHAnsi"/>
          <w:sz w:val="18"/>
          <w:szCs w:val="18"/>
        </w:rPr>
        <w:t>Examples</w:t>
      </w:r>
      <w:r w:rsidR="00425825" w:rsidRPr="00E960A2">
        <w:rPr>
          <w:rFonts w:asciiTheme="minorHAnsi" w:hAnsiTheme="minorHAnsi" w:cstheme="minorHAnsi"/>
          <w:sz w:val="18"/>
          <w:szCs w:val="18"/>
        </w:rPr>
        <w:t xml:space="preserve"> of variations of FABNs</w:t>
      </w:r>
      <w:r w:rsidR="00D010F7" w:rsidRPr="00E960A2">
        <w:rPr>
          <w:rFonts w:asciiTheme="minorHAnsi" w:hAnsiTheme="minorHAnsi" w:cstheme="minorHAnsi"/>
          <w:sz w:val="18"/>
          <w:szCs w:val="18"/>
        </w:rPr>
        <w:t xml:space="preserve">: </w:t>
      </w:r>
      <w:r w:rsidRPr="00E960A2">
        <w:rPr>
          <w:rFonts w:asciiTheme="minorHAnsi" w:hAnsiTheme="minorHAnsi" w:cstheme="minorHAnsi"/>
          <w:sz w:val="18"/>
          <w:szCs w:val="18"/>
        </w:rPr>
        <w:t xml:space="preserve">Funding agreement backed notes (FABNs), </w:t>
      </w:r>
      <w:r w:rsidR="00425825" w:rsidRPr="00E960A2">
        <w:rPr>
          <w:rFonts w:asciiTheme="minorHAnsi" w:hAnsiTheme="minorHAnsi" w:cstheme="minorHAnsi"/>
          <w:sz w:val="18"/>
          <w:szCs w:val="18"/>
        </w:rPr>
        <w:t>f</w:t>
      </w:r>
      <w:r w:rsidR="00B91961" w:rsidRPr="00E960A2">
        <w:rPr>
          <w:rFonts w:asciiTheme="minorHAnsi" w:hAnsiTheme="minorHAnsi" w:cstheme="minorHAnsi"/>
          <w:sz w:val="18"/>
          <w:szCs w:val="18"/>
        </w:rPr>
        <w:t>oreign currency f</w:t>
      </w:r>
      <w:r w:rsidRPr="00E960A2">
        <w:rPr>
          <w:rFonts w:asciiTheme="minorHAnsi" w:hAnsiTheme="minorHAnsi" w:cstheme="minorHAnsi"/>
          <w:sz w:val="18"/>
          <w:szCs w:val="18"/>
        </w:rPr>
        <w:t xml:space="preserve">unding agreement </w:t>
      </w:r>
      <w:r w:rsidR="00B91961" w:rsidRPr="00E960A2">
        <w:rPr>
          <w:rFonts w:asciiTheme="minorHAnsi" w:hAnsiTheme="minorHAnsi" w:cstheme="minorHAnsi"/>
          <w:sz w:val="18"/>
          <w:szCs w:val="18"/>
        </w:rPr>
        <w:t>b</w:t>
      </w:r>
      <w:r w:rsidR="00D010F7" w:rsidRPr="00E960A2">
        <w:rPr>
          <w:rFonts w:asciiTheme="minorHAnsi" w:hAnsiTheme="minorHAnsi" w:cstheme="minorHAnsi"/>
          <w:sz w:val="18"/>
          <w:szCs w:val="18"/>
        </w:rPr>
        <w:t>a</w:t>
      </w:r>
      <w:r w:rsidR="00B91961" w:rsidRPr="00E960A2">
        <w:rPr>
          <w:rFonts w:asciiTheme="minorHAnsi" w:hAnsiTheme="minorHAnsi" w:cstheme="minorHAnsi"/>
          <w:sz w:val="18"/>
          <w:szCs w:val="18"/>
        </w:rPr>
        <w:t xml:space="preserve">cked notes (FXFABNs), </w:t>
      </w:r>
      <w:r w:rsidR="00425825" w:rsidRPr="00E960A2">
        <w:rPr>
          <w:rFonts w:asciiTheme="minorHAnsi" w:hAnsiTheme="minorHAnsi" w:cstheme="minorHAnsi"/>
          <w:sz w:val="18"/>
          <w:szCs w:val="18"/>
        </w:rPr>
        <w:t>s</w:t>
      </w:r>
      <w:r w:rsidR="00B85C38" w:rsidRPr="00E960A2">
        <w:rPr>
          <w:rFonts w:asciiTheme="minorHAnsi" w:hAnsiTheme="minorHAnsi" w:cstheme="minorHAnsi"/>
          <w:sz w:val="18"/>
          <w:szCs w:val="18"/>
        </w:rPr>
        <w:t xml:space="preserve">ecured funding agreement structures (FABRs) </w:t>
      </w:r>
      <w:r w:rsidR="00F42524" w:rsidRPr="00E960A2">
        <w:rPr>
          <w:rFonts w:asciiTheme="minorHAnsi" w:hAnsiTheme="minorHAnsi" w:cstheme="minorHAnsi"/>
          <w:sz w:val="18"/>
          <w:szCs w:val="18"/>
        </w:rPr>
        <w:t xml:space="preserve">where borrowings are collateralized, </w:t>
      </w:r>
      <w:r w:rsidR="00425825" w:rsidRPr="00E960A2">
        <w:rPr>
          <w:rFonts w:asciiTheme="minorHAnsi" w:hAnsiTheme="minorHAnsi" w:cstheme="minorHAnsi"/>
          <w:sz w:val="18"/>
          <w:szCs w:val="18"/>
        </w:rPr>
        <w:t>f</w:t>
      </w:r>
      <w:r w:rsidR="00AD40D0" w:rsidRPr="00E960A2">
        <w:rPr>
          <w:rFonts w:asciiTheme="minorHAnsi" w:hAnsiTheme="minorHAnsi" w:cstheme="minorHAnsi"/>
          <w:sz w:val="18"/>
          <w:szCs w:val="18"/>
        </w:rPr>
        <w:t xml:space="preserve">unding agreement backed loans (FABLs), </w:t>
      </w:r>
      <w:r w:rsidR="00D010F7" w:rsidRPr="00E960A2">
        <w:rPr>
          <w:rFonts w:asciiTheme="minorHAnsi" w:hAnsiTheme="minorHAnsi" w:cstheme="minorHAnsi"/>
          <w:sz w:val="18"/>
          <w:szCs w:val="18"/>
        </w:rPr>
        <w:t xml:space="preserve">and </w:t>
      </w:r>
      <w:r w:rsidR="00425825" w:rsidRPr="00E960A2">
        <w:rPr>
          <w:rFonts w:asciiTheme="minorHAnsi" w:hAnsiTheme="minorHAnsi" w:cstheme="minorHAnsi"/>
          <w:sz w:val="18"/>
          <w:szCs w:val="18"/>
        </w:rPr>
        <w:t>f</w:t>
      </w:r>
      <w:r w:rsidR="00AD40D0" w:rsidRPr="00E960A2">
        <w:rPr>
          <w:rFonts w:asciiTheme="minorHAnsi" w:hAnsiTheme="minorHAnsi" w:cstheme="minorHAnsi"/>
          <w:sz w:val="18"/>
          <w:szCs w:val="18"/>
        </w:rPr>
        <w:t>unding agreement backed municipal pre-pay/energy bonds</w:t>
      </w:r>
      <w:r w:rsidR="00D010F7" w:rsidRPr="00E960A2">
        <w:rPr>
          <w:rFonts w:asciiTheme="minorHAnsi" w:hAnsiTheme="minorHAnsi" w:cstheme="minorHAnsi"/>
          <w:sz w:val="18"/>
          <w:szCs w:val="18"/>
        </w:rPr>
        <w:t>.</w:t>
      </w:r>
      <w:r w:rsidR="00AD40D0" w:rsidRPr="00E960A2">
        <w:rPr>
          <w:rFonts w:asciiTheme="minorHAnsi" w:hAnsiTheme="minorHAnsi" w:cstheme="minorHAnsi"/>
          <w:sz w:val="18"/>
          <w:szCs w:val="18"/>
        </w:rPr>
        <w:t xml:space="preserve"> </w:t>
      </w:r>
    </w:p>
  </w:footnote>
  <w:footnote w:id="5">
    <w:p w14:paraId="46C70541" w14:textId="2D79D8F2" w:rsidR="000E473F" w:rsidRPr="00E960A2" w:rsidRDefault="000E473F" w:rsidP="000E473F">
      <w:pPr>
        <w:pStyle w:val="FootnoteText"/>
        <w:rPr>
          <w:rFonts w:asciiTheme="minorHAnsi" w:hAnsiTheme="minorHAnsi" w:cstheme="minorHAnsi"/>
          <w:sz w:val="18"/>
          <w:szCs w:val="18"/>
        </w:rPr>
      </w:pPr>
      <w:r w:rsidRPr="00E960A2">
        <w:rPr>
          <w:rStyle w:val="FootnoteReference"/>
          <w:rFonts w:asciiTheme="minorHAnsi" w:hAnsiTheme="minorHAnsi" w:cstheme="minorHAnsi"/>
          <w:sz w:val="18"/>
          <w:szCs w:val="18"/>
        </w:rPr>
        <w:footnoteRef/>
      </w:r>
      <w:r w:rsidRPr="00E960A2">
        <w:rPr>
          <w:rFonts w:asciiTheme="minorHAnsi" w:hAnsiTheme="minorHAnsi" w:cstheme="minorHAnsi"/>
          <w:sz w:val="18"/>
          <w:szCs w:val="18"/>
        </w:rPr>
        <w:t xml:space="preserve"> Examples where funding agreements are not considered insurance</w:t>
      </w:r>
      <w:r w:rsidR="003F06E2">
        <w:rPr>
          <w:rFonts w:asciiTheme="minorHAnsi" w:hAnsiTheme="minorHAnsi" w:cstheme="minorHAnsi"/>
          <w:sz w:val="18"/>
          <w:szCs w:val="18"/>
        </w:rPr>
        <w:t xml:space="preserve"> per the Task Force’s survey</w:t>
      </w:r>
      <w:r w:rsidRPr="00E960A2">
        <w:rPr>
          <w:rFonts w:asciiTheme="minorHAnsi" w:hAnsiTheme="minorHAnsi" w:cstheme="minorHAnsi"/>
          <w:sz w:val="18"/>
          <w:szCs w:val="18"/>
        </w:rPr>
        <w:t>: North Carolina Article 30 of Chapter 52 General Statute § 58-1-10; Washington Title 48, RCW 48.31.280.</w:t>
      </w:r>
    </w:p>
  </w:footnote>
  <w:footnote w:id="6">
    <w:p w14:paraId="3CF6A4DA" w14:textId="7E7E18FE" w:rsidR="00ED5DED" w:rsidRPr="00EA554A" w:rsidRDefault="00ED5DED">
      <w:pPr>
        <w:pStyle w:val="FootnoteText"/>
        <w:rPr>
          <w:rFonts w:ascii="Calibri" w:hAnsi="Calibri" w:cs="Calibri"/>
        </w:rPr>
      </w:pPr>
      <w:r w:rsidRPr="00EA554A">
        <w:rPr>
          <w:rStyle w:val="FootnoteReference"/>
          <w:rFonts w:ascii="Calibri" w:hAnsi="Calibri" w:cs="Calibri"/>
        </w:rPr>
        <w:footnoteRef/>
      </w:r>
      <w:r w:rsidRPr="00EA554A">
        <w:rPr>
          <w:rFonts w:ascii="Calibri" w:hAnsi="Calibri" w:cs="Calibri"/>
        </w:rPr>
        <w:t xml:space="preserve"> </w:t>
      </w:r>
      <w:r w:rsidR="0065530F" w:rsidRPr="00E960A2">
        <w:rPr>
          <w:rFonts w:ascii="Calibri" w:hAnsi="Calibri" w:cs="Calibri"/>
          <w:sz w:val="18"/>
          <w:szCs w:val="18"/>
        </w:rPr>
        <w:t>See the</w:t>
      </w:r>
      <w:r w:rsidR="00EA554A" w:rsidRPr="00E960A2">
        <w:rPr>
          <w:rFonts w:ascii="Calibri" w:hAnsi="Calibri" w:cs="Calibri"/>
          <w:sz w:val="18"/>
          <w:szCs w:val="18"/>
        </w:rPr>
        <w:t xml:space="preserve"> </w:t>
      </w:r>
      <w:r w:rsidR="00DB6CD2" w:rsidRPr="00E960A2">
        <w:rPr>
          <w:rFonts w:ascii="Calibri" w:hAnsi="Calibri" w:cs="Calibri"/>
          <w:i/>
          <w:iCs/>
          <w:sz w:val="18"/>
          <w:szCs w:val="18"/>
        </w:rPr>
        <w:t xml:space="preserve">NAIC Proceedings – </w:t>
      </w:r>
      <w:r w:rsidR="00D44A1F" w:rsidRPr="00E960A2">
        <w:rPr>
          <w:rFonts w:ascii="Calibri" w:hAnsi="Calibri" w:cs="Calibri"/>
          <w:i/>
          <w:iCs/>
          <w:sz w:val="18"/>
          <w:szCs w:val="18"/>
        </w:rPr>
        <w:t>Summer</w:t>
      </w:r>
      <w:r w:rsidR="00DB6CD2" w:rsidRPr="00E960A2">
        <w:rPr>
          <w:rFonts w:ascii="Calibri" w:hAnsi="Calibri" w:cs="Calibri"/>
          <w:i/>
          <w:iCs/>
          <w:sz w:val="18"/>
          <w:szCs w:val="18"/>
        </w:rPr>
        <w:t xml:space="preserve"> 202</w:t>
      </w:r>
      <w:r w:rsidR="00D44A1F" w:rsidRPr="00E960A2">
        <w:rPr>
          <w:rFonts w:ascii="Calibri" w:hAnsi="Calibri" w:cs="Calibri"/>
          <w:i/>
          <w:iCs/>
          <w:sz w:val="18"/>
          <w:szCs w:val="18"/>
        </w:rPr>
        <w:t>6</w:t>
      </w:r>
      <w:r w:rsidR="00DB6CD2" w:rsidRPr="00E960A2">
        <w:rPr>
          <w:rFonts w:ascii="Calibri" w:hAnsi="Calibri" w:cs="Calibri"/>
          <w:i/>
          <w:iCs/>
          <w:sz w:val="18"/>
          <w:szCs w:val="18"/>
        </w:rPr>
        <w:t>, Receivership and Insolvency (E) Task Force</w:t>
      </w:r>
      <w:r w:rsidR="00DB6CD2" w:rsidRPr="00E960A2">
        <w:rPr>
          <w:rFonts w:ascii="Calibri" w:hAnsi="Calibri" w:cs="Calibri"/>
          <w:sz w:val="18"/>
          <w:szCs w:val="18"/>
        </w:rPr>
        <w:t xml:space="preserve"> </w:t>
      </w:r>
      <w:r w:rsidR="00EA554A" w:rsidRPr="00E960A2">
        <w:rPr>
          <w:rFonts w:ascii="Calibri" w:hAnsi="Calibri" w:cs="Calibri"/>
          <w:sz w:val="18"/>
          <w:szCs w:val="18"/>
        </w:rPr>
        <w:t xml:space="preserve">as </w:t>
      </w:r>
      <w:r w:rsidR="0065530F" w:rsidRPr="00E960A2">
        <w:rPr>
          <w:rFonts w:ascii="Calibri" w:hAnsi="Calibri" w:cs="Calibri"/>
          <w:sz w:val="18"/>
          <w:szCs w:val="18"/>
        </w:rPr>
        <w:t>a</w:t>
      </w:r>
      <w:r w:rsidR="00EA554A" w:rsidRPr="00E960A2">
        <w:rPr>
          <w:rFonts w:ascii="Calibri" w:hAnsi="Calibri" w:cs="Calibri"/>
          <w:sz w:val="18"/>
          <w:szCs w:val="18"/>
        </w:rPr>
        <w:t xml:space="preserve">ttachment </w:t>
      </w:r>
      <w:r w:rsidR="0065530F" w:rsidRPr="00E960A2">
        <w:rPr>
          <w:rFonts w:ascii="Calibri" w:hAnsi="Calibri" w:cs="Calibri"/>
          <w:sz w:val="18"/>
          <w:szCs w:val="18"/>
        </w:rPr>
        <w:t>t</w:t>
      </w:r>
      <w:r w:rsidR="00CE74F0" w:rsidRPr="00E960A2">
        <w:rPr>
          <w:rFonts w:ascii="Calibri" w:hAnsi="Calibri" w:cs="Calibri"/>
          <w:sz w:val="18"/>
          <w:szCs w:val="18"/>
        </w:rPr>
        <w:t>hree</w:t>
      </w:r>
      <w:r w:rsidR="0065530F" w:rsidRPr="00E960A2">
        <w:rPr>
          <w:rFonts w:ascii="Calibri" w:hAnsi="Calibri" w:cs="Calibri"/>
          <w:sz w:val="18"/>
          <w:szCs w:val="18"/>
        </w:rPr>
        <w:t xml:space="preserve"> for</w:t>
      </w:r>
      <w:r w:rsidR="00EA554A" w:rsidRPr="00E960A2">
        <w:rPr>
          <w:rFonts w:ascii="Calibri" w:hAnsi="Calibri" w:cs="Calibri"/>
          <w:sz w:val="18"/>
          <w:szCs w:val="18"/>
        </w:rPr>
        <w:t xml:space="preserve"> </w:t>
      </w:r>
      <w:r w:rsidR="0065530F" w:rsidRPr="00E960A2">
        <w:rPr>
          <w:rFonts w:ascii="Calibri" w:hAnsi="Calibri" w:cs="Calibri"/>
          <w:sz w:val="18"/>
          <w:szCs w:val="18"/>
        </w:rPr>
        <w:t>NOLHGA’s full comment letter.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AFCC0" w14:textId="77777777" w:rsidR="003A4A0A" w:rsidRDefault="003A4A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B01F4" w14:textId="77777777" w:rsidR="003A4A0A" w:rsidRDefault="003A4A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A75FF" w14:textId="2EF102AE" w:rsidR="007E2810" w:rsidRDefault="00000000" w:rsidP="003A4A0A">
    <w:pPr>
      <w:pStyle w:val="Header"/>
      <w:pBdr>
        <w:bottom w:val="single" w:sz="12" w:space="2" w:color="auto"/>
      </w:pBdr>
      <w:tabs>
        <w:tab w:val="clear" w:pos="8640"/>
        <w:tab w:val="right" w:pos="10080"/>
      </w:tabs>
    </w:pPr>
    <w:sdt>
      <w:sdtPr>
        <w:id w:val="-570421769"/>
        <w:docPartObj>
          <w:docPartGallery w:val="Watermarks"/>
          <w:docPartUnique/>
        </w:docPartObj>
      </w:sdtPr>
      <w:sdtContent>
        <w:r>
          <w:rPr>
            <w:noProof/>
          </w:rPr>
          <w:pict w14:anchorId="42C6B9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5711C">
      <w:rPr>
        <w:noProof/>
      </w:rPr>
      <w:drawing>
        <wp:inline distT="0" distB="0" distL="0" distR="0" wp14:anchorId="5971B22C" wp14:editId="79CD30A6">
          <wp:extent cx="3378177" cy="40551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rotWithShape="1">
                  <a:blip r:embed="rId1">
                    <a:extLst>
                      <a:ext uri="{28A0092B-C50C-407E-A947-70E740481C1C}">
                        <a14:useLocalDpi xmlns:a14="http://schemas.microsoft.com/office/drawing/2010/main" val="0"/>
                      </a:ext>
                    </a:extLst>
                  </a:blip>
                  <a:srcRect t="7" b="7"/>
                  <a:stretch/>
                </pic:blipFill>
                <pic:spPr>
                  <a:xfrm>
                    <a:off x="0" y="0"/>
                    <a:ext cx="3767293" cy="452225"/>
                  </a:xfrm>
                  <a:prstGeom prst="rect">
                    <a:avLst/>
                  </a:prstGeom>
                </pic:spPr>
              </pic:pic>
            </a:graphicData>
          </a:graphic>
        </wp:inline>
      </w:drawing>
    </w:r>
    <w:r w:rsidR="003A4A0A">
      <w:tab/>
      <w:t xml:space="preserve">                Attachment Two</w:t>
    </w:r>
  </w:p>
  <w:p w14:paraId="3F3DB0CC" w14:textId="77777777" w:rsidR="007E2810" w:rsidRPr="00D31C6E" w:rsidRDefault="007E2810" w:rsidP="00D31C6E">
    <w:pPr>
      <w:pStyle w:val="Header"/>
      <w:pBdr>
        <w:bottom w:val="single" w:sz="12" w:space="2" w:color="auto"/>
      </w:pBdr>
      <w:rPr>
        <w:sz w:val="4"/>
        <w:szCs w:val="4"/>
      </w:rPr>
    </w:pPr>
  </w:p>
  <w:p w14:paraId="3CB45102" w14:textId="77777777" w:rsidR="007E2810" w:rsidRPr="00D31C6E" w:rsidRDefault="007E2810" w:rsidP="00D31C6E">
    <w:pPr>
      <w:pStyle w:val="Header"/>
      <w:rPr>
        <w:sz w:val="4"/>
        <w:szCs w:val="4"/>
      </w:rPr>
    </w:pPr>
    <w:r>
      <w:rPr>
        <w:sz w:val="4"/>
        <w:szCs w:val="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2D3"/>
    <w:multiLevelType w:val="hybridMultilevel"/>
    <w:tmpl w:val="BCD271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F10C28"/>
    <w:multiLevelType w:val="hybridMultilevel"/>
    <w:tmpl w:val="197044C2"/>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2" w15:restartNumberingAfterBreak="0">
    <w:nsid w:val="0A5D50D7"/>
    <w:multiLevelType w:val="hybridMultilevel"/>
    <w:tmpl w:val="FF589F2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D6328B"/>
    <w:multiLevelType w:val="hybridMultilevel"/>
    <w:tmpl w:val="5D66A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301462"/>
    <w:multiLevelType w:val="hybridMultilevel"/>
    <w:tmpl w:val="442A90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85703E"/>
    <w:multiLevelType w:val="hybridMultilevel"/>
    <w:tmpl w:val="E2E610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5D2F07"/>
    <w:multiLevelType w:val="hybridMultilevel"/>
    <w:tmpl w:val="A04AB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2D1CB1"/>
    <w:multiLevelType w:val="hybridMultilevel"/>
    <w:tmpl w:val="E2E610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6F46C5"/>
    <w:multiLevelType w:val="hybridMultilevel"/>
    <w:tmpl w:val="989890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561CCE"/>
    <w:multiLevelType w:val="hybridMultilevel"/>
    <w:tmpl w:val="9E48E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33172"/>
    <w:multiLevelType w:val="hybridMultilevel"/>
    <w:tmpl w:val="5074C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170109"/>
    <w:multiLevelType w:val="hybridMultilevel"/>
    <w:tmpl w:val="FCE227B6"/>
    <w:lvl w:ilvl="0" w:tplc="9FBA2182">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412238"/>
    <w:multiLevelType w:val="hybridMultilevel"/>
    <w:tmpl w:val="5E0C5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C678F7"/>
    <w:multiLevelType w:val="hybridMultilevel"/>
    <w:tmpl w:val="92903F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EE46A4"/>
    <w:multiLevelType w:val="hybridMultilevel"/>
    <w:tmpl w:val="8250B9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D56AD3"/>
    <w:multiLevelType w:val="hybridMultilevel"/>
    <w:tmpl w:val="E996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202D6D"/>
    <w:multiLevelType w:val="hybridMultilevel"/>
    <w:tmpl w:val="E2E61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CD6A72"/>
    <w:multiLevelType w:val="hybridMultilevel"/>
    <w:tmpl w:val="CAE08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902DA4"/>
    <w:multiLevelType w:val="hybridMultilevel"/>
    <w:tmpl w:val="3F40D0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F86491"/>
    <w:multiLevelType w:val="hybridMultilevel"/>
    <w:tmpl w:val="EBD6F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3A3CB6"/>
    <w:multiLevelType w:val="hybridMultilevel"/>
    <w:tmpl w:val="AB44E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1E69AE"/>
    <w:multiLevelType w:val="hybridMultilevel"/>
    <w:tmpl w:val="1BC81BA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5F6C7716"/>
    <w:multiLevelType w:val="hybridMultilevel"/>
    <w:tmpl w:val="3048C8F0"/>
    <w:lvl w:ilvl="0" w:tplc="04090001">
      <w:start w:val="1"/>
      <w:numFmt w:val="bullet"/>
      <w:lvlText w:val=""/>
      <w:lvlJc w:val="left"/>
      <w:pPr>
        <w:ind w:left="720" w:hanging="360"/>
      </w:pPr>
      <w:rPr>
        <w:rFonts w:ascii="Symbol" w:hAnsi="Symbol" w:hint="default"/>
        <w:b w:val="0"/>
        <w:bCs w:val="0"/>
        <w:color w:val="000000" w:themeColor="text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55D782F"/>
    <w:multiLevelType w:val="hybridMultilevel"/>
    <w:tmpl w:val="EAD6C7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A6325E0"/>
    <w:multiLevelType w:val="hybridMultilevel"/>
    <w:tmpl w:val="A22851B0"/>
    <w:lvl w:ilvl="0" w:tplc="4A8EA596">
      <w:start w:val="1"/>
      <w:numFmt w:val="decimal"/>
      <w:lvlText w:val="%1."/>
      <w:lvlJc w:val="left"/>
      <w:pPr>
        <w:ind w:left="720" w:hanging="360"/>
      </w:pPr>
      <w:rPr>
        <w:rFonts w:ascii="Times New Roman" w:hAnsi="Times New Roman" w:cs="Times New Roman" w:hint="default"/>
        <w:b w:val="0"/>
        <w:bCs w:val="0"/>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6037F1"/>
    <w:multiLevelType w:val="hybridMultilevel"/>
    <w:tmpl w:val="89864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E012C4"/>
    <w:multiLevelType w:val="hybridMultilevel"/>
    <w:tmpl w:val="36B4F4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6BE32A6"/>
    <w:multiLevelType w:val="hybridMultilevel"/>
    <w:tmpl w:val="A9F83B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5C6C44"/>
    <w:multiLevelType w:val="hybridMultilevel"/>
    <w:tmpl w:val="9872DA58"/>
    <w:lvl w:ilvl="0" w:tplc="0DA86948">
      <w:start w:val="1"/>
      <w:numFmt w:val="decimal"/>
      <w:lvlText w:val="%1."/>
      <w:lvlJc w:val="left"/>
      <w:pPr>
        <w:ind w:left="720" w:hanging="360"/>
      </w:pPr>
    </w:lvl>
    <w:lvl w:ilvl="1" w:tplc="88BE4A9C">
      <w:start w:val="1"/>
      <w:numFmt w:val="lowerLetter"/>
      <w:lvlText w:val="%2."/>
      <w:lvlJc w:val="left"/>
      <w:pPr>
        <w:ind w:left="1440" w:hanging="360"/>
      </w:pPr>
    </w:lvl>
    <w:lvl w:ilvl="2" w:tplc="B2B68622">
      <w:start w:val="1"/>
      <w:numFmt w:val="lowerRoman"/>
      <w:lvlText w:val="%3."/>
      <w:lvlJc w:val="right"/>
      <w:pPr>
        <w:ind w:left="2160" w:hanging="180"/>
      </w:pPr>
    </w:lvl>
    <w:lvl w:ilvl="3" w:tplc="63EE36BC">
      <w:start w:val="1"/>
      <w:numFmt w:val="decimal"/>
      <w:lvlText w:val="%4."/>
      <w:lvlJc w:val="left"/>
      <w:pPr>
        <w:ind w:left="2880" w:hanging="360"/>
      </w:pPr>
    </w:lvl>
    <w:lvl w:ilvl="4" w:tplc="169004F6">
      <w:start w:val="1"/>
      <w:numFmt w:val="lowerLetter"/>
      <w:lvlText w:val="%5."/>
      <w:lvlJc w:val="left"/>
      <w:pPr>
        <w:ind w:left="3600" w:hanging="360"/>
      </w:pPr>
    </w:lvl>
    <w:lvl w:ilvl="5" w:tplc="D26CF934">
      <w:start w:val="1"/>
      <w:numFmt w:val="lowerRoman"/>
      <w:lvlText w:val="%6."/>
      <w:lvlJc w:val="right"/>
      <w:pPr>
        <w:ind w:left="4320" w:hanging="180"/>
      </w:pPr>
    </w:lvl>
    <w:lvl w:ilvl="6" w:tplc="05FE382E">
      <w:start w:val="1"/>
      <w:numFmt w:val="decimal"/>
      <w:lvlText w:val="%7."/>
      <w:lvlJc w:val="left"/>
      <w:pPr>
        <w:ind w:left="5040" w:hanging="360"/>
      </w:pPr>
    </w:lvl>
    <w:lvl w:ilvl="7" w:tplc="B2722D4A">
      <w:start w:val="1"/>
      <w:numFmt w:val="lowerLetter"/>
      <w:lvlText w:val="%8."/>
      <w:lvlJc w:val="left"/>
      <w:pPr>
        <w:ind w:left="5760" w:hanging="360"/>
      </w:pPr>
    </w:lvl>
    <w:lvl w:ilvl="8" w:tplc="E682BE58">
      <w:start w:val="1"/>
      <w:numFmt w:val="lowerRoman"/>
      <w:lvlText w:val="%9."/>
      <w:lvlJc w:val="right"/>
      <w:pPr>
        <w:ind w:left="6480" w:hanging="180"/>
      </w:pPr>
    </w:lvl>
  </w:abstractNum>
  <w:abstractNum w:abstractNumId="29" w15:restartNumberingAfterBreak="0">
    <w:nsid w:val="791277E1"/>
    <w:multiLevelType w:val="hybridMultilevel"/>
    <w:tmpl w:val="F35A68E0"/>
    <w:lvl w:ilvl="0" w:tplc="C6A8D5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9691602">
    <w:abstractNumId w:val="28"/>
  </w:num>
  <w:num w:numId="2" w16cid:durableId="920453412">
    <w:abstractNumId w:val="1"/>
  </w:num>
  <w:num w:numId="3" w16cid:durableId="1781028120">
    <w:abstractNumId w:val="26"/>
  </w:num>
  <w:num w:numId="4" w16cid:durableId="1589927392">
    <w:abstractNumId w:val="11"/>
  </w:num>
  <w:num w:numId="5" w16cid:durableId="536282080">
    <w:abstractNumId w:val="13"/>
  </w:num>
  <w:num w:numId="6" w16cid:durableId="2899380">
    <w:abstractNumId w:val="16"/>
  </w:num>
  <w:num w:numId="7" w16cid:durableId="2022080474">
    <w:abstractNumId w:val="7"/>
  </w:num>
  <w:num w:numId="8" w16cid:durableId="1240627944">
    <w:abstractNumId w:val="5"/>
  </w:num>
  <w:num w:numId="9" w16cid:durableId="218321480">
    <w:abstractNumId w:val="29"/>
  </w:num>
  <w:num w:numId="10" w16cid:durableId="1588999189">
    <w:abstractNumId w:val="15"/>
  </w:num>
  <w:num w:numId="11" w16cid:durableId="2064668862">
    <w:abstractNumId w:val="8"/>
  </w:num>
  <w:num w:numId="12" w16cid:durableId="204634826">
    <w:abstractNumId w:val="24"/>
  </w:num>
  <w:num w:numId="13" w16cid:durableId="1381662659">
    <w:abstractNumId w:val="6"/>
  </w:num>
  <w:num w:numId="14" w16cid:durableId="622002378">
    <w:abstractNumId w:val="23"/>
  </w:num>
  <w:num w:numId="15" w16cid:durableId="688335821">
    <w:abstractNumId w:val="2"/>
  </w:num>
  <w:num w:numId="16" w16cid:durableId="1757241875">
    <w:abstractNumId w:val="12"/>
  </w:num>
  <w:num w:numId="17" w16cid:durableId="1745645236">
    <w:abstractNumId w:val="17"/>
  </w:num>
  <w:num w:numId="18" w16cid:durableId="1593509179">
    <w:abstractNumId w:val="19"/>
  </w:num>
  <w:num w:numId="19" w16cid:durableId="800729283">
    <w:abstractNumId w:val="25"/>
  </w:num>
  <w:num w:numId="20" w16cid:durableId="856116214">
    <w:abstractNumId w:val="20"/>
  </w:num>
  <w:num w:numId="21" w16cid:durableId="50349910">
    <w:abstractNumId w:val="0"/>
  </w:num>
  <w:num w:numId="22" w16cid:durableId="1199973128">
    <w:abstractNumId w:val="22"/>
  </w:num>
  <w:num w:numId="23" w16cid:durableId="1544094865">
    <w:abstractNumId w:val="21"/>
  </w:num>
  <w:num w:numId="24" w16cid:durableId="1059790077">
    <w:abstractNumId w:val="14"/>
  </w:num>
  <w:num w:numId="25" w16cid:durableId="1594514489">
    <w:abstractNumId w:val="10"/>
  </w:num>
  <w:num w:numId="26" w16cid:durableId="586185061">
    <w:abstractNumId w:val="21"/>
  </w:num>
  <w:num w:numId="27" w16cid:durableId="1276596839">
    <w:abstractNumId w:val="3"/>
  </w:num>
  <w:num w:numId="28" w16cid:durableId="2070612412">
    <w:abstractNumId w:val="4"/>
  </w:num>
  <w:num w:numId="29" w16cid:durableId="1668358217">
    <w:abstractNumId w:val="18"/>
  </w:num>
  <w:num w:numId="30" w16cid:durableId="1090807869">
    <w:abstractNumId w:val="9"/>
  </w:num>
  <w:num w:numId="31" w16cid:durableId="21062235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5E4"/>
    <w:rsid w:val="00000E65"/>
    <w:rsid w:val="00001B71"/>
    <w:rsid w:val="00002F4D"/>
    <w:rsid w:val="00003DAC"/>
    <w:rsid w:val="00004C78"/>
    <w:rsid w:val="00004D54"/>
    <w:rsid w:val="00005B13"/>
    <w:rsid w:val="00006870"/>
    <w:rsid w:val="00013B39"/>
    <w:rsid w:val="000148E3"/>
    <w:rsid w:val="00014BE0"/>
    <w:rsid w:val="00015072"/>
    <w:rsid w:val="000152DE"/>
    <w:rsid w:val="00020BEC"/>
    <w:rsid w:val="000260B9"/>
    <w:rsid w:val="00026228"/>
    <w:rsid w:val="000275E8"/>
    <w:rsid w:val="000300E4"/>
    <w:rsid w:val="00032467"/>
    <w:rsid w:val="00037738"/>
    <w:rsid w:val="00040E77"/>
    <w:rsid w:val="000411C3"/>
    <w:rsid w:val="000412C3"/>
    <w:rsid w:val="000419ED"/>
    <w:rsid w:val="000435B2"/>
    <w:rsid w:val="000445E5"/>
    <w:rsid w:val="00044DAF"/>
    <w:rsid w:val="00044ECB"/>
    <w:rsid w:val="00044F5D"/>
    <w:rsid w:val="00045D88"/>
    <w:rsid w:val="00046284"/>
    <w:rsid w:val="00047E92"/>
    <w:rsid w:val="00050306"/>
    <w:rsid w:val="00050984"/>
    <w:rsid w:val="00050C55"/>
    <w:rsid w:val="00050DE3"/>
    <w:rsid w:val="000512C2"/>
    <w:rsid w:val="00055119"/>
    <w:rsid w:val="00057DED"/>
    <w:rsid w:val="00060793"/>
    <w:rsid w:val="00061DE9"/>
    <w:rsid w:val="0006271B"/>
    <w:rsid w:val="0006340C"/>
    <w:rsid w:val="000660C1"/>
    <w:rsid w:val="00066760"/>
    <w:rsid w:val="00067210"/>
    <w:rsid w:val="00067863"/>
    <w:rsid w:val="00070D1C"/>
    <w:rsid w:val="00072D6B"/>
    <w:rsid w:val="00073897"/>
    <w:rsid w:val="00077B4A"/>
    <w:rsid w:val="00077DCF"/>
    <w:rsid w:val="00080A76"/>
    <w:rsid w:val="000812A4"/>
    <w:rsid w:val="00082113"/>
    <w:rsid w:val="00082476"/>
    <w:rsid w:val="00083636"/>
    <w:rsid w:val="0008399C"/>
    <w:rsid w:val="00085079"/>
    <w:rsid w:val="00085D0C"/>
    <w:rsid w:val="00087BE6"/>
    <w:rsid w:val="000912F9"/>
    <w:rsid w:val="00091718"/>
    <w:rsid w:val="000922AE"/>
    <w:rsid w:val="00092805"/>
    <w:rsid w:val="000928C1"/>
    <w:rsid w:val="00092F3E"/>
    <w:rsid w:val="0009491C"/>
    <w:rsid w:val="0009499E"/>
    <w:rsid w:val="00094E68"/>
    <w:rsid w:val="00095B77"/>
    <w:rsid w:val="0009681C"/>
    <w:rsid w:val="000968E9"/>
    <w:rsid w:val="000972BF"/>
    <w:rsid w:val="000974B5"/>
    <w:rsid w:val="0009794D"/>
    <w:rsid w:val="000979C0"/>
    <w:rsid w:val="000A0F8A"/>
    <w:rsid w:val="000A111D"/>
    <w:rsid w:val="000A1B54"/>
    <w:rsid w:val="000A2706"/>
    <w:rsid w:val="000A2D7D"/>
    <w:rsid w:val="000A66C0"/>
    <w:rsid w:val="000A66D8"/>
    <w:rsid w:val="000A72A5"/>
    <w:rsid w:val="000B01EB"/>
    <w:rsid w:val="000B4BB1"/>
    <w:rsid w:val="000B5F58"/>
    <w:rsid w:val="000B7232"/>
    <w:rsid w:val="000B72C9"/>
    <w:rsid w:val="000B744D"/>
    <w:rsid w:val="000B744F"/>
    <w:rsid w:val="000B766F"/>
    <w:rsid w:val="000C02CA"/>
    <w:rsid w:val="000C0803"/>
    <w:rsid w:val="000C2130"/>
    <w:rsid w:val="000C21B2"/>
    <w:rsid w:val="000C371B"/>
    <w:rsid w:val="000C4279"/>
    <w:rsid w:val="000C5263"/>
    <w:rsid w:val="000C5C5B"/>
    <w:rsid w:val="000C6088"/>
    <w:rsid w:val="000C6330"/>
    <w:rsid w:val="000C72EC"/>
    <w:rsid w:val="000D0E4F"/>
    <w:rsid w:val="000D6285"/>
    <w:rsid w:val="000D68C1"/>
    <w:rsid w:val="000E0009"/>
    <w:rsid w:val="000E103C"/>
    <w:rsid w:val="000E473F"/>
    <w:rsid w:val="000E506B"/>
    <w:rsid w:val="000E508F"/>
    <w:rsid w:val="000E578C"/>
    <w:rsid w:val="000E5A72"/>
    <w:rsid w:val="000E7C1A"/>
    <w:rsid w:val="000F07B2"/>
    <w:rsid w:val="000F110C"/>
    <w:rsid w:val="000F318A"/>
    <w:rsid w:val="000F3C56"/>
    <w:rsid w:val="000F48A0"/>
    <w:rsid w:val="00102ABA"/>
    <w:rsid w:val="001056F6"/>
    <w:rsid w:val="0010593C"/>
    <w:rsid w:val="001075EC"/>
    <w:rsid w:val="00110169"/>
    <w:rsid w:val="001105AD"/>
    <w:rsid w:val="00111A64"/>
    <w:rsid w:val="0011210A"/>
    <w:rsid w:val="00114E74"/>
    <w:rsid w:val="00115072"/>
    <w:rsid w:val="001173D6"/>
    <w:rsid w:val="00120BBC"/>
    <w:rsid w:val="00120C22"/>
    <w:rsid w:val="001211D7"/>
    <w:rsid w:val="00122BC8"/>
    <w:rsid w:val="00122D2B"/>
    <w:rsid w:val="001237BD"/>
    <w:rsid w:val="00124338"/>
    <w:rsid w:val="00125096"/>
    <w:rsid w:val="00125569"/>
    <w:rsid w:val="0012687C"/>
    <w:rsid w:val="00127B32"/>
    <w:rsid w:val="00130657"/>
    <w:rsid w:val="00131CBB"/>
    <w:rsid w:val="00132C08"/>
    <w:rsid w:val="00132D65"/>
    <w:rsid w:val="00133440"/>
    <w:rsid w:val="0013606C"/>
    <w:rsid w:val="00136612"/>
    <w:rsid w:val="001370A0"/>
    <w:rsid w:val="00142B14"/>
    <w:rsid w:val="00142E47"/>
    <w:rsid w:val="001436EE"/>
    <w:rsid w:val="001445F9"/>
    <w:rsid w:val="00145ADA"/>
    <w:rsid w:val="00147154"/>
    <w:rsid w:val="00147A65"/>
    <w:rsid w:val="00150C54"/>
    <w:rsid w:val="001514EE"/>
    <w:rsid w:val="0015240C"/>
    <w:rsid w:val="00152941"/>
    <w:rsid w:val="0015383B"/>
    <w:rsid w:val="0015486B"/>
    <w:rsid w:val="001552EC"/>
    <w:rsid w:val="00155AA7"/>
    <w:rsid w:val="0015631B"/>
    <w:rsid w:val="001574E6"/>
    <w:rsid w:val="001622D6"/>
    <w:rsid w:val="001623DA"/>
    <w:rsid w:val="001644A3"/>
    <w:rsid w:val="001655E4"/>
    <w:rsid w:val="001661CB"/>
    <w:rsid w:val="00166539"/>
    <w:rsid w:val="001674D5"/>
    <w:rsid w:val="001700A0"/>
    <w:rsid w:val="001713B5"/>
    <w:rsid w:val="00171BD1"/>
    <w:rsid w:val="001740C2"/>
    <w:rsid w:val="00175B28"/>
    <w:rsid w:val="0017697D"/>
    <w:rsid w:val="00176EDA"/>
    <w:rsid w:val="00177251"/>
    <w:rsid w:val="0017745F"/>
    <w:rsid w:val="00180AB8"/>
    <w:rsid w:val="00181B59"/>
    <w:rsid w:val="00181F41"/>
    <w:rsid w:val="00182DE6"/>
    <w:rsid w:val="00182F09"/>
    <w:rsid w:val="0018460A"/>
    <w:rsid w:val="00185106"/>
    <w:rsid w:val="00185673"/>
    <w:rsid w:val="00190AB5"/>
    <w:rsid w:val="00190D9F"/>
    <w:rsid w:val="00192BAD"/>
    <w:rsid w:val="00194510"/>
    <w:rsid w:val="00194916"/>
    <w:rsid w:val="001A08C1"/>
    <w:rsid w:val="001A08CA"/>
    <w:rsid w:val="001A0E3D"/>
    <w:rsid w:val="001A1BB7"/>
    <w:rsid w:val="001A1BC5"/>
    <w:rsid w:val="001A1F73"/>
    <w:rsid w:val="001A38D9"/>
    <w:rsid w:val="001A53B6"/>
    <w:rsid w:val="001A7972"/>
    <w:rsid w:val="001B0228"/>
    <w:rsid w:val="001B14BC"/>
    <w:rsid w:val="001B24B5"/>
    <w:rsid w:val="001B4575"/>
    <w:rsid w:val="001B56FD"/>
    <w:rsid w:val="001B64F2"/>
    <w:rsid w:val="001B6BDE"/>
    <w:rsid w:val="001C038E"/>
    <w:rsid w:val="001C0E2B"/>
    <w:rsid w:val="001C4358"/>
    <w:rsid w:val="001C4771"/>
    <w:rsid w:val="001C48AB"/>
    <w:rsid w:val="001C7362"/>
    <w:rsid w:val="001C7789"/>
    <w:rsid w:val="001D054F"/>
    <w:rsid w:val="001D1AE9"/>
    <w:rsid w:val="001D1F74"/>
    <w:rsid w:val="001D3631"/>
    <w:rsid w:val="001D3F3A"/>
    <w:rsid w:val="001D4E51"/>
    <w:rsid w:val="001D6D5F"/>
    <w:rsid w:val="001D7633"/>
    <w:rsid w:val="001E035D"/>
    <w:rsid w:val="001E261F"/>
    <w:rsid w:val="001E347B"/>
    <w:rsid w:val="001E4497"/>
    <w:rsid w:val="001E4A4F"/>
    <w:rsid w:val="001E4CC2"/>
    <w:rsid w:val="001E78DF"/>
    <w:rsid w:val="001F14D5"/>
    <w:rsid w:val="001F31E6"/>
    <w:rsid w:val="001F3D24"/>
    <w:rsid w:val="001F52A0"/>
    <w:rsid w:val="001F5389"/>
    <w:rsid w:val="001F774E"/>
    <w:rsid w:val="002001A2"/>
    <w:rsid w:val="0020029A"/>
    <w:rsid w:val="0020055E"/>
    <w:rsid w:val="002013F1"/>
    <w:rsid w:val="00201B76"/>
    <w:rsid w:val="00202C39"/>
    <w:rsid w:val="00205079"/>
    <w:rsid w:val="002053F8"/>
    <w:rsid w:val="002055B4"/>
    <w:rsid w:val="00207142"/>
    <w:rsid w:val="002101D7"/>
    <w:rsid w:val="002105BF"/>
    <w:rsid w:val="002119EC"/>
    <w:rsid w:val="002122C8"/>
    <w:rsid w:val="00214656"/>
    <w:rsid w:val="0021519E"/>
    <w:rsid w:val="00215A67"/>
    <w:rsid w:val="00215EB8"/>
    <w:rsid w:val="00216261"/>
    <w:rsid w:val="00216409"/>
    <w:rsid w:val="00217197"/>
    <w:rsid w:val="002175A8"/>
    <w:rsid w:val="0022085F"/>
    <w:rsid w:val="00221347"/>
    <w:rsid w:val="0022188C"/>
    <w:rsid w:val="002240B8"/>
    <w:rsid w:val="00224708"/>
    <w:rsid w:val="00225FEA"/>
    <w:rsid w:val="00226F2D"/>
    <w:rsid w:val="00226F92"/>
    <w:rsid w:val="00227A33"/>
    <w:rsid w:val="00230117"/>
    <w:rsid w:val="00230237"/>
    <w:rsid w:val="002305A6"/>
    <w:rsid w:val="0023091D"/>
    <w:rsid w:val="00231105"/>
    <w:rsid w:val="002318AF"/>
    <w:rsid w:val="00231AE9"/>
    <w:rsid w:val="00232AA3"/>
    <w:rsid w:val="00234CC6"/>
    <w:rsid w:val="00234D6E"/>
    <w:rsid w:val="00235B15"/>
    <w:rsid w:val="00235FD9"/>
    <w:rsid w:val="0023665C"/>
    <w:rsid w:val="0023772E"/>
    <w:rsid w:val="00237B06"/>
    <w:rsid w:val="00240A76"/>
    <w:rsid w:val="00244710"/>
    <w:rsid w:val="00244C13"/>
    <w:rsid w:val="00244F9A"/>
    <w:rsid w:val="00247620"/>
    <w:rsid w:val="002478CE"/>
    <w:rsid w:val="002505A4"/>
    <w:rsid w:val="002509DA"/>
    <w:rsid w:val="00250A72"/>
    <w:rsid w:val="00250E26"/>
    <w:rsid w:val="002510E2"/>
    <w:rsid w:val="0025409E"/>
    <w:rsid w:val="00254FCA"/>
    <w:rsid w:val="00256DBF"/>
    <w:rsid w:val="002605E4"/>
    <w:rsid w:val="00261021"/>
    <w:rsid w:val="00263873"/>
    <w:rsid w:val="002641F5"/>
    <w:rsid w:val="00265783"/>
    <w:rsid w:val="00265B0C"/>
    <w:rsid w:val="00266B89"/>
    <w:rsid w:val="00267170"/>
    <w:rsid w:val="00270779"/>
    <w:rsid w:val="00271738"/>
    <w:rsid w:val="00272B3C"/>
    <w:rsid w:val="00273541"/>
    <w:rsid w:val="00273756"/>
    <w:rsid w:val="00273F11"/>
    <w:rsid w:val="00274CEC"/>
    <w:rsid w:val="00274F4E"/>
    <w:rsid w:val="00275C15"/>
    <w:rsid w:val="00276686"/>
    <w:rsid w:val="00276DDF"/>
    <w:rsid w:val="00276F75"/>
    <w:rsid w:val="00277D18"/>
    <w:rsid w:val="00282A1C"/>
    <w:rsid w:val="00283086"/>
    <w:rsid w:val="00283480"/>
    <w:rsid w:val="002837B8"/>
    <w:rsid w:val="002849BB"/>
    <w:rsid w:val="00284E3E"/>
    <w:rsid w:val="0028581E"/>
    <w:rsid w:val="00287F61"/>
    <w:rsid w:val="0029282D"/>
    <w:rsid w:val="0029333A"/>
    <w:rsid w:val="002935B6"/>
    <w:rsid w:val="0029391B"/>
    <w:rsid w:val="0029481E"/>
    <w:rsid w:val="002953F2"/>
    <w:rsid w:val="00296818"/>
    <w:rsid w:val="00296BB7"/>
    <w:rsid w:val="0029791A"/>
    <w:rsid w:val="002A00B6"/>
    <w:rsid w:val="002A0228"/>
    <w:rsid w:val="002A0420"/>
    <w:rsid w:val="002A1774"/>
    <w:rsid w:val="002A1E07"/>
    <w:rsid w:val="002A250C"/>
    <w:rsid w:val="002A29D0"/>
    <w:rsid w:val="002A2D02"/>
    <w:rsid w:val="002A3A83"/>
    <w:rsid w:val="002A45D9"/>
    <w:rsid w:val="002A47F2"/>
    <w:rsid w:val="002A5D0D"/>
    <w:rsid w:val="002A60B4"/>
    <w:rsid w:val="002A6380"/>
    <w:rsid w:val="002A7663"/>
    <w:rsid w:val="002A7BEC"/>
    <w:rsid w:val="002A7FF3"/>
    <w:rsid w:val="002B0CCE"/>
    <w:rsid w:val="002B13B3"/>
    <w:rsid w:val="002B1D3B"/>
    <w:rsid w:val="002B34AC"/>
    <w:rsid w:val="002B6546"/>
    <w:rsid w:val="002B6787"/>
    <w:rsid w:val="002C19C4"/>
    <w:rsid w:val="002C2F67"/>
    <w:rsid w:val="002C3425"/>
    <w:rsid w:val="002C46AE"/>
    <w:rsid w:val="002C6D31"/>
    <w:rsid w:val="002C73AF"/>
    <w:rsid w:val="002D113B"/>
    <w:rsid w:val="002D33A3"/>
    <w:rsid w:val="002D3A8F"/>
    <w:rsid w:val="002D416B"/>
    <w:rsid w:val="002D4721"/>
    <w:rsid w:val="002D4975"/>
    <w:rsid w:val="002D4F71"/>
    <w:rsid w:val="002D64F6"/>
    <w:rsid w:val="002E21A8"/>
    <w:rsid w:val="002E37C4"/>
    <w:rsid w:val="002E3F86"/>
    <w:rsid w:val="002E5003"/>
    <w:rsid w:val="002E5311"/>
    <w:rsid w:val="002E6B7B"/>
    <w:rsid w:val="002E72DE"/>
    <w:rsid w:val="002F09F7"/>
    <w:rsid w:val="002F26A4"/>
    <w:rsid w:val="002F2AE8"/>
    <w:rsid w:val="002F2EA2"/>
    <w:rsid w:val="002F3150"/>
    <w:rsid w:val="002F3219"/>
    <w:rsid w:val="002F38DE"/>
    <w:rsid w:val="002F4417"/>
    <w:rsid w:val="002F613B"/>
    <w:rsid w:val="002F68E6"/>
    <w:rsid w:val="00301559"/>
    <w:rsid w:val="003021CF"/>
    <w:rsid w:val="00305D93"/>
    <w:rsid w:val="00305E5D"/>
    <w:rsid w:val="00306D42"/>
    <w:rsid w:val="00307390"/>
    <w:rsid w:val="00310E52"/>
    <w:rsid w:val="00311B5D"/>
    <w:rsid w:val="00312EC0"/>
    <w:rsid w:val="00314982"/>
    <w:rsid w:val="0032081E"/>
    <w:rsid w:val="0032086F"/>
    <w:rsid w:val="003209C0"/>
    <w:rsid w:val="00320E41"/>
    <w:rsid w:val="00324BC9"/>
    <w:rsid w:val="00325261"/>
    <w:rsid w:val="0032552F"/>
    <w:rsid w:val="00327A4C"/>
    <w:rsid w:val="00327AD0"/>
    <w:rsid w:val="00327B70"/>
    <w:rsid w:val="00327F5C"/>
    <w:rsid w:val="003311AE"/>
    <w:rsid w:val="00332802"/>
    <w:rsid w:val="003328E0"/>
    <w:rsid w:val="00333391"/>
    <w:rsid w:val="0033345A"/>
    <w:rsid w:val="00333FAA"/>
    <w:rsid w:val="003348EF"/>
    <w:rsid w:val="003349B3"/>
    <w:rsid w:val="00334A94"/>
    <w:rsid w:val="003360F3"/>
    <w:rsid w:val="0033766E"/>
    <w:rsid w:val="00341EAD"/>
    <w:rsid w:val="00344F2E"/>
    <w:rsid w:val="00347F5B"/>
    <w:rsid w:val="0035108F"/>
    <w:rsid w:val="00351D3D"/>
    <w:rsid w:val="003536A9"/>
    <w:rsid w:val="00354578"/>
    <w:rsid w:val="00354A7B"/>
    <w:rsid w:val="00354CEB"/>
    <w:rsid w:val="00354DFA"/>
    <w:rsid w:val="003561DA"/>
    <w:rsid w:val="00360D7B"/>
    <w:rsid w:val="003617DE"/>
    <w:rsid w:val="003621F8"/>
    <w:rsid w:val="00362819"/>
    <w:rsid w:val="00362AC8"/>
    <w:rsid w:val="003635B3"/>
    <w:rsid w:val="00363883"/>
    <w:rsid w:val="003640D0"/>
    <w:rsid w:val="00364136"/>
    <w:rsid w:val="00364CFA"/>
    <w:rsid w:val="00365272"/>
    <w:rsid w:val="003660F2"/>
    <w:rsid w:val="0036691A"/>
    <w:rsid w:val="003679C8"/>
    <w:rsid w:val="00367D2B"/>
    <w:rsid w:val="0037014F"/>
    <w:rsid w:val="00371930"/>
    <w:rsid w:val="00371A88"/>
    <w:rsid w:val="00371F5B"/>
    <w:rsid w:val="00372461"/>
    <w:rsid w:val="00372AE8"/>
    <w:rsid w:val="00373B31"/>
    <w:rsid w:val="003753D3"/>
    <w:rsid w:val="00376F57"/>
    <w:rsid w:val="0038154B"/>
    <w:rsid w:val="00382026"/>
    <w:rsid w:val="00382044"/>
    <w:rsid w:val="00383100"/>
    <w:rsid w:val="00383A50"/>
    <w:rsid w:val="00384261"/>
    <w:rsid w:val="00385087"/>
    <w:rsid w:val="003850BB"/>
    <w:rsid w:val="00386070"/>
    <w:rsid w:val="00387430"/>
    <w:rsid w:val="00390317"/>
    <w:rsid w:val="00390DF8"/>
    <w:rsid w:val="00390FFF"/>
    <w:rsid w:val="00392381"/>
    <w:rsid w:val="00393A51"/>
    <w:rsid w:val="00394BB6"/>
    <w:rsid w:val="00397C5A"/>
    <w:rsid w:val="00397CB7"/>
    <w:rsid w:val="003A209F"/>
    <w:rsid w:val="003A2935"/>
    <w:rsid w:val="003A3096"/>
    <w:rsid w:val="003A33B1"/>
    <w:rsid w:val="003A3C46"/>
    <w:rsid w:val="003A4A0A"/>
    <w:rsid w:val="003A67C1"/>
    <w:rsid w:val="003A7513"/>
    <w:rsid w:val="003A7DF0"/>
    <w:rsid w:val="003B0AD3"/>
    <w:rsid w:val="003B0EE0"/>
    <w:rsid w:val="003B0FAE"/>
    <w:rsid w:val="003B2115"/>
    <w:rsid w:val="003B47AE"/>
    <w:rsid w:val="003B682E"/>
    <w:rsid w:val="003B75E5"/>
    <w:rsid w:val="003C1D86"/>
    <w:rsid w:val="003C449E"/>
    <w:rsid w:val="003C4C06"/>
    <w:rsid w:val="003C5CC1"/>
    <w:rsid w:val="003C7370"/>
    <w:rsid w:val="003C7535"/>
    <w:rsid w:val="003C7CB4"/>
    <w:rsid w:val="003D19DE"/>
    <w:rsid w:val="003D1C17"/>
    <w:rsid w:val="003D210F"/>
    <w:rsid w:val="003D4140"/>
    <w:rsid w:val="003D44E9"/>
    <w:rsid w:val="003D48BD"/>
    <w:rsid w:val="003D4A34"/>
    <w:rsid w:val="003E1A80"/>
    <w:rsid w:val="003E25ED"/>
    <w:rsid w:val="003E2CEE"/>
    <w:rsid w:val="003E438B"/>
    <w:rsid w:val="003E542B"/>
    <w:rsid w:val="003E6286"/>
    <w:rsid w:val="003E735D"/>
    <w:rsid w:val="003E76D1"/>
    <w:rsid w:val="003F06E2"/>
    <w:rsid w:val="003F30A2"/>
    <w:rsid w:val="003F444A"/>
    <w:rsid w:val="003F676C"/>
    <w:rsid w:val="003F787A"/>
    <w:rsid w:val="00401400"/>
    <w:rsid w:val="00401BE7"/>
    <w:rsid w:val="00402858"/>
    <w:rsid w:val="004030EA"/>
    <w:rsid w:val="004034E3"/>
    <w:rsid w:val="00403C01"/>
    <w:rsid w:val="0040422E"/>
    <w:rsid w:val="0040469E"/>
    <w:rsid w:val="00404C0C"/>
    <w:rsid w:val="00405A7A"/>
    <w:rsid w:val="00406BA9"/>
    <w:rsid w:val="00410C44"/>
    <w:rsid w:val="00411AA5"/>
    <w:rsid w:val="00411F98"/>
    <w:rsid w:val="004131F9"/>
    <w:rsid w:val="00415350"/>
    <w:rsid w:val="0041593A"/>
    <w:rsid w:val="00415C94"/>
    <w:rsid w:val="004217D7"/>
    <w:rsid w:val="004229DB"/>
    <w:rsid w:val="00423468"/>
    <w:rsid w:val="0042373F"/>
    <w:rsid w:val="004247A6"/>
    <w:rsid w:val="004256AF"/>
    <w:rsid w:val="00425825"/>
    <w:rsid w:val="00425E2C"/>
    <w:rsid w:val="00426A80"/>
    <w:rsid w:val="00430882"/>
    <w:rsid w:val="00432284"/>
    <w:rsid w:val="00432B89"/>
    <w:rsid w:val="004330F6"/>
    <w:rsid w:val="0043324D"/>
    <w:rsid w:val="00433C24"/>
    <w:rsid w:val="004340FF"/>
    <w:rsid w:val="00434EAF"/>
    <w:rsid w:val="00434FAC"/>
    <w:rsid w:val="004358F8"/>
    <w:rsid w:val="00435D0F"/>
    <w:rsid w:val="00436665"/>
    <w:rsid w:val="0043691C"/>
    <w:rsid w:val="00437765"/>
    <w:rsid w:val="00441FC7"/>
    <w:rsid w:val="00443BA8"/>
    <w:rsid w:val="00444B0F"/>
    <w:rsid w:val="00445260"/>
    <w:rsid w:val="00445799"/>
    <w:rsid w:val="00450718"/>
    <w:rsid w:val="00451867"/>
    <w:rsid w:val="00451AF4"/>
    <w:rsid w:val="00451ED5"/>
    <w:rsid w:val="00452380"/>
    <w:rsid w:val="0045291E"/>
    <w:rsid w:val="00453DE7"/>
    <w:rsid w:val="0045405E"/>
    <w:rsid w:val="00454309"/>
    <w:rsid w:val="00454815"/>
    <w:rsid w:val="00454EFF"/>
    <w:rsid w:val="00457A13"/>
    <w:rsid w:val="004606A8"/>
    <w:rsid w:val="00460DF0"/>
    <w:rsid w:val="00463473"/>
    <w:rsid w:val="00463582"/>
    <w:rsid w:val="00463D9A"/>
    <w:rsid w:val="004704FC"/>
    <w:rsid w:val="00470BF1"/>
    <w:rsid w:val="00473D49"/>
    <w:rsid w:val="00474530"/>
    <w:rsid w:val="00476557"/>
    <w:rsid w:val="00477DA3"/>
    <w:rsid w:val="0048135B"/>
    <w:rsid w:val="00482018"/>
    <w:rsid w:val="004829DB"/>
    <w:rsid w:val="00483319"/>
    <w:rsid w:val="0048378C"/>
    <w:rsid w:val="004853BC"/>
    <w:rsid w:val="0048727C"/>
    <w:rsid w:val="00487A2A"/>
    <w:rsid w:val="00492BB9"/>
    <w:rsid w:val="00493075"/>
    <w:rsid w:val="00493689"/>
    <w:rsid w:val="00494677"/>
    <w:rsid w:val="00494F5F"/>
    <w:rsid w:val="004A054B"/>
    <w:rsid w:val="004A3DED"/>
    <w:rsid w:val="004A43D8"/>
    <w:rsid w:val="004A4EC9"/>
    <w:rsid w:val="004A73C3"/>
    <w:rsid w:val="004A76D7"/>
    <w:rsid w:val="004B1242"/>
    <w:rsid w:val="004B340F"/>
    <w:rsid w:val="004B3F5F"/>
    <w:rsid w:val="004B4839"/>
    <w:rsid w:val="004B5C59"/>
    <w:rsid w:val="004C161D"/>
    <w:rsid w:val="004C1870"/>
    <w:rsid w:val="004C408C"/>
    <w:rsid w:val="004C62DB"/>
    <w:rsid w:val="004C6F58"/>
    <w:rsid w:val="004D0B27"/>
    <w:rsid w:val="004D1BCB"/>
    <w:rsid w:val="004D31A2"/>
    <w:rsid w:val="004D38B1"/>
    <w:rsid w:val="004D3A7A"/>
    <w:rsid w:val="004D3E38"/>
    <w:rsid w:val="004D429E"/>
    <w:rsid w:val="004D52AB"/>
    <w:rsid w:val="004D7284"/>
    <w:rsid w:val="004D7738"/>
    <w:rsid w:val="004D7914"/>
    <w:rsid w:val="004E0AF5"/>
    <w:rsid w:val="004E1198"/>
    <w:rsid w:val="004E2407"/>
    <w:rsid w:val="004E2973"/>
    <w:rsid w:val="004E3BD0"/>
    <w:rsid w:val="004E70BE"/>
    <w:rsid w:val="004E71D7"/>
    <w:rsid w:val="004E7322"/>
    <w:rsid w:val="004E7EEE"/>
    <w:rsid w:val="004F64E4"/>
    <w:rsid w:val="004F67CD"/>
    <w:rsid w:val="004F7BB8"/>
    <w:rsid w:val="004F7CFE"/>
    <w:rsid w:val="004F7E80"/>
    <w:rsid w:val="00500EB7"/>
    <w:rsid w:val="00502BC8"/>
    <w:rsid w:val="00502BCC"/>
    <w:rsid w:val="005050E9"/>
    <w:rsid w:val="005055AB"/>
    <w:rsid w:val="00505E4E"/>
    <w:rsid w:val="00507904"/>
    <w:rsid w:val="00510ACB"/>
    <w:rsid w:val="005126BE"/>
    <w:rsid w:val="00512E91"/>
    <w:rsid w:val="005168AE"/>
    <w:rsid w:val="00516B20"/>
    <w:rsid w:val="00520050"/>
    <w:rsid w:val="00520367"/>
    <w:rsid w:val="005210EE"/>
    <w:rsid w:val="00522697"/>
    <w:rsid w:val="0052570B"/>
    <w:rsid w:val="00526111"/>
    <w:rsid w:val="00526A00"/>
    <w:rsid w:val="0052763A"/>
    <w:rsid w:val="00527C95"/>
    <w:rsid w:val="00530EAF"/>
    <w:rsid w:val="00530F84"/>
    <w:rsid w:val="00532160"/>
    <w:rsid w:val="005339EA"/>
    <w:rsid w:val="005355AA"/>
    <w:rsid w:val="00535A1D"/>
    <w:rsid w:val="00535CF8"/>
    <w:rsid w:val="00536E8F"/>
    <w:rsid w:val="00540716"/>
    <w:rsid w:val="00540ECB"/>
    <w:rsid w:val="005419A8"/>
    <w:rsid w:val="0054239B"/>
    <w:rsid w:val="00542724"/>
    <w:rsid w:val="00544EEC"/>
    <w:rsid w:val="00545CC3"/>
    <w:rsid w:val="00545ED7"/>
    <w:rsid w:val="005463E5"/>
    <w:rsid w:val="00547059"/>
    <w:rsid w:val="00547D74"/>
    <w:rsid w:val="00552312"/>
    <w:rsid w:val="00552DB7"/>
    <w:rsid w:val="0055506C"/>
    <w:rsid w:val="0055558E"/>
    <w:rsid w:val="005570CD"/>
    <w:rsid w:val="005615C1"/>
    <w:rsid w:val="00561D93"/>
    <w:rsid w:val="0056274F"/>
    <w:rsid w:val="00563794"/>
    <w:rsid w:val="00565D9E"/>
    <w:rsid w:val="00565FDF"/>
    <w:rsid w:val="00566117"/>
    <w:rsid w:val="00567821"/>
    <w:rsid w:val="00567AA2"/>
    <w:rsid w:val="0057169B"/>
    <w:rsid w:val="00572197"/>
    <w:rsid w:val="00574395"/>
    <w:rsid w:val="00575F0B"/>
    <w:rsid w:val="005764F8"/>
    <w:rsid w:val="00580FF1"/>
    <w:rsid w:val="00581C5E"/>
    <w:rsid w:val="00582FD0"/>
    <w:rsid w:val="00583B68"/>
    <w:rsid w:val="00584600"/>
    <w:rsid w:val="0059277C"/>
    <w:rsid w:val="00592FFF"/>
    <w:rsid w:val="00593695"/>
    <w:rsid w:val="005942D3"/>
    <w:rsid w:val="005965D4"/>
    <w:rsid w:val="00597FAD"/>
    <w:rsid w:val="005A022F"/>
    <w:rsid w:val="005A1470"/>
    <w:rsid w:val="005A152D"/>
    <w:rsid w:val="005A2324"/>
    <w:rsid w:val="005A29EB"/>
    <w:rsid w:val="005A2D72"/>
    <w:rsid w:val="005A2EE1"/>
    <w:rsid w:val="005A5070"/>
    <w:rsid w:val="005A57DD"/>
    <w:rsid w:val="005B02AE"/>
    <w:rsid w:val="005B1185"/>
    <w:rsid w:val="005B5F4C"/>
    <w:rsid w:val="005B5F7E"/>
    <w:rsid w:val="005B69A7"/>
    <w:rsid w:val="005B6E22"/>
    <w:rsid w:val="005C07B4"/>
    <w:rsid w:val="005C0CDE"/>
    <w:rsid w:val="005C1130"/>
    <w:rsid w:val="005C38F3"/>
    <w:rsid w:val="005C3C3B"/>
    <w:rsid w:val="005C4021"/>
    <w:rsid w:val="005C445A"/>
    <w:rsid w:val="005C55A3"/>
    <w:rsid w:val="005C5BD5"/>
    <w:rsid w:val="005C6D1E"/>
    <w:rsid w:val="005C7B26"/>
    <w:rsid w:val="005D2ED3"/>
    <w:rsid w:val="005D5675"/>
    <w:rsid w:val="005D5C6D"/>
    <w:rsid w:val="005D69E6"/>
    <w:rsid w:val="005D768C"/>
    <w:rsid w:val="005D76F9"/>
    <w:rsid w:val="005E2212"/>
    <w:rsid w:val="005E3D52"/>
    <w:rsid w:val="005E476F"/>
    <w:rsid w:val="005E6E1B"/>
    <w:rsid w:val="005F2FAB"/>
    <w:rsid w:val="0060091C"/>
    <w:rsid w:val="006011F9"/>
    <w:rsid w:val="006013CE"/>
    <w:rsid w:val="00603CFD"/>
    <w:rsid w:val="00604319"/>
    <w:rsid w:val="00605ED6"/>
    <w:rsid w:val="006066D1"/>
    <w:rsid w:val="00610E07"/>
    <w:rsid w:val="00611931"/>
    <w:rsid w:val="0061199D"/>
    <w:rsid w:val="0061437C"/>
    <w:rsid w:val="006143D1"/>
    <w:rsid w:val="0061593C"/>
    <w:rsid w:val="00620631"/>
    <w:rsid w:val="00620A48"/>
    <w:rsid w:val="00622281"/>
    <w:rsid w:val="00624023"/>
    <w:rsid w:val="00625147"/>
    <w:rsid w:val="006263A8"/>
    <w:rsid w:val="006267EC"/>
    <w:rsid w:val="00630596"/>
    <w:rsid w:val="006305A5"/>
    <w:rsid w:val="006307AD"/>
    <w:rsid w:val="00632CE5"/>
    <w:rsid w:val="00633A41"/>
    <w:rsid w:val="00634127"/>
    <w:rsid w:val="0063454B"/>
    <w:rsid w:val="006349CF"/>
    <w:rsid w:val="0064038F"/>
    <w:rsid w:val="00641199"/>
    <w:rsid w:val="00644B99"/>
    <w:rsid w:val="0064502F"/>
    <w:rsid w:val="00645063"/>
    <w:rsid w:val="006453C8"/>
    <w:rsid w:val="006455EB"/>
    <w:rsid w:val="00645922"/>
    <w:rsid w:val="00647079"/>
    <w:rsid w:val="00651C09"/>
    <w:rsid w:val="006522C7"/>
    <w:rsid w:val="006522DC"/>
    <w:rsid w:val="00654C38"/>
    <w:rsid w:val="00655112"/>
    <w:rsid w:val="0065530F"/>
    <w:rsid w:val="00656961"/>
    <w:rsid w:val="00657034"/>
    <w:rsid w:val="0066013C"/>
    <w:rsid w:val="0066048F"/>
    <w:rsid w:val="00661922"/>
    <w:rsid w:val="00662F3A"/>
    <w:rsid w:val="00663C25"/>
    <w:rsid w:val="00664153"/>
    <w:rsid w:val="00665AB9"/>
    <w:rsid w:val="00665B82"/>
    <w:rsid w:val="006674D1"/>
    <w:rsid w:val="0067049F"/>
    <w:rsid w:val="00673221"/>
    <w:rsid w:val="006733C3"/>
    <w:rsid w:val="00673C52"/>
    <w:rsid w:val="006740BC"/>
    <w:rsid w:val="00675BF5"/>
    <w:rsid w:val="00676C22"/>
    <w:rsid w:val="00680D56"/>
    <w:rsid w:val="006824FC"/>
    <w:rsid w:val="006826AD"/>
    <w:rsid w:val="00683C5A"/>
    <w:rsid w:val="00686229"/>
    <w:rsid w:val="00686931"/>
    <w:rsid w:val="006874EA"/>
    <w:rsid w:val="006919B5"/>
    <w:rsid w:val="00692757"/>
    <w:rsid w:val="0069414A"/>
    <w:rsid w:val="00696523"/>
    <w:rsid w:val="00697A29"/>
    <w:rsid w:val="006A0226"/>
    <w:rsid w:val="006A0C5C"/>
    <w:rsid w:val="006A232C"/>
    <w:rsid w:val="006A3CA7"/>
    <w:rsid w:val="006A6579"/>
    <w:rsid w:val="006A6711"/>
    <w:rsid w:val="006A6CB1"/>
    <w:rsid w:val="006B0C3A"/>
    <w:rsid w:val="006B322E"/>
    <w:rsid w:val="006C1310"/>
    <w:rsid w:val="006C4D2D"/>
    <w:rsid w:val="006C5F9B"/>
    <w:rsid w:val="006C6085"/>
    <w:rsid w:val="006C6FDD"/>
    <w:rsid w:val="006C769B"/>
    <w:rsid w:val="006C7E20"/>
    <w:rsid w:val="006D0A6D"/>
    <w:rsid w:val="006D0A70"/>
    <w:rsid w:val="006D1B01"/>
    <w:rsid w:val="006D1C93"/>
    <w:rsid w:val="006D2198"/>
    <w:rsid w:val="006D25C7"/>
    <w:rsid w:val="006D6416"/>
    <w:rsid w:val="006D69BF"/>
    <w:rsid w:val="006D6F6A"/>
    <w:rsid w:val="006D6FCC"/>
    <w:rsid w:val="006E26DF"/>
    <w:rsid w:val="006E27ED"/>
    <w:rsid w:val="006E2FAC"/>
    <w:rsid w:val="006E4431"/>
    <w:rsid w:val="006E444B"/>
    <w:rsid w:val="006E47CF"/>
    <w:rsid w:val="006E7659"/>
    <w:rsid w:val="006F02DD"/>
    <w:rsid w:val="006F332D"/>
    <w:rsid w:val="006F4276"/>
    <w:rsid w:val="006F4D27"/>
    <w:rsid w:val="006F6818"/>
    <w:rsid w:val="00702017"/>
    <w:rsid w:val="00702A6F"/>
    <w:rsid w:val="0070330A"/>
    <w:rsid w:val="0070397B"/>
    <w:rsid w:val="00705E82"/>
    <w:rsid w:val="00706BB0"/>
    <w:rsid w:val="00711374"/>
    <w:rsid w:val="00711A33"/>
    <w:rsid w:val="0071301E"/>
    <w:rsid w:val="007130F4"/>
    <w:rsid w:val="007143B9"/>
    <w:rsid w:val="00715015"/>
    <w:rsid w:val="00716DBF"/>
    <w:rsid w:val="00717482"/>
    <w:rsid w:val="00717DA4"/>
    <w:rsid w:val="00720C42"/>
    <w:rsid w:val="007249AC"/>
    <w:rsid w:val="00727286"/>
    <w:rsid w:val="00730364"/>
    <w:rsid w:val="00730F14"/>
    <w:rsid w:val="00731D31"/>
    <w:rsid w:val="00733336"/>
    <w:rsid w:val="00733D43"/>
    <w:rsid w:val="00740509"/>
    <w:rsid w:val="00740AE1"/>
    <w:rsid w:val="00743C2A"/>
    <w:rsid w:val="00743D1C"/>
    <w:rsid w:val="00744001"/>
    <w:rsid w:val="00745408"/>
    <w:rsid w:val="00746339"/>
    <w:rsid w:val="00746D1E"/>
    <w:rsid w:val="00747993"/>
    <w:rsid w:val="007501CE"/>
    <w:rsid w:val="007503CD"/>
    <w:rsid w:val="00750AF4"/>
    <w:rsid w:val="00753AA6"/>
    <w:rsid w:val="00755671"/>
    <w:rsid w:val="00756D98"/>
    <w:rsid w:val="00757FD4"/>
    <w:rsid w:val="007612B8"/>
    <w:rsid w:val="007614B2"/>
    <w:rsid w:val="007616F2"/>
    <w:rsid w:val="00762B82"/>
    <w:rsid w:val="00763174"/>
    <w:rsid w:val="00763BC0"/>
    <w:rsid w:val="007641CB"/>
    <w:rsid w:val="00764412"/>
    <w:rsid w:val="007677DE"/>
    <w:rsid w:val="0077097C"/>
    <w:rsid w:val="00771341"/>
    <w:rsid w:val="0077188C"/>
    <w:rsid w:val="00772C45"/>
    <w:rsid w:val="00774906"/>
    <w:rsid w:val="0077676F"/>
    <w:rsid w:val="00776AF3"/>
    <w:rsid w:val="00780381"/>
    <w:rsid w:val="00781B06"/>
    <w:rsid w:val="00781CAA"/>
    <w:rsid w:val="00785B93"/>
    <w:rsid w:val="00785CD4"/>
    <w:rsid w:val="00786966"/>
    <w:rsid w:val="00793159"/>
    <w:rsid w:val="00793894"/>
    <w:rsid w:val="00793F4F"/>
    <w:rsid w:val="007958CC"/>
    <w:rsid w:val="00797305"/>
    <w:rsid w:val="007A2841"/>
    <w:rsid w:val="007A367C"/>
    <w:rsid w:val="007A494C"/>
    <w:rsid w:val="007A4CA0"/>
    <w:rsid w:val="007A59BA"/>
    <w:rsid w:val="007A6BFF"/>
    <w:rsid w:val="007B0292"/>
    <w:rsid w:val="007B1396"/>
    <w:rsid w:val="007B14E1"/>
    <w:rsid w:val="007B1A7D"/>
    <w:rsid w:val="007B6771"/>
    <w:rsid w:val="007B7D36"/>
    <w:rsid w:val="007C1945"/>
    <w:rsid w:val="007C1F31"/>
    <w:rsid w:val="007C3464"/>
    <w:rsid w:val="007C3F49"/>
    <w:rsid w:val="007C559B"/>
    <w:rsid w:val="007C55E1"/>
    <w:rsid w:val="007D133D"/>
    <w:rsid w:val="007D15F4"/>
    <w:rsid w:val="007D2B41"/>
    <w:rsid w:val="007D4563"/>
    <w:rsid w:val="007D4F62"/>
    <w:rsid w:val="007D67B7"/>
    <w:rsid w:val="007D6819"/>
    <w:rsid w:val="007E22B1"/>
    <w:rsid w:val="007E2810"/>
    <w:rsid w:val="007E37C4"/>
    <w:rsid w:val="007E3C30"/>
    <w:rsid w:val="007E5D4C"/>
    <w:rsid w:val="007F1F5A"/>
    <w:rsid w:val="007F27E0"/>
    <w:rsid w:val="007F28EC"/>
    <w:rsid w:val="007F3CF1"/>
    <w:rsid w:val="007F4391"/>
    <w:rsid w:val="007F7BD5"/>
    <w:rsid w:val="008005B0"/>
    <w:rsid w:val="00800BC3"/>
    <w:rsid w:val="00801BAC"/>
    <w:rsid w:val="0080239D"/>
    <w:rsid w:val="00804A34"/>
    <w:rsid w:val="00804F15"/>
    <w:rsid w:val="008053F2"/>
    <w:rsid w:val="00806CC7"/>
    <w:rsid w:val="00807472"/>
    <w:rsid w:val="008079CC"/>
    <w:rsid w:val="0080C279"/>
    <w:rsid w:val="008101A0"/>
    <w:rsid w:val="00810B1A"/>
    <w:rsid w:val="008119CB"/>
    <w:rsid w:val="00812565"/>
    <w:rsid w:val="00813105"/>
    <w:rsid w:val="008145DC"/>
    <w:rsid w:val="00815822"/>
    <w:rsid w:val="00816728"/>
    <w:rsid w:val="008170A3"/>
    <w:rsid w:val="00820969"/>
    <w:rsid w:val="00820D7F"/>
    <w:rsid w:val="00821962"/>
    <w:rsid w:val="00822F5F"/>
    <w:rsid w:val="008238D7"/>
    <w:rsid w:val="00823E2D"/>
    <w:rsid w:val="00824183"/>
    <w:rsid w:val="00825DAD"/>
    <w:rsid w:val="00826A77"/>
    <w:rsid w:val="00826BAE"/>
    <w:rsid w:val="0083146B"/>
    <w:rsid w:val="00831FF3"/>
    <w:rsid w:val="008338F6"/>
    <w:rsid w:val="00834DE3"/>
    <w:rsid w:val="00834EA9"/>
    <w:rsid w:val="00835136"/>
    <w:rsid w:val="00835145"/>
    <w:rsid w:val="00837B88"/>
    <w:rsid w:val="00841FCA"/>
    <w:rsid w:val="008427AC"/>
    <w:rsid w:val="00843097"/>
    <w:rsid w:val="00844BAB"/>
    <w:rsid w:val="008468EA"/>
    <w:rsid w:val="00847124"/>
    <w:rsid w:val="008519C0"/>
    <w:rsid w:val="00851B71"/>
    <w:rsid w:val="008547C9"/>
    <w:rsid w:val="00854936"/>
    <w:rsid w:val="008559AD"/>
    <w:rsid w:val="008579FC"/>
    <w:rsid w:val="00860A98"/>
    <w:rsid w:val="00861A48"/>
    <w:rsid w:val="00862FEF"/>
    <w:rsid w:val="00863CCB"/>
    <w:rsid w:val="00863FA7"/>
    <w:rsid w:val="008662A1"/>
    <w:rsid w:val="0086646F"/>
    <w:rsid w:val="00870502"/>
    <w:rsid w:val="00870D82"/>
    <w:rsid w:val="008733B9"/>
    <w:rsid w:val="008745AD"/>
    <w:rsid w:val="008751BA"/>
    <w:rsid w:val="008771DE"/>
    <w:rsid w:val="0087726E"/>
    <w:rsid w:val="008774DF"/>
    <w:rsid w:val="008834B3"/>
    <w:rsid w:val="0088419A"/>
    <w:rsid w:val="00884F74"/>
    <w:rsid w:val="00886CD0"/>
    <w:rsid w:val="008871F8"/>
    <w:rsid w:val="008873EA"/>
    <w:rsid w:val="00887CF6"/>
    <w:rsid w:val="00887E19"/>
    <w:rsid w:val="00891759"/>
    <w:rsid w:val="00893A8B"/>
    <w:rsid w:val="00895F07"/>
    <w:rsid w:val="008A0D21"/>
    <w:rsid w:val="008A3EB5"/>
    <w:rsid w:val="008A4713"/>
    <w:rsid w:val="008B0012"/>
    <w:rsid w:val="008B004A"/>
    <w:rsid w:val="008B01C2"/>
    <w:rsid w:val="008B07FC"/>
    <w:rsid w:val="008B4175"/>
    <w:rsid w:val="008B510C"/>
    <w:rsid w:val="008B5124"/>
    <w:rsid w:val="008B568F"/>
    <w:rsid w:val="008B5720"/>
    <w:rsid w:val="008B74C0"/>
    <w:rsid w:val="008C05B5"/>
    <w:rsid w:val="008C1B3F"/>
    <w:rsid w:val="008C1BCE"/>
    <w:rsid w:val="008C2281"/>
    <w:rsid w:val="008C2521"/>
    <w:rsid w:val="008C2BA8"/>
    <w:rsid w:val="008C3411"/>
    <w:rsid w:val="008C34D3"/>
    <w:rsid w:val="008C5C00"/>
    <w:rsid w:val="008C6140"/>
    <w:rsid w:val="008C6601"/>
    <w:rsid w:val="008C7CB9"/>
    <w:rsid w:val="008D179C"/>
    <w:rsid w:val="008D2601"/>
    <w:rsid w:val="008D2C34"/>
    <w:rsid w:val="008D3AEA"/>
    <w:rsid w:val="008D4615"/>
    <w:rsid w:val="008D48DF"/>
    <w:rsid w:val="008D54E1"/>
    <w:rsid w:val="008D5F94"/>
    <w:rsid w:val="008D7D0D"/>
    <w:rsid w:val="008E0A5B"/>
    <w:rsid w:val="008E0B1D"/>
    <w:rsid w:val="008E1700"/>
    <w:rsid w:val="008E3375"/>
    <w:rsid w:val="008E7B12"/>
    <w:rsid w:val="008F0B34"/>
    <w:rsid w:val="008F3C33"/>
    <w:rsid w:val="008F3E47"/>
    <w:rsid w:val="008F4412"/>
    <w:rsid w:val="008F553E"/>
    <w:rsid w:val="0090081D"/>
    <w:rsid w:val="00900A0F"/>
    <w:rsid w:val="00902701"/>
    <w:rsid w:val="00905C0C"/>
    <w:rsid w:val="00905E1A"/>
    <w:rsid w:val="00906233"/>
    <w:rsid w:val="009062B8"/>
    <w:rsid w:val="00907AA3"/>
    <w:rsid w:val="009100AE"/>
    <w:rsid w:val="00911C4A"/>
    <w:rsid w:val="00911DAF"/>
    <w:rsid w:val="00912889"/>
    <w:rsid w:val="00912B54"/>
    <w:rsid w:val="00912D06"/>
    <w:rsid w:val="0091339B"/>
    <w:rsid w:val="009134FB"/>
    <w:rsid w:val="00914176"/>
    <w:rsid w:val="0091433E"/>
    <w:rsid w:val="009143A5"/>
    <w:rsid w:val="009167AA"/>
    <w:rsid w:val="00917139"/>
    <w:rsid w:val="00917C17"/>
    <w:rsid w:val="00920313"/>
    <w:rsid w:val="00920D5D"/>
    <w:rsid w:val="009213C2"/>
    <w:rsid w:val="00921C1A"/>
    <w:rsid w:val="009224BC"/>
    <w:rsid w:val="009234C4"/>
    <w:rsid w:val="00924C40"/>
    <w:rsid w:val="009253B4"/>
    <w:rsid w:val="009261BE"/>
    <w:rsid w:val="00927410"/>
    <w:rsid w:val="00927967"/>
    <w:rsid w:val="00930F96"/>
    <w:rsid w:val="009325AF"/>
    <w:rsid w:val="009329EB"/>
    <w:rsid w:val="00932B50"/>
    <w:rsid w:val="00932C3B"/>
    <w:rsid w:val="00932FF7"/>
    <w:rsid w:val="00933F99"/>
    <w:rsid w:val="00934F2D"/>
    <w:rsid w:val="009353AB"/>
    <w:rsid w:val="00935C6C"/>
    <w:rsid w:val="009370D3"/>
    <w:rsid w:val="009376F2"/>
    <w:rsid w:val="009404AB"/>
    <w:rsid w:val="00940586"/>
    <w:rsid w:val="009413AB"/>
    <w:rsid w:val="009439EF"/>
    <w:rsid w:val="009444AF"/>
    <w:rsid w:val="00945AAB"/>
    <w:rsid w:val="00950EF7"/>
    <w:rsid w:val="009538EC"/>
    <w:rsid w:val="00953A5D"/>
    <w:rsid w:val="00953ED6"/>
    <w:rsid w:val="00953F2F"/>
    <w:rsid w:val="009543EF"/>
    <w:rsid w:val="00956CE7"/>
    <w:rsid w:val="00957B52"/>
    <w:rsid w:val="00961187"/>
    <w:rsid w:val="0096317C"/>
    <w:rsid w:val="00963353"/>
    <w:rsid w:val="00963EAB"/>
    <w:rsid w:val="009668D9"/>
    <w:rsid w:val="009679D8"/>
    <w:rsid w:val="009706FF"/>
    <w:rsid w:val="00970801"/>
    <w:rsid w:val="00973944"/>
    <w:rsid w:val="00973A4F"/>
    <w:rsid w:val="00973E01"/>
    <w:rsid w:val="00974CBA"/>
    <w:rsid w:val="00975C84"/>
    <w:rsid w:val="00976CB7"/>
    <w:rsid w:val="00976E67"/>
    <w:rsid w:val="009772B2"/>
    <w:rsid w:val="00977AB4"/>
    <w:rsid w:val="00980233"/>
    <w:rsid w:val="00980D7F"/>
    <w:rsid w:val="00981B29"/>
    <w:rsid w:val="0098310D"/>
    <w:rsid w:val="0098311C"/>
    <w:rsid w:val="009831AD"/>
    <w:rsid w:val="0098385E"/>
    <w:rsid w:val="00985CCE"/>
    <w:rsid w:val="0098713C"/>
    <w:rsid w:val="00987BE4"/>
    <w:rsid w:val="0099058C"/>
    <w:rsid w:val="00990702"/>
    <w:rsid w:val="00990781"/>
    <w:rsid w:val="00993E6E"/>
    <w:rsid w:val="00994676"/>
    <w:rsid w:val="009952C3"/>
    <w:rsid w:val="00995E5C"/>
    <w:rsid w:val="00996458"/>
    <w:rsid w:val="009973B6"/>
    <w:rsid w:val="009A14BF"/>
    <w:rsid w:val="009A19A8"/>
    <w:rsid w:val="009A5421"/>
    <w:rsid w:val="009A7722"/>
    <w:rsid w:val="009A7E9E"/>
    <w:rsid w:val="009B0BA6"/>
    <w:rsid w:val="009B0E4F"/>
    <w:rsid w:val="009B1640"/>
    <w:rsid w:val="009B5CD7"/>
    <w:rsid w:val="009B5F10"/>
    <w:rsid w:val="009B6F61"/>
    <w:rsid w:val="009C1A98"/>
    <w:rsid w:val="009C208B"/>
    <w:rsid w:val="009C20D3"/>
    <w:rsid w:val="009C34C1"/>
    <w:rsid w:val="009C4B2F"/>
    <w:rsid w:val="009C4C70"/>
    <w:rsid w:val="009C5B9E"/>
    <w:rsid w:val="009C6AEA"/>
    <w:rsid w:val="009C7665"/>
    <w:rsid w:val="009C7702"/>
    <w:rsid w:val="009C7CF7"/>
    <w:rsid w:val="009C7CF8"/>
    <w:rsid w:val="009C7FFB"/>
    <w:rsid w:val="009D3A40"/>
    <w:rsid w:val="009D5FD2"/>
    <w:rsid w:val="009D63D6"/>
    <w:rsid w:val="009D7A73"/>
    <w:rsid w:val="009E05DC"/>
    <w:rsid w:val="009E103D"/>
    <w:rsid w:val="009E2236"/>
    <w:rsid w:val="009E2E90"/>
    <w:rsid w:val="009E3027"/>
    <w:rsid w:val="009E3F28"/>
    <w:rsid w:val="009E485A"/>
    <w:rsid w:val="009E4DC4"/>
    <w:rsid w:val="009E55AA"/>
    <w:rsid w:val="009E5B1B"/>
    <w:rsid w:val="009E7717"/>
    <w:rsid w:val="009F04FE"/>
    <w:rsid w:val="009F053D"/>
    <w:rsid w:val="009F1B78"/>
    <w:rsid w:val="009F38AF"/>
    <w:rsid w:val="009F47E2"/>
    <w:rsid w:val="009F5507"/>
    <w:rsid w:val="009F61F1"/>
    <w:rsid w:val="009F729C"/>
    <w:rsid w:val="009F7BFF"/>
    <w:rsid w:val="00A00C1C"/>
    <w:rsid w:val="00A0141D"/>
    <w:rsid w:val="00A0261B"/>
    <w:rsid w:val="00A030A1"/>
    <w:rsid w:val="00A05385"/>
    <w:rsid w:val="00A055CB"/>
    <w:rsid w:val="00A060E5"/>
    <w:rsid w:val="00A0690A"/>
    <w:rsid w:val="00A06E42"/>
    <w:rsid w:val="00A101A8"/>
    <w:rsid w:val="00A112E5"/>
    <w:rsid w:val="00A124D5"/>
    <w:rsid w:val="00A14F8D"/>
    <w:rsid w:val="00A1552B"/>
    <w:rsid w:val="00A159CE"/>
    <w:rsid w:val="00A15BC2"/>
    <w:rsid w:val="00A165A5"/>
    <w:rsid w:val="00A16645"/>
    <w:rsid w:val="00A1708F"/>
    <w:rsid w:val="00A17629"/>
    <w:rsid w:val="00A17F00"/>
    <w:rsid w:val="00A20052"/>
    <w:rsid w:val="00A20F4F"/>
    <w:rsid w:val="00A20FC4"/>
    <w:rsid w:val="00A21840"/>
    <w:rsid w:val="00A22767"/>
    <w:rsid w:val="00A23109"/>
    <w:rsid w:val="00A2454C"/>
    <w:rsid w:val="00A26B2F"/>
    <w:rsid w:val="00A27F3A"/>
    <w:rsid w:val="00A30D81"/>
    <w:rsid w:val="00A31D88"/>
    <w:rsid w:val="00A32366"/>
    <w:rsid w:val="00A32851"/>
    <w:rsid w:val="00A33D5E"/>
    <w:rsid w:val="00A33FF0"/>
    <w:rsid w:val="00A34495"/>
    <w:rsid w:val="00A35FC5"/>
    <w:rsid w:val="00A361DE"/>
    <w:rsid w:val="00A40949"/>
    <w:rsid w:val="00A4157B"/>
    <w:rsid w:val="00A443F8"/>
    <w:rsid w:val="00A4462F"/>
    <w:rsid w:val="00A446F5"/>
    <w:rsid w:val="00A44F1F"/>
    <w:rsid w:val="00A45B03"/>
    <w:rsid w:val="00A467F2"/>
    <w:rsid w:val="00A46F86"/>
    <w:rsid w:val="00A478AB"/>
    <w:rsid w:val="00A504A9"/>
    <w:rsid w:val="00A51F81"/>
    <w:rsid w:val="00A52086"/>
    <w:rsid w:val="00A52C83"/>
    <w:rsid w:val="00A54AAC"/>
    <w:rsid w:val="00A554FC"/>
    <w:rsid w:val="00A56F17"/>
    <w:rsid w:val="00A570FE"/>
    <w:rsid w:val="00A576F3"/>
    <w:rsid w:val="00A57A00"/>
    <w:rsid w:val="00A57C3A"/>
    <w:rsid w:val="00A61911"/>
    <w:rsid w:val="00A628C8"/>
    <w:rsid w:val="00A65744"/>
    <w:rsid w:val="00A66D8F"/>
    <w:rsid w:val="00A67A80"/>
    <w:rsid w:val="00A712B6"/>
    <w:rsid w:val="00A736C0"/>
    <w:rsid w:val="00A758F8"/>
    <w:rsid w:val="00A76182"/>
    <w:rsid w:val="00A77608"/>
    <w:rsid w:val="00A80896"/>
    <w:rsid w:val="00A8099F"/>
    <w:rsid w:val="00A80ECD"/>
    <w:rsid w:val="00A81CFC"/>
    <w:rsid w:val="00A84E47"/>
    <w:rsid w:val="00A85DBA"/>
    <w:rsid w:val="00A860D3"/>
    <w:rsid w:val="00A861DC"/>
    <w:rsid w:val="00A862C7"/>
    <w:rsid w:val="00A86E19"/>
    <w:rsid w:val="00A90AC8"/>
    <w:rsid w:val="00A91B1B"/>
    <w:rsid w:val="00A91EC3"/>
    <w:rsid w:val="00A93C83"/>
    <w:rsid w:val="00A955F1"/>
    <w:rsid w:val="00A959F6"/>
    <w:rsid w:val="00AA04B8"/>
    <w:rsid w:val="00AA3BB0"/>
    <w:rsid w:val="00AA41E1"/>
    <w:rsid w:val="00AA41F5"/>
    <w:rsid w:val="00AA4EA1"/>
    <w:rsid w:val="00AA51B1"/>
    <w:rsid w:val="00AA65D6"/>
    <w:rsid w:val="00AA7206"/>
    <w:rsid w:val="00AA7C9D"/>
    <w:rsid w:val="00AB17C9"/>
    <w:rsid w:val="00AB1C51"/>
    <w:rsid w:val="00AB2738"/>
    <w:rsid w:val="00AB3D57"/>
    <w:rsid w:val="00AB444C"/>
    <w:rsid w:val="00AB5344"/>
    <w:rsid w:val="00AB61D4"/>
    <w:rsid w:val="00AB68DF"/>
    <w:rsid w:val="00AB745A"/>
    <w:rsid w:val="00AC353C"/>
    <w:rsid w:val="00AC3970"/>
    <w:rsid w:val="00AC4304"/>
    <w:rsid w:val="00AC5FFA"/>
    <w:rsid w:val="00AC6605"/>
    <w:rsid w:val="00AC698E"/>
    <w:rsid w:val="00AD21FF"/>
    <w:rsid w:val="00AD2A80"/>
    <w:rsid w:val="00AD3C23"/>
    <w:rsid w:val="00AD3F0F"/>
    <w:rsid w:val="00AD40D0"/>
    <w:rsid w:val="00AD59C7"/>
    <w:rsid w:val="00AD6DBD"/>
    <w:rsid w:val="00AD7F39"/>
    <w:rsid w:val="00AE0019"/>
    <w:rsid w:val="00AE05BF"/>
    <w:rsid w:val="00AE161C"/>
    <w:rsid w:val="00AE1770"/>
    <w:rsid w:val="00AE2518"/>
    <w:rsid w:val="00AE2728"/>
    <w:rsid w:val="00AE2D92"/>
    <w:rsid w:val="00AE32E1"/>
    <w:rsid w:val="00AE3E20"/>
    <w:rsid w:val="00AE5210"/>
    <w:rsid w:val="00AE68C7"/>
    <w:rsid w:val="00AE74BF"/>
    <w:rsid w:val="00AE789F"/>
    <w:rsid w:val="00AE7F47"/>
    <w:rsid w:val="00AF0BF0"/>
    <w:rsid w:val="00AF0CD9"/>
    <w:rsid w:val="00AF22CC"/>
    <w:rsid w:val="00AF2EBF"/>
    <w:rsid w:val="00AF5B4D"/>
    <w:rsid w:val="00AF74EE"/>
    <w:rsid w:val="00B00E13"/>
    <w:rsid w:val="00B011BF"/>
    <w:rsid w:val="00B01917"/>
    <w:rsid w:val="00B01935"/>
    <w:rsid w:val="00B03215"/>
    <w:rsid w:val="00B04319"/>
    <w:rsid w:val="00B0633E"/>
    <w:rsid w:val="00B06AF3"/>
    <w:rsid w:val="00B07B55"/>
    <w:rsid w:val="00B1084A"/>
    <w:rsid w:val="00B11EB8"/>
    <w:rsid w:val="00B123B0"/>
    <w:rsid w:val="00B129C0"/>
    <w:rsid w:val="00B12A62"/>
    <w:rsid w:val="00B12ABE"/>
    <w:rsid w:val="00B13D4E"/>
    <w:rsid w:val="00B13F57"/>
    <w:rsid w:val="00B16369"/>
    <w:rsid w:val="00B16592"/>
    <w:rsid w:val="00B17C5A"/>
    <w:rsid w:val="00B2227F"/>
    <w:rsid w:val="00B230BD"/>
    <w:rsid w:val="00B238DE"/>
    <w:rsid w:val="00B2563F"/>
    <w:rsid w:val="00B257C1"/>
    <w:rsid w:val="00B258CF"/>
    <w:rsid w:val="00B2642D"/>
    <w:rsid w:val="00B26547"/>
    <w:rsid w:val="00B266A8"/>
    <w:rsid w:val="00B27634"/>
    <w:rsid w:val="00B27996"/>
    <w:rsid w:val="00B27C37"/>
    <w:rsid w:val="00B3136D"/>
    <w:rsid w:val="00B322EA"/>
    <w:rsid w:val="00B32669"/>
    <w:rsid w:val="00B3428E"/>
    <w:rsid w:val="00B34C4A"/>
    <w:rsid w:val="00B35F21"/>
    <w:rsid w:val="00B3735D"/>
    <w:rsid w:val="00B40533"/>
    <w:rsid w:val="00B407EE"/>
    <w:rsid w:val="00B428A6"/>
    <w:rsid w:val="00B42904"/>
    <w:rsid w:val="00B43177"/>
    <w:rsid w:val="00B43527"/>
    <w:rsid w:val="00B45B00"/>
    <w:rsid w:val="00B50038"/>
    <w:rsid w:val="00B50FA0"/>
    <w:rsid w:val="00B52946"/>
    <w:rsid w:val="00B53084"/>
    <w:rsid w:val="00B53575"/>
    <w:rsid w:val="00B53FA0"/>
    <w:rsid w:val="00B55151"/>
    <w:rsid w:val="00B553E7"/>
    <w:rsid w:val="00B5574A"/>
    <w:rsid w:val="00B55A5D"/>
    <w:rsid w:val="00B55E07"/>
    <w:rsid w:val="00B619BE"/>
    <w:rsid w:val="00B637F4"/>
    <w:rsid w:val="00B6431B"/>
    <w:rsid w:val="00B64A8C"/>
    <w:rsid w:val="00B64E92"/>
    <w:rsid w:val="00B65FEF"/>
    <w:rsid w:val="00B67E18"/>
    <w:rsid w:val="00B725F2"/>
    <w:rsid w:val="00B7430D"/>
    <w:rsid w:val="00B75F66"/>
    <w:rsid w:val="00B7670B"/>
    <w:rsid w:val="00B7702D"/>
    <w:rsid w:val="00B8072E"/>
    <w:rsid w:val="00B8176F"/>
    <w:rsid w:val="00B82ABE"/>
    <w:rsid w:val="00B833DB"/>
    <w:rsid w:val="00B84BDD"/>
    <w:rsid w:val="00B85C38"/>
    <w:rsid w:val="00B86057"/>
    <w:rsid w:val="00B86386"/>
    <w:rsid w:val="00B87CCF"/>
    <w:rsid w:val="00B900D3"/>
    <w:rsid w:val="00B909C1"/>
    <w:rsid w:val="00B9128D"/>
    <w:rsid w:val="00B91961"/>
    <w:rsid w:val="00B919C6"/>
    <w:rsid w:val="00B92242"/>
    <w:rsid w:val="00B92E84"/>
    <w:rsid w:val="00B93887"/>
    <w:rsid w:val="00B94584"/>
    <w:rsid w:val="00B967D2"/>
    <w:rsid w:val="00B97F0B"/>
    <w:rsid w:val="00B97F9A"/>
    <w:rsid w:val="00BA045A"/>
    <w:rsid w:val="00BA0E3A"/>
    <w:rsid w:val="00BA1367"/>
    <w:rsid w:val="00BA1454"/>
    <w:rsid w:val="00BA2E6A"/>
    <w:rsid w:val="00BA4094"/>
    <w:rsid w:val="00BA40C1"/>
    <w:rsid w:val="00BA451F"/>
    <w:rsid w:val="00BB00B9"/>
    <w:rsid w:val="00BB07F8"/>
    <w:rsid w:val="00BB3B9B"/>
    <w:rsid w:val="00BB5597"/>
    <w:rsid w:val="00BB5DB3"/>
    <w:rsid w:val="00BB65A8"/>
    <w:rsid w:val="00BC1B55"/>
    <w:rsid w:val="00BC1EA5"/>
    <w:rsid w:val="00BC223F"/>
    <w:rsid w:val="00BC27D5"/>
    <w:rsid w:val="00BC4688"/>
    <w:rsid w:val="00BC510D"/>
    <w:rsid w:val="00BC5161"/>
    <w:rsid w:val="00BC5490"/>
    <w:rsid w:val="00BC55F2"/>
    <w:rsid w:val="00BC5B31"/>
    <w:rsid w:val="00BC7E41"/>
    <w:rsid w:val="00BD1496"/>
    <w:rsid w:val="00BD361D"/>
    <w:rsid w:val="00BD39FA"/>
    <w:rsid w:val="00BD6868"/>
    <w:rsid w:val="00BD7383"/>
    <w:rsid w:val="00BE0102"/>
    <w:rsid w:val="00BE0DB7"/>
    <w:rsid w:val="00BE0DEB"/>
    <w:rsid w:val="00BE38DC"/>
    <w:rsid w:val="00BE4FAF"/>
    <w:rsid w:val="00BE5FA7"/>
    <w:rsid w:val="00BE73D6"/>
    <w:rsid w:val="00BE7409"/>
    <w:rsid w:val="00BE7C31"/>
    <w:rsid w:val="00BF1572"/>
    <w:rsid w:val="00BF26AC"/>
    <w:rsid w:val="00BF3C8C"/>
    <w:rsid w:val="00BF433C"/>
    <w:rsid w:val="00BF47FF"/>
    <w:rsid w:val="00BF50EE"/>
    <w:rsid w:val="00BF60B1"/>
    <w:rsid w:val="00BF7709"/>
    <w:rsid w:val="00C00268"/>
    <w:rsid w:val="00C01DED"/>
    <w:rsid w:val="00C03626"/>
    <w:rsid w:val="00C036AF"/>
    <w:rsid w:val="00C04442"/>
    <w:rsid w:val="00C046FB"/>
    <w:rsid w:val="00C05063"/>
    <w:rsid w:val="00C06858"/>
    <w:rsid w:val="00C10CC8"/>
    <w:rsid w:val="00C10F72"/>
    <w:rsid w:val="00C143E3"/>
    <w:rsid w:val="00C1574A"/>
    <w:rsid w:val="00C158D6"/>
    <w:rsid w:val="00C17B0A"/>
    <w:rsid w:val="00C20303"/>
    <w:rsid w:val="00C21179"/>
    <w:rsid w:val="00C2176B"/>
    <w:rsid w:val="00C225DE"/>
    <w:rsid w:val="00C22D25"/>
    <w:rsid w:val="00C24BFA"/>
    <w:rsid w:val="00C24D84"/>
    <w:rsid w:val="00C258A7"/>
    <w:rsid w:val="00C2713F"/>
    <w:rsid w:val="00C316D1"/>
    <w:rsid w:val="00C33B28"/>
    <w:rsid w:val="00C35019"/>
    <w:rsid w:val="00C35F6D"/>
    <w:rsid w:val="00C37321"/>
    <w:rsid w:val="00C37E21"/>
    <w:rsid w:val="00C40881"/>
    <w:rsid w:val="00C413C8"/>
    <w:rsid w:val="00C41A5E"/>
    <w:rsid w:val="00C42830"/>
    <w:rsid w:val="00C43705"/>
    <w:rsid w:val="00C44F6E"/>
    <w:rsid w:val="00C5040C"/>
    <w:rsid w:val="00C51465"/>
    <w:rsid w:val="00C52CFA"/>
    <w:rsid w:val="00C533C5"/>
    <w:rsid w:val="00C56C8D"/>
    <w:rsid w:val="00C570F7"/>
    <w:rsid w:val="00C57726"/>
    <w:rsid w:val="00C60F5E"/>
    <w:rsid w:val="00C62101"/>
    <w:rsid w:val="00C631AF"/>
    <w:rsid w:val="00C63317"/>
    <w:rsid w:val="00C63352"/>
    <w:rsid w:val="00C63895"/>
    <w:rsid w:val="00C64713"/>
    <w:rsid w:val="00C6757D"/>
    <w:rsid w:val="00C709FE"/>
    <w:rsid w:val="00C725BC"/>
    <w:rsid w:val="00C72FB8"/>
    <w:rsid w:val="00C75B14"/>
    <w:rsid w:val="00C76A4E"/>
    <w:rsid w:val="00C807FE"/>
    <w:rsid w:val="00C8216D"/>
    <w:rsid w:val="00C82EB1"/>
    <w:rsid w:val="00C85F9B"/>
    <w:rsid w:val="00C87BD5"/>
    <w:rsid w:val="00C91292"/>
    <w:rsid w:val="00C91C7F"/>
    <w:rsid w:val="00C933E2"/>
    <w:rsid w:val="00C9439A"/>
    <w:rsid w:val="00C94F09"/>
    <w:rsid w:val="00C9529D"/>
    <w:rsid w:val="00CA0797"/>
    <w:rsid w:val="00CA3158"/>
    <w:rsid w:val="00CA67D4"/>
    <w:rsid w:val="00CA7655"/>
    <w:rsid w:val="00CB057E"/>
    <w:rsid w:val="00CB3DB4"/>
    <w:rsid w:val="00CB48B6"/>
    <w:rsid w:val="00CB49E1"/>
    <w:rsid w:val="00CB4C21"/>
    <w:rsid w:val="00CB52EA"/>
    <w:rsid w:val="00CC028F"/>
    <w:rsid w:val="00CC07E8"/>
    <w:rsid w:val="00CC10FA"/>
    <w:rsid w:val="00CC3870"/>
    <w:rsid w:val="00CC562B"/>
    <w:rsid w:val="00CC5FF9"/>
    <w:rsid w:val="00CC617A"/>
    <w:rsid w:val="00CC69AA"/>
    <w:rsid w:val="00CC7278"/>
    <w:rsid w:val="00CD08EE"/>
    <w:rsid w:val="00CD2BDB"/>
    <w:rsid w:val="00CD3BBB"/>
    <w:rsid w:val="00CD452C"/>
    <w:rsid w:val="00CD4AE5"/>
    <w:rsid w:val="00CD55E2"/>
    <w:rsid w:val="00CD76A9"/>
    <w:rsid w:val="00CE0FE8"/>
    <w:rsid w:val="00CE11E8"/>
    <w:rsid w:val="00CE1DE9"/>
    <w:rsid w:val="00CE1F65"/>
    <w:rsid w:val="00CE289E"/>
    <w:rsid w:val="00CE370B"/>
    <w:rsid w:val="00CE3B1A"/>
    <w:rsid w:val="00CE421E"/>
    <w:rsid w:val="00CE5BFA"/>
    <w:rsid w:val="00CE6397"/>
    <w:rsid w:val="00CE6B3A"/>
    <w:rsid w:val="00CE74F0"/>
    <w:rsid w:val="00CF01BA"/>
    <w:rsid w:val="00CF0858"/>
    <w:rsid w:val="00CF21C1"/>
    <w:rsid w:val="00CF333E"/>
    <w:rsid w:val="00CF3D7D"/>
    <w:rsid w:val="00CF4871"/>
    <w:rsid w:val="00CF706E"/>
    <w:rsid w:val="00D003B8"/>
    <w:rsid w:val="00D010F7"/>
    <w:rsid w:val="00D013BE"/>
    <w:rsid w:val="00D02BEC"/>
    <w:rsid w:val="00D02F6B"/>
    <w:rsid w:val="00D02FE3"/>
    <w:rsid w:val="00D0392E"/>
    <w:rsid w:val="00D04788"/>
    <w:rsid w:val="00D04D94"/>
    <w:rsid w:val="00D07D8D"/>
    <w:rsid w:val="00D07F7C"/>
    <w:rsid w:val="00D111DC"/>
    <w:rsid w:val="00D1313B"/>
    <w:rsid w:val="00D13E94"/>
    <w:rsid w:val="00D1435E"/>
    <w:rsid w:val="00D14950"/>
    <w:rsid w:val="00D14D61"/>
    <w:rsid w:val="00D14E7E"/>
    <w:rsid w:val="00D14F78"/>
    <w:rsid w:val="00D152D5"/>
    <w:rsid w:val="00D15571"/>
    <w:rsid w:val="00D161AA"/>
    <w:rsid w:val="00D164AF"/>
    <w:rsid w:val="00D16B2F"/>
    <w:rsid w:val="00D16CD6"/>
    <w:rsid w:val="00D1729F"/>
    <w:rsid w:val="00D174C3"/>
    <w:rsid w:val="00D17C81"/>
    <w:rsid w:val="00D17FB9"/>
    <w:rsid w:val="00D21501"/>
    <w:rsid w:val="00D22262"/>
    <w:rsid w:val="00D2235A"/>
    <w:rsid w:val="00D2255A"/>
    <w:rsid w:val="00D225C1"/>
    <w:rsid w:val="00D236AA"/>
    <w:rsid w:val="00D2420B"/>
    <w:rsid w:val="00D24B40"/>
    <w:rsid w:val="00D25921"/>
    <w:rsid w:val="00D26807"/>
    <w:rsid w:val="00D26FB1"/>
    <w:rsid w:val="00D27146"/>
    <w:rsid w:val="00D27613"/>
    <w:rsid w:val="00D31C6E"/>
    <w:rsid w:val="00D32154"/>
    <w:rsid w:val="00D32C2A"/>
    <w:rsid w:val="00D33101"/>
    <w:rsid w:val="00D33438"/>
    <w:rsid w:val="00D36099"/>
    <w:rsid w:val="00D36AA2"/>
    <w:rsid w:val="00D371C6"/>
    <w:rsid w:val="00D37C54"/>
    <w:rsid w:val="00D40AAD"/>
    <w:rsid w:val="00D41633"/>
    <w:rsid w:val="00D418C5"/>
    <w:rsid w:val="00D43006"/>
    <w:rsid w:val="00D44A1F"/>
    <w:rsid w:val="00D51098"/>
    <w:rsid w:val="00D528C7"/>
    <w:rsid w:val="00D52C14"/>
    <w:rsid w:val="00D53772"/>
    <w:rsid w:val="00D551E2"/>
    <w:rsid w:val="00D559C7"/>
    <w:rsid w:val="00D600E9"/>
    <w:rsid w:val="00D609B9"/>
    <w:rsid w:val="00D61192"/>
    <w:rsid w:val="00D6225B"/>
    <w:rsid w:val="00D62A8C"/>
    <w:rsid w:val="00D62AC4"/>
    <w:rsid w:val="00D63BC9"/>
    <w:rsid w:val="00D644AA"/>
    <w:rsid w:val="00D64ACE"/>
    <w:rsid w:val="00D64D92"/>
    <w:rsid w:val="00D6536A"/>
    <w:rsid w:val="00D663EA"/>
    <w:rsid w:val="00D66D4D"/>
    <w:rsid w:val="00D7003C"/>
    <w:rsid w:val="00D70255"/>
    <w:rsid w:val="00D712C3"/>
    <w:rsid w:val="00D736FF"/>
    <w:rsid w:val="00D74A0E"/>
    <w:rsid w:val="00D75422"/>
    <w:rsid w:val="00D768E3"/>
    <w:rsid w:val="00D76EB4"/>
    <w:rsid w:val="00D80576"/>
    <w:rsid w:val="00D8089B"/>
    <w:rsid w:val="00D81DFA"/>
    <w:rsid w:val="00D82DC4"/>
    <w:rsid w:val="00D83127"/>
    <w:rsid w:val="00D841F9"/>
    <w:rsid w:val="00D84DBF"/>
    <w:rsid w:val="00D8548D"/>
    <w:rsid w:val="00D862FB"/>
    <w:rsid w:val="00D87B92"/>
    <w:rsid w:val="00D907CD"/>
    <w:rsid w:val="00D91FF3"/>
    <w:rsid w:val="00D929D7"/>
    <w:rsid w:val="00D92A93"/>
    <w:rsid w:val="00D94795"/>
    <w:rsid w:val="00D94EED"/>
    <w:rsid w:val="00D95792"/>
    <w:rsid w:val="00D96B60"/>
    <w:rsid w:val="00D97425"/>
    <w:rsid w:val="00DA0DF6"/>
    <w:rsid w:val="00DA23D9"/>
    <w:rsid w:val="00DA2C38"/>
    <w:rsid w:val="00DA2EBF"/>
    <w:rsid w:val="00DA3152"/>
    <w:rsid w:val="00DA652A"/>
    <w:rsid w:val="00DA69A4"/>
    <w:rsid w:val="00DA6CEB"/>
    <w:rsid w:val="00DB0513"/>
    <w:rsid w:val="00DB284B"/>
    <w:rsid w:val="00DB31DB"/>
    <w:rsid w:val="00DB6CD2"/>
    <w:rsid w:val="00DC233C"/>
    <w:rsid w:val="00DC2BF4"/>
    <w:rsid w:val="00DC40A8"/>
    <w:rsid w:val="00DC44E2"/>
    <w:rsid w:val="00DC5792"/>
    <w:rsid w:val="00DC68B9"/>
    <w:rsid w:val="00DC7A80"/>
    <w:rsid w:val="00DD14F5"/>
    <w:rsid w:val="00DD1BCE"/>
    <w:rsid w:val="00DD1D7D"/>
    <w:rsid w:val="00DD20E4"/>
    <w:rsid w:val="00DD24A8"/>
    <w:rsid w:val="00DD3F07"/>
    <w:rsid w:val="00DD5057"/>
    <w:rsid w:val="00DE2CB3"/>
    <w:rsid w:val="00DE367C"/>
    <w:rsid w:val="00DE6974"/>
    <w:rsid w:val="00DF080F"/>
    <w:rsid w:val="00DF110C"/>
    <w:rsid w:val="00DF3B07"/>
    <w:rsid w:val="00DF4A0D"/>
    <w:rsid w:val="00DF4F97"/>
    <w:rsid w:val="00DF5036"/>
    <w:rsid w:val="00DF5B1D"/>
    <w:rsid w:val="00E00D7F"/>
    <w:rsid w:val="00E03839"/>
    <w:rsid w:val="00E04BC9"/>
    <w:rsid w:val="00E05783"/>
    <w:rsid w:val="00E07559"/>
    <w:rsid w:val="00E1093B"/>
    <w:rsid w:val="00E111AF"/>
    <w:rsid w:val="00E124A5"/>
    <w:rsid w:val="00E1257D"/>
    <w:rsid w:val="00E12BB8"/>
    <w:rsid w:val="00E12D54"/>
    <w:rsid w:val="00E12E1D"/>
    <w:rsid w:val="00E153B3"/>
    <w:rsid w:val="00E16651"/>
    <w:rsid w:val="00E200F9"/>
    <w:rsid w:val="00E20F70"/>
    <w:rsid w:val="00E2133B"/>
    <w:rsid w:val="00E21CA4"/>
    <w:rsid w:val="00E236A3"/>
    <w:rsid w:val="00E2470A"/>
    <w:rsid w:val="00E24B35"/>
    <w:rsid w:val="00E24EFA"/>
    <w:rsid w:val="00E25CC0"/>
    <w:rsid w:val="00E26CAB"/>
    <w:rsid w:val="00E26EF5"/>
    <w:rsid w:val="00E275AB"/>
    <w:rsid w:val="00E340EC"/>
    <w:rsid w:val="00E3463F"/>
    <w:rsid w:val="00E3623B"/>
    <w:rsid w:val="00E36FE7"/>
    <w:rsid w:val="00E40351"/>
    <w:rsid w:val="00E40934"/>
    <w:rsid w:val="00E41DE8"/>
    <w:rsid w:val="00E43358"/>
    <w:rsid w:val="00E43B65"/>
    <w:rsid w:val="00E45A7C"/>
    <w:rsid w:val="00E45F92"/>
    <w:rsid w:val="00E46FBE"/>
    <w:rsid w:val="00E47ECA"/>
    <w:rsid w:val="00E5139A"/>
    <w:rsid w:val="00E513EB"/>
    <w:rsid w:val="00E5296E"/>
    <w:rsid w:val="00E5339D"/>
    <w:rsid w:val="00E564B1"/>
    <w:rsid w:val="00E5711C"/>
    <w:rsid w:val="00E5765A"/>
    <w:rsid w:val="00E630EC"/>
    <w:rsid w:val="00E63667"/>
    <w:rsid w:val="00E63EC0"/>
    <w:rsid w:val="00E65E8F"/>
    <w:rsid w:val="00E67126"/>
    <w:rsid w:val="00E6741A"/>
    <w:rsid w:val="00E709A1"/>
    <w:rsid w:val="00E70AAF"/>
    <w:rsid w:val="00E728E9"/>
    <w:rsid w:val="00E72EC3"/>
    <w:rsid w:val="00E735AD"/>
    <w:rsid w:val="00E742C9"/>
    <w:rsid w:val="00E750E1"/>
    <w:rsid w:val="00E77B14"/>
    <w:rsid w:val="00E80C3B"/>
    <w:rsid w:val="00E818D5"/>
    <w:rsid w:val="00E83ADB"/>
    <w:rsid w:val="00E83D99"/>
    <w:rsid w:val="00E84000"/>
    <w:rsid w:val="00E84043"/>
    <w:rsid w:val="00E85221"/>
    <w:rsid w:val="00E8655D"/>
    <w:rsid w:val="00E90336"/>
    <w:rsid w:val="00E92477"/>
    <w:rsid w:val="00E924DF"/>
    <w:rsid w:val="00E95087"/>
    <w:rsid w:val="00E960A2"/>
    <w:rsid w:val="00E97F74"/>
    <w:rsid w:val="00EA0BBB"/>
    <w:rsid w:val="00EA0FB6"/>
    <w:rsid w:val="00EA3212"/>
    <w:rsid w:val="00EA3E9E"/>
    <w:rsid w:val="00EA4968"/>
    <w:rsid w:val="00EA4D1D"/>
    <w:rsid w:val="00EA554A"/>
    <w:rsid w:val="00EA5833"/>
    <w:rsid w:val="00EA63F2"/>
    <w:rsid w:val="00EA6EE8"/>
    <w:rsid w:val="00EA7CC6"/>
    <w:rsid w:val="00EB2B75"/>
    <w:rsid w:val="00EB4352"/>
    <w:rsid w:val="00EB44B1"/>
    <w:rsid w:val="00EB6CF9"/>
    <w:rsid w:val="00EB7137"/>
    <w:rsid w:val="00EB79EB"/>
    <w:rsid w:val="00EC180C"/>
    <w:rsid w:val="00EC2290"/>
    <w:rsid w:val="00EC2429"/>
    <w:rsid w:val="00EC2655"/>
    <w:rsid w:val="00EC2923"/>
    <w:rsid w:val="00EC31DA"/>
    <w:rsid w:val="00EC61F9"/>
    <w:rsid w:val="00EC66EA"/>
    <w:rsid w:val="00EC6F5F"/>
    <w:rsid w:val="00ED064E"/>
    <w:rsid w:val="00ED203D"/>
    <w:rsid w:val="00ED2042"/>
    <w:rsid w:val="00ED2586"/>
    <w:rsid w:val="00ED2DFC"/>
    <w:rsid w:val="00ED391E"/>
    <w:rsid w:val="00ED559D"/>
    <w:rsid w:val="00ED5DED"/>
    <w:rsid w:val="00EE0FFE"/>
    <w:rsid w:val="00EE182B"/>
    <w:rsid w:val="00EE1D0C"/>
    <w:rsid w:val="00EE2177"/>
    <w:rsid w:val="00EE2396"/>
    <w:rsid w:val="00EE6F70"/>
    <w:rsid w:val="00EE7E0B"/>
    <w:rsid w:val="00EF06D8"/>
    <w:rsid w:val="00EF12C1"/>
    <w:rsid w:val="00EF14AD"/>
    <w:rsid w:val="00EF41E3"/>
    <w:rsid w:val="00EF456F"/>
    <w:rsid w:val="00EF4744"/>
    <w:rsid w:val="00EF5D00"/>
    <w:rsid w:val="00EF71D1"/>
    <w:rsid w:val="00EF726D"/>
    <w:rsid w:val="00EF7DF4"/>
    <w:rsid w:val="00F0060E"/>
    <w:rsid w:val="00F019A2"/>
    <w:rsid w:val="00F01D35"/>
    <w:rsid w:val="00F02491"/>
    <w:rsid w:val="00F10C3B"/>
    <w:rsid w:val="00F11090"/>
    <w:rsid w:val="00F11464"/>
    <w:rsid w:val="00F11BA4"/>
    <w:rsid w:val="00F12553"/>
    <w:rsid w:val="00F140F3"/>
    <w:rsid w:val="00F15634"/>
    <w:rsid w:val="00F15BFF"/>
    <w:rsid w:val="00F202C6"/>
    <w:rsid w:val="00F20A4B"/>
    <w:rsid w:val="00F21D69"/>
    <w:rsid w:val="00F21D8E"/>
    <w:rsid w:val="00F23D18"/>
    <w:rsid w:val="00F2433D"/>
    <w:rsid w:val="00F24712"/>
    <w:rsid w:val="00F249D5"/>
    <w:rsid w:val="00F25299"/>
    <w:rsid w:val="00F274DC"/>
    <w:rsid w:val="00F3032A"/>
    <w:rsid w:val="00F30730"/>
    <w:rsid w:val="00F30D8A"/>
    <w:rsid w:val="00F31750"/>
    <w:rsid w:val="00F31B7D"/>
    <w:rsid w:val="00F32E2F"/>
    <w:rsid w:val="00F34C2D"/>
    <w:rsid w:val="00F34E1C"/>
    <w:rsid w:val="00F34FB8"/>
    <w:rsid w:val="00F35DEF"/>
    <w:rsid w:val="00F35E5F"/>
    <w:rsid w:val="00F406B1"/>
    <w:rsid w:val="00F4074C"/>
    <w:rsid w:val="00F407D5"/>
    <w:rsid w:val="00F42524"/>
    <w:rsid w:val="00F42904"/>
    <w:rsid w:val="00F437C2"/>
    <w:rsid w:val="00F43915"/>
    <w:rsid w:val="00F458D2"/>
    <w:rsid w:val="00F4638B"/>
    <w:rsid w:val="00F52429"/>
    <w:rsid w:val="00F56FDC"/>
    <w:rsid w:val="00F601E3"/>
    <w:rsid w:val="00F61DBC"/>
    <w:rsid w:val="00F62626"/>
    <w:rsid w:val="00F638CD"/>
    <w:rsid w:val="00F6476D"/>
    <w:rsid w:val="00F6571E"/>
    <w:rsid w:val="00F66089"/>
    <w:rsid w:val="00F678C2"/>
    <w:rsid w:val="00F704C5"/>
    <w:rsid w:val="00F722E9"/>
    <w:rsid w:val="00F72F71"/>
    <w:rsid w:val="00F7306A"/>
    <w:rsid w:val="00F75C52"/>
    <w:rsid w:val="00F776F7"/>
    <w:rsid w:val="00F83998"/>
    <w:rsid w:val="00F8469C"/>
    <w:rsid w:val="00F849A9"/>
    <w:rsid w:val="00F852C4"/>
    <w:rsid w:val="00F86187"/>
    <w:rsid w:val="00F9089B"/>
    <w:rsid w:val="00F91097"/>
    <w:rsid w:val="00F933C6"/>
    <w:rsid w:val="00F9484A"/>
    <w:rsid w:val="00F94B29"/>
    <w:rsid w:val="00F95AC4"/>
    <w:rsid w:val="00F95B5D"/>
    <w:rsid w:val="00F96FE6"/>
    <w:rsid w:val="00F9726B"/>
    <w:rsid w:val="00FA0270"/>
    <w:rsid w:val="00FA0A67"/>
    <w:rsid w:val="00FA165C"/>
    <w:rsid w:val="00FA1B5A"/>
    <w:rsid w:val="00FA207B"/>
    <w:rsid w:val="00FA3446"/>
    <w:rsid w:val="00FA3B56"/>
    <w:rsid w:val="00FA5888"/>
    <w:rsid w:val="00FB0561"/>
    <w:rsid w:val="00FB124D"/>
    <w:rsid w:val="00FB179D"/>
    <w:rsid w:val="00FB17D2"/>
    <w:rsid w:val="00FB23FB"/>
    <w:rsid w:val="00FB28D5"/>
    <w:rsid w:val="00FB304C"/>
    <w:rsid w:val="00FB449A"/>
    <w:rsid w:val="00FB4547"/>
    <w:rsid w:val="00FB4786"/>
    <w:rsid w:val="00FB5942"/>
    <w:rsid w:val="00FB6161"/>
    <w:rsid w:val="00FB6DE0"/>
    <w:rsid w:val="00FB76B4"/>
    <w:rsid w:val="00FB7935"/>
    <w:rsid w:val="00FC07AA"/>
    <w:rsid w:val="00FC090B"/>
    <w:rsid w:val="00FC2F1F"/>
    <w:rsid w:val="00FC3FC3"/>
    <w:rsid w:val="00FC4C98"/>
    <w:rsid w:val="00FC5730"/>
    <w:rsid w:val="00FD1B48"/>
    <w:rsid w:val="00FD24D0"/>
    <w:rsid w:val="00FD2779"/>
    <w:rsid w:val="00FD606B"/>
    <w:rsid w:val="00FE0801"/>
    <w:rsid w:val="00FE0A09"/>
    <w:rsid w:val="00FE0C22"/>
    <w:rsid w:val="00FE0FB4"/>
    <w:rsid w:val="00FE124C"/>
    <w:rsid w:val="00FE3335"/>
    <w:rsid w:val="00FE3A66"/>
    <w:rsid w:val="00FE4C04"/>
    <w:rsid w:val="00FE51DA"/>
    <w:rsid w:val="00FE7F5E"/>
    <w:rsid w:val="00FF0AEC"/>
    <w:rsid w:val="00FF0FEF"/>
    <w:rsid w:val="00FF1621"/>
    <w:rsid w:val="00FF1BC7"/>
    <w:rsid w:val="00FF3C58"/>
    <w:rsid w:val="00FF4719"/>
    <w:rsid w:val="0143CAC8"/>
    <w:rsid w:val="0169B121"/>
    <w:rsid w:val="023B197A"/>
    <w:rsid w:val="0398E0B2"/>
    <w:rsid w:val="03F75D8A"/>
    <w:rsid w:val="04188951"/>
    <w:rsid w:val="042C4012"/>
    <w:rsid w:val="047F3A40"/>
    <w:rsid w:val="04980118"/>
    <w:rsid w:val="04D9635E"/>
    <w:rsid w:val="04F4DA9A"/>
    <w:rsid w:val="052CA52E"/>
    <w:rsid w:val="05752D89"/>
    <w:rsid w:val="05762D5A"/>
    <w:rsid w:val="0580494E"/>
    <w:rsid w:val="06621F31"/>
    <w:rsid w:val="0663E30D"/>
    <w:rsid w:val="06D0A871"/>
    <w:rsid w:val="073D0EE9"/>
    <w:rsid w:val="0749C6CC"/>
    <w:rsid w:val="079189DB"/>
    <w:rsid w:val="07EAD603"/>
    <w:rsid w:val="0962CBB5"/>
    <w:rsid w:val="09640F1B"/>
    <w:rsid w:val="0992F98A"/>
    <w:rsid w:val="09DA89F4"/>
    <w:rsid w:val="0B49093B"/>
    <w:rsid w:val="0C3790BA"/>
    <w:rsid w:val="0D92DAA9"/>
    <w:rsid w:val="0DA0999E"/>
    <w:rsid w:val="0DA7AF94"/>
    <w:rsid w:val="0EC018A3"/>
    <w:rsid w:val="0F07A3A5"/>
    <w:rsid w:val="0F0ED651"/>
    <w:rsid w:val="0F91B9EE"/>
    <w:rsid w:val="1006D57E"/>
    <w:rsid w:val="10CDB504"/>
    <w:rsid w:val="10E68B24"/>
    <w:rsid w:val="10F9991B"/>
    <w:rsid w:val="117B7F04"/>
    <w:rsid w:val="1190502F"/>
    <w:rsid w:val="11E4BE65"/>
    <w:rsid w:val="13BF52AB"/>
    <w:rsid w:val="1494DD53"/>
    <w:rsid w:val="15C6864F"/>
    <w:rsid w:val="15D7E819"/>
    <w:rsid w:val="1624B68F"/>
    <w:rsid w:val="168E3054"/>
    <w:rsid w:val="16BD2E3E"/>
    <w:rsid w:val="171FA507"/>
    <w:rsid w:val="1765CF16"/>
    <w:rsid w:val="181264B1"/>
    <w:rsid w:val="18BBF6EC"/>
    <w:rsid w:val="19EFA9B1"/>
    <w:rsid w:val="19F1C241"/>
    <w:rsid w:val="1C5E78A7"/>
    <w:rsid w:val="1C6BC92F"/>
    <w:rsid w:val="1D3AA17D"/>
    <w:rsid w:val="1E6C3D79"/>
    <w:rsid w:val="1FBADDE6"/>
    <w:rsid w:val="1FD2BE2B"/>
    <w:rsid w:val="1FED3AEB"/>
    <w:rsid w:val="1FF63B67"/>
    <w:rsid w:val="204B9D8E"/>
    <w:rsid w:val="205880D0"/>
    <w:rsid w:val="20FB80CD"/>
    <w:rsid w:val="21921ED7"/>
    <w:rsid w:val="24152ED7"/>
    <w:rsid w:val="2461BB4C"/>
    <w:rsid w:val="246E7E0C"/>
    <w:rsid w:val="24A5F4A2"/>
    <w:rsid w:val="24B304F5"/>
    <w:rsid w:val="24B62C40"/>
    <w:rsid w:val="24E7A262"/>
    <w:rsid w:val="2547C43C"/>
    <w:rsid w:val="27F8B99B"/>
    <w:rsid w:val="27FBFF7A"/>
    <w:rsid w:val="2813FB20"/>
    <w:rsid w:val="29B07951"/>
    <w:rsid w:val="2A2D963F"/>
    <w:rsid w:val="2A7E076B"/>
    <w:rsid w:val="2AF92290"/>
    <w:rsid w:val="2C0893C9"/>
    <w:rsid w:val="2C0D4EA4"/>
    <w:rsid w:val="2C4C1290"/>
    <w:rsid w:val="2C6036E0"/>
    <w:rsid w:val="2C884A9C"/>
    <w:rsid w:val="2CAB1FB1"/>
    <w:rsid w:val="2CFB94F7"/>
    <w:rsid w:val="2D93870A"/>
    <w:rsid w:val="2DC89471"/>
    <w:rsid w:val="2E0485DE"/>
    <w:rsid w:val="2F546C6F"/>
    <w:rsid w:val="2FEBDCD7"/>
    <w:rsid w:val="307F7E52"/>
    <w:rsid w:val="3083E277"/>
    <w:rsid w:val="30E89110"/>
    <w:rsid w:val="311F83B3"/>
    <w:rsid w:val="3127D885"/>
    <w:rsid w:val="3237FA65"/>
    <w:rsid w:val="32CCD3AC"/>
    <w:rsid w:val="332AC404"/>
    <w:rsid w:val="33778737"/>
    <w:rsid w:val="3383D407"/>
    <w:rsid w:val="33CA587F"/>
    <w:rsid w:val="344BB59B"/>
    <w:rsid w:val="34510686"/>
    <w:rsid w:val="34ECD480"/>
    <w:rsid w:val="35215321"/>
    <w:rsid w:val="356379FB"/>
    <w:rsid w:val="35829586"/>
    <w:rsid w:val="3594F039"/>
    <w:rsid w:val="35B4EB9E"/>
    <w:rsid w:val="35E39F52"/>
    <w:rsid w:val="365AADBD"/>
    <w:rsid w:val="382384C1"/>
    <w:rsid w:val="385142B4"/>
    <w:rsid w:val="38972F3E"/>
    <w:rsid w:val="38FDA151"/>
    <w:rsid w:val="392A9598"/>
    <w:rsid w:val="39402439"/>
    <w:rsid w:val="39C83C51"/>
    <w:rsid w:val="3A105457"/>
    <w:rsid w:val="3A442838"/>
    <w:rsid w:val="3B2E4FF5"/>
    <w:rsid w:val="3B647AB8"/>
    <w:rsid w:val="3C03395D"/>
    <w:rsid w:val="3C090ED7"/>
    <w:rsid w:val="3CEB7935"/>
    <w:rsid w:val="3D848A66"/>
    <w:rsid w:val="3F205AC7"/>
    <w:rsid w:val="3F22A568"/>
    <w:rsid w:val="3F2FAE33"/>
    <w:rsid w:val="3FE60864"/>
    <w:rsid w:val="400AEE59"/>
    <w:rsid w:val="403A90EE"/>
    <w:rsid w:val="404FAE35"/>
    <w:rsid w:val="40B61290"/>
    <w:rsid w:val="416C3F2D"/>
    <w:rsid w:val="417F82B4"/>
    <w:rsid w:val="418E36B8"/>
    <w:rsid w:val="41B9CD31"/>
    <w:rsid w:val="41F0AF67"/>
    <w:rsid w:val="4220E115"/>
    <w:rsid w:val="42AA8D94"/>
    <w:rsid w:val="42AC0240"/>
    <w:rsid w:val="42ACB474"/>
    <w:rsid w:val="432DC227"/>
    <w:rsid w:val="43B3BFB6"/>
    <w:rsid w:val="43B54C00"/>
    <w:rsid w:val="43D7698F"/>
    <w:rsid w:val="4441A96C"/>
    <w:rsid w:val="4466A4E8"/>
    <w:rsid w:val="45B4BBBC"/>
    <w:rsid w:val="4665FD88"/>
    <w:rsid w:val="466766E5"/>
    <w:rsid w:val="468B106A"/>
    <w:rsid w:val="48169586"/>
    <w:rsid w:val="489E22F8"/>
    <w:rsid w:val="48E9EC11"/>
    <w:rsid w:val="492F285F"/>
    <w:rsid w:val="499AD22C"/>
    <w:rsid w:val="499F151C"/>
    <w:rsid w:val="49B92251"/>
    <w:rsid w:val="4AF1BE7F"/>
    <w:rsid w:val="4B016DF7"/>
    <w:rsid w:val="4C0C603D"/>
    <w:rsid w:val="4C1ABF65"/>
    <w:rsid w:val="4CE0ED5E"/>
    <w:rsid w:val="4E1BC5E4"/>
    <w:rsid w:val="4E404791"/>
    <w:rsid w:val="4F15AF8A"/>
    <w:rsid w:val="4F86DCEE"/>
    <w:rsid w:val="503FD0D1"/>
    <w:rsid w:val="5082F19F"/>
    <w:rsid w:val="50843E6F"/>
    <w:rsid w:val="508F2CDF"/>
    <w:rsid w:val="50D70164"/>
    <w:rsid w:val="5103A3AE"/>
    <w:rsid w:val="52941A2E"/>
    <w:rsid w:val="52B794A5"/>
    <w:rsid w:val="5354D354"/>
    <w:rsid w:val="5374D8B9"/>
    <w:rsid w:val="539EC5D7"/>
    <w:rsid w:val="53D14B63"/>
    <w:rsid w:val="544463BA"/>
    <w:rsid w:val="555E069F"/>
    <w:rsid w:val="55A999CA"/>
    <w:rsid w:val="55D6AAEE"/>
    <w:rsid w:val="56028259"/>
    <w:rsid w:val="563CE06A"/>
    <w:rsid w:val="5652A515"/>
    <w:rsid w:val="565771A8"/>
    <w:rsid w:val="56971011"/>
    <w:rsid w:val="5751D0D4"/>
    <w:rsid w:val="576D413E"/>
    <w:rsid w:val="57850D88"/>
    <w:rsid w:val="57BB2281"/>
    <w:rsid w:val="57D0E7CD"/>
    <w:rsid w:val="589D94E7"/>
    <w:rsid w:val="58EAB3EE"/>
    <w:rsid w:val="5935B559"/>
    <w:rsid w:val="59B7FB6D"/>
    <w:rsid w:val="5A57B0A1"/>
    <w:rsid w:val="5B9E6879"/>
    <w:rsid w:val="5BD535A9"/>
    <w:rsid w:val="5C38066C"/>
    <w:rsid w:val="5C4AC00D"/>
    <w:rsid w:val="5C8ACF77"/>
    <w:rsid w:val="5CF51D6C"/>
    <w:rsid w:val="5CF6AC81"/>
    <w:rsid w:val="5D956BA3"/>
    <w:rsid w:val="5DFF64ED"/>
    <w:rsid w:val="5E115FD2"/>
    <w:rsid w:val="5EA554A5"/>
    <w:rsid w:val="5ECC88FC"/>
    <w:rsid w:val="5EDF2E14"/>
    <w:rsid w:val="60A8A6CC"/>
    <w:rsid w:val="611E8FBC"/>
    <w:rsid w:val="61663334"/>
    <w:rsid w:val="6244772D"/>
    <w:rsid w:val="62D781AE"/>
    <w:rsid w:val="62DC0DB0"/>
    <w:rsid w:val="63016F60"/>
    <w:rsid w:val="6308C725"/>
    <w:rsid w:val="633DC6A0"/>
    <w:rsid w:val="64421C32"/>
    <w:rsid w:val="646276F3"/>
    <w:rsid w:val="64994167"/>
    <w:rsid w:val="64D57FD9"/>
    <w:rsid w:val="65025A8E"/>
    <w:rsid w:val="6510FC43"/>
    <w:rsid w:val="65588D99"/>
    <w:rsid w:val="657C17EF"/>
    <w:rsid w:val="661707A3"/>
    <w:rsid w:val="67AF7ACE"/>
    <w:rsid w:val="67C50CD7"/>
    <w:rsid w:val="6837A9EE"/>
    <w:rsid w:val="689B1F61"/>
    <w:rsid w:val="68B3B8B1"/>
    <w:rsid w:val="6905E615"/>
    <w:rsid w:val="699382F4"/>
    <w:rsid w:val="69CA84F9"/>
    <w:rsid w:val="69F22981"/>
    <w:rsid w:val="69F972AD"/>
    <w:rsid w:val="6A187E56"/>
    <w:rsid w:val="6A1AA0AA"/>
    <w:rsid w:val="6A6311D3"/>
    <w:rsid w:val="6AB1EEC9"/>
    <w:rsid w:val="6B9C1544"/>
    <w:rsid w:val="6C6A46B7"/>
    <w:rsid w:val="6C70E5D2"/>
    <w:rsid w:val="6CB5656B"/>
    <w:rsid w:val="6D760DE8"/>
    <w:rsid w:val="6EC40B01"/>
    <w:rsid w:val="6FF916E7"/>
    <w:rsid w:val="7077FA54"/>
    <w:rsid w:val="70D35E2F"/>
    <w:rsid w:val="70D543F3"/>
    <w:rsid w:val="7136F957"/>
    <w:rsid w:val="714AC86F"/>
    <w:rsid w:val="71CFA935"/>
    <w:rsid w:val="72051516"/>
    <w:rsid w:val="720AB7A5"/>
    <w:rsid w:val="72223B0E"/>
    <w:rsid w:val="73209547"/>
    <w:rsid w:val="738A6C4E"/>
    <w:rsid w:val="74613AA4"/>
    <w:rsid w:val="74691AD8"/>
    <w:rsid w:val="7490B87F"/>
    <w:rsid w:val="752611C6"/>
    <w:rsid w:val="758AE13B"/>
    <w:rsid w:val="760C54B2"/>
    <w:rsid w:val="764CD60F"/>
    <w:rsid w:val="766CD64F"/>
    <w:rsid w:val="76E17BE5"/>
    <w:rsid w:val="773C146F"/>
    <w:rsid w:val="790FA044"/>
    <w:rsid w:val="79FDCCBD"/>
    <w:rsid w:val="7A951846"/>
    <w:rsid w:val="7AE2AF4A"/>
    <w:rsid w:val="7B02A596"/>
    <w:rsid w:val="7B8A0957"/>
    <w:rsid w:val="7B983898"/>
    <w:rsid w:val="7BD69A58"/>
    <w:rsid w:val="7BE7DFD3"/>
    <w:rsid w:val="7C3CF823"/>
    <w:rsid w:val="7C6486C4"/>
    <w:rsid w:val="7CD4A612"/>
    <w:rsid w:val="7D66B947"/>
    <w:rsid w:val="7D6E0850"/>
    <w:rsid w:val="7DE98878"/>
    <w:rsid w:val="7E0C39CC"/>
    <w:rsid w:val="7E40918F"/>
    <w:rsid w:val="7EA02B6A"/>
    <w:rsid w:val="7EACF254"/>
    <w:rsid w:val="7F15A06E"/>
    <w:rsid w:val="7FE28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9488"/>
  <w15:docId w15:val="{3307824E-7B0D-41DA-8BDF-E436570C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spacing w:after="10"/>
      <w:jc w:val="right"/>
      <w:outlineLvl w:val="0"/>
    </w:pPr>
    <w:rPr>
      <w:b/>
      <w:sz w:val="15"/>
    </w:rPr>
  </w:style>
  <w:style w:type="paragraph" w:styleId="Heading2">
    <w:name w:val="heading 2"/>
    <w:basedOn w:val="Normal"/>
    <w:next w:val="Normal"/>
    <w:qFormat/>
    <w:pPr>
      <w:keepNext/>
      <w:spacing w:after="4"/>
      <w:jc w:val="right"/>
      <w:outlineLvl w:val="1"/>
    </w:pPr>
    <w:rPr>
      <w:b/>
      <w:sz w:val="17"/>
    </w:rPr>
  </w:style>
  <w:style w:type="paragraph" w:styleId="Heading3">
    <w:name w:val="heading 3"/>
    <w:basedOn w:val="Normal"/>
    <w:next w:val="Normal"/>
    <w:qFormat/>
    <w:pPr>
      <w:keepNext/>
      <w:outlineLvl w:val="2"/>
    </w:pPr>
    <w:rPr>
      <w:b/>
      <w:i/>
      <w:sz w:val="72"/>
    </w:rPr>
  </w:style>
  <w:style w:type="paragraph" w:styleId="Heading4">
    <w:name w:val="heading 4"/>
    <w:basedOn w:val="Normal"/>
    <w:next w:val="Normal"/>
    <w:qFormat/>
    <w:pPr>
      <w:keepNext/>
      <w:pBdr>
        <w:left w:val="single" w:sz="4" w:space="4" w:color="auto"/>
        <w:bottom w:val="single" w:sz="4" w:space="1" w:color="auto"/>
        <w:right w:val="single" w:sz="4" w:space="4" w:color="auto"/>
      </w:pBdr>
      <w:outlineLvl w:val="3"/>
    </w:pPr>
    <w:rPr>
      <w:b/>
      <w:spacing w:val="20"/>
      <w:sz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rsid w:val="00192BAD"/>
    <w:pPr>
      <w:ind w:left="900" w:right="-720"/>
      <w:jc w:val="both"/>
    </w:pPr>
    <w:rPr>
      <w:sz w:val="24"/>
    </w:rPr>
  </w:style>
  <w:style w:type="paragraph" w:styleId="FootnoteText">
    <w:name w:val="footnote text"/>
    <w:basedOn w:val="Normal"/>
    <w:link w:val="FootnoteTextChar"/>
    <w:semiHidden/>
    <w:rsid w:val="00D75422"/>
    <w:rPr>
      <w:rFonts w:eastAsia="Times New Roman"/>
    </w:rPr>
  </w:style>
  <w:style w:type="character" w:styleId="FootnoteReference">
    <w:name w:val="footnote reference"/>
    <w:uiPriority w:val="99"/>
    <w:semiHidden/>
    <w:rsid w:val="00D75422"/>
    <w:rPr>
      <w:vertAlign w:val="superscript"/>
    </w:rPr>
  </w:style>
  <w:style w:type="character" w:customStyle="1" w:styleId="xesmall1">
    <w:name w:val="xesmall1"/>
    <w:rsid w:val="00D75422"/>
    <w:rPr>
      <w:color w:val="666666"/>
      <w:sz w:val="23"/>
      <w:szCs w:val="23"/>
    </w:rPr>
  </w:style>
  <w:style w:type="character" w:styleId="PageNumber">
    <w:name w:val="page number"/>
    <w:basedOn w:val="DefaultParagraphFont"/>
    <w:rsid w:val="00D75422"/>
  </w:style>
  <w:style w:type="character" w:styleId="Emphasis">
    <w:name w:val="Emphasis"/>
    <w:uiPriority w:val="20"/>
    <w:qFormat/>
    <w:rsid w:val="009E5B1B"/>
    <w:rPr>
      <w:b/>
      <w:bCs/>
      <w:i w:val="0"/>
      <w:iCs w:val="0"/>
    </w:rPr>
  </w:style>
  <w:style w:type="paragraph" w:styleId="BalloonText">
    <w:name w:val="Balloon Text"/>
    <w:basedOn w:val="Normal"/>
    <w:link w:val="BalloonTextChar"/>
    <w:rsid w:val="00C22D25"/>
    <w:rPr>
      <w:rFonts w:ascii="Tahoma" w:hAnsi="Tahoma" w:cs="Tahoma"/>
      <w:sz w:val="16"/>
      <w:szCs w:val="16"/>
    </w:rPr>
  </w:style>
  <w:style w:type="character" w:customStyle="1" w:styleId="BalloonTextChar">
    <w:name w:val="Balloon Text Char"/>
    <w:link w:val="BalloonText"/>
    <w:rsid w:val="00C22D25"/>
    <w:rPr>
      <w:rFonts w:ascii="Tahoma" w:hAnsi="Tahoma" w:cs="Tahoma"/>
      <w:sz w:val="16"/>
      <w:szCs w:val="16"/>
    </w:rPr>
  </w:style>
  <w:style w:type="character" w:customStyle="1" w:styleId="Heading1Char">
    <w:name w:val="Heading 1 Char"/>
    <w:basedOn w:val="DefaultParagraphFont"/>
    <w:link w:val="Heading1"/>
    <w:rsid w:val="00F20A4B"/>
    <w:rPr>
      <w:b/>
      <w:sz w:val="15"/>
    </w:rPr>
  </w:style>
  <w:style w:type="character" w:customStyle="1" w:styleId="FootnoteTextChar">
    <w:name w:val="Footnote Text Char"/>
    <w:basedOn w:val="DefaultParagraphFont"/>
    <w:link w:val="FootnoteText"/>
    <w:semiHidden/>
    <w:rsid w:val="00F20A4B"/>
    <w:rPr>
      <w:rFonts w:eastAsia="Times New Roman"/>
    </w:rPr>
  </w:style>
  <w:style w:type="paragraph" w:customStyle="1" w:styleId="Default">
    <w:name w:val="Default"/>
    <w:rsid w:val="00F20A4B"/>
    <w:pPr>
      <w:autoSpaceDE w:val="0"/>
      <w:autoSpaceDN w:val="0"/>
      <w:adjustRightInd w:val="0"/>
    </w:pPr>
    <w:rPr>
      <w:color w:val="000000"/>
      <w:sz w:val="24"/>
      <w:szCs w:val="24"/>
    </w:rPr>
  </w:style>
  <w:style w:type="paragraph" w:styleId="ListParagraph">
    <w:name w:val="List Paragraph"/>
    <w:basedOn w:val="Normal"/>
    <w:uiPriority w:val="34"/>
    <w:qFormat/>
    <w:rsid w:val="00F56FDC"/>
    <w:pPr>
      <w:ind w:left="720"/>
    </w:pPr>
    <w:rPr>
      <w:rFonts w:eastAsia="Times New Roman"/>
    </w:rPr>
  </w:style>
  <w:style w:type="paragraph" w:styleId="NormalWeb">
    <w:name w:val="Normal (Web)"/>
    <w:basedOn w:val="Normal"/>
    <w:uiPriority w:val="99"/>
    <w:unhideWhenUsed/>
    <w:rsid w:val="00D174C3"/>
    <w:pPr>
      <w:spacing w:before="100" w:beforeAutospacing="1" w:after="100" w:afterAutospacing="1"/>
    </w:pPr>
    <w:rPr>
      <w:rFonts w:eastAsia="Times New Roman"/>
      <w:color w:val="000000"/>
      <w:sz w:val="21"/>
      <w:szCs w:val="21"/>
    </w:rPr>
  </w:style>
  <w:style w:type="paragraph" w:customStyle="1" w:styleId="HangIndent1">
    <w:name w:val="Hang Indent 1&quot;"/>
    <w:rsid w:val="00D13E94"/>
    <w:pPr>
      <w:spacing w:after="220"/>
      <w:ind w:left="1080" w:hanging="360"/>
      <w:jc w:val="both"/>
    </w:pPr>
    <w:rPr>
      <w:rFonts w:eastAsia="Times New Roman"/>
      <w:sz w:val="22"/>
    </w:rPr>
  </w:style>
  <w:style w:type="character" w:styleId="CommentReference">
    <w:name w:val="annotation reference"/>
    <w:basedOn w:val="DefaultParagraphFont"/>
    <w:rsid w:val="008C2521"/>
    <w:rPr>
      <w:sz w:val="16"/>
      <w:szCs w:val="16"/>
    </w:rPr>
  </w:style>
  <w:style w:type="paragraph" w:styleId="CommentText">
    <w:name w:val="annotation text"/>
    <w:basedOn w:val="Normal"/>
    <w:link w:val="CommentTextChar"/>
    <w:rsid w:val="008C2521"/>
  </w:style>
  <w:style w:type="character" w:customStyle="1" w:styleId="CommentTextChar">
    <w:name w:val="Comment Text Char"/>
    <w:basedOn w:val="DefaultParagraphFont"/>
    <w:link w:val="CommentText"/>
    <w:rsid w:val="008C2521"/>
  </w:style>
  <w:style w:type="paragraph" w:styleId="CommentSubject">
    <w:name w:val="annotation subject"/>
    <w:basedOn w:val="CommentText"/>
    <w:next w:val="CommentText"/>
    <w:link w:val="CommentSubjectChar"/>
    <w:uiPriority w:val="99"/>
    <w:rsid w:val="008C2521"/>
    <w:rPr>
      <w:b/>
      <w:bCs/>
    </w:rPr>
  </w:style>
  <w:style w:type="character" w:customStyle="1" w:styleId="CommentSubjectChar">
    <w:name w:val="Comment Subject Char"/>
    <w:basedOn w:val="CommentTextChar"/>
    <w:link w:val="CommentSubject"/>
    <w:uiPriority w:val="99"/>
    <w:rsid w:val="008C2521"/>
    <w:rPr>
      <w:b/>
      <w:bCs/>
    </w:rPr>
  </w:style>
  <w:style w:type="character" w:styleId="UnresolvedMention">
    <w:name w:val="Unresolved Mention"/>
    <w:basedOn w:val="DefaultParagraphFont"/>
    <w:uiPriority w:val="99"/>
    <w:semiHidden/>
    <w:unhideWhenUsed/>
    <w:rsid w:val="00572197"/>
    <w:rPr>
      <w:color w:val="605E5C"/>
      <w:shd w:val="clear" w:color="auto" w:fill="E1DFDD"/>
    </w:rPr>
  </w:style>
  <w:style w:type="paragraph" w:styleId="Revision">
    <w:name w:val="Revision"/>
    <w:hidden/>
    <w:uiPriority w:val="99"/>
    <w:semiHidden/>
    <w:rsid w:val="00296BB7"/>
  </w:style>
  <w:style w:type="table" w:styleId="TableGrid">
    <w:name w:val="Table Grid"/>
    <w:basedOn w:val="TableNormal"/>
    <w:rsid w:val="00E36F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505E4E"/>
    <w:pPr>
      <w:spacing w:before="100" w:beforeAutospacing="1" w:after="100" w:afterAutospacing="1"/>
    </w:pPr>
    <w:rPr>
      <w:rFonts w:eastAsia="Times New Roman"/>
      <w:sz w:val="24"/>
      <w:szCs w:val="24"/>
    </w:rPr>
  </w:style>
  <w:style w:type="character" w:customStyle="1" w:styleId="cf01">
    <w:name w:val="cf01"/>
    <w:basedOn w:val="DefaultParagraphFont"/>
    <w:rsid w:val="00505E4E"/>
    <w:rPr>
      <w:rFonts w:ascii="Segoe UI" w:hAnsi="Segoe UI" w:cs="Segoe UI" w:hint="default"/>
      <w:sz w:val="18"/>
      <w:szCs w:val="18"/>
    </w:rPr>
  </w:style>
  <w:style w:type="character" w:customStyle="1" w:styleId="normaltextrun">
    <w:name w:val="normaltextrun"/>
    <w:basedOn w:val="DefaultParagraphFont"/>
    <w:rsid w:val="00EB6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03586">
      <w:bodyDiv w:val="1"/>
      <w:marLeft w:val="0"/>
      <w:marRight w:val="0"/>
      <w:marTop w:val="0"/>
      <w:marBottom w:val="0"/>
      <w:divBdr>
        <w:top w:val="none" w:sz="0" w:space="0" w:color="auto"/>
        <w:left w:val="none" w:sz="0" w:space="0" w:color="auto"/>
        <w:bottom w:val="none" w:sz="0" w:space="0" w:color="auto"/>
        <w:right w:val="none" w:sz="0" w:space="0" w:color="auto"/>
      </w:divBdr>
    </w:div>
    <w:div w:id="627931510">
      <w:bodyDiv w:val="1"/>
      <w:marLeft w:val="0"/>
      <w:marRight w:val="0"/>
      <w:marTop w:val="0"/>
      <w:marBottom w:val="0"/>
      <w:divBdr>
        <w:top w:val="none" w:sz="0" w:space="0" w:color="auto"/>
        <w:left w:val="none" w:sz="0" w:space="0" w:color="auto"/>
        <w:bottom w:val="none" w:sz="0" w:space="0" w:color="auto"/>
        <w:right w:val="none" w:sz="0" w:space="0" w:color="auto"/>
      </w:divBdr>
    </w:div>
    <w:div w:id="184192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koenigsman@naic.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CB328F3-B53B-4BF6-A069-4CDF06FDD262}">
  <we:reference id="4d101a29-d70c-41cd-b0bd-a03e00161576" version="1.0.0.7"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E8647894A4B847963D2E22C2E3790C" ma:contentTypeVersion="8" ma:contentTypeDescription="Create a new document." ma:contentTypeScope="" ma:versionID="b89887265cb630c1085c64acb4d71b9b">
  <xsd:schema xmlns:xsd="http://www.w3.org/2001/XMLSchema" xmlns:xs="http://www.w3.org/2001/XMLSchema" xmlns:p="http://schemas.microsoft.com/office/2006/metadata/properties" xmlns:ns2="3f2ed602-2a42-4749-82ce-7c284120e13f" targetNamespace="http://schemas.microsoft.com/office/2006/metadata/properties" ma:root="true" ma:fieldsID="1d908b5314df6d4fe723f431cede98fb" ns2:_="">
    <xsd:import namespace="3f2ed602-2a42-4749-82ce-7c284120e13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ed602-2a42-4749-82ce-7c284120e1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DAF82-8201-4598-B9C2-0BCD0DBF4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ed602-2a42-4749-82ce-7c284120e1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3DF744-1491-458C-8B41-8DD5CBE794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1DC5EA-1F8C-429E-8864-BD3B7D393AED}">
  <ds:schemaRefs>
    <ds:schemaRef ds:uri="http://schemas.microsoft.com/sharepoint/v3/contenttype/forms"/>
  </ds:schemaRefs>
</ds:datastoreItem>
</file>

<file path=customXml/itemProps4.xml><?xml version="1.0" encoding="utf-8"?>
<ds:datastoreItem xmlns:ds="http://schemas.openxmlformats.org/officeDocument/2006/customXml" ds:itemID="{60F17F4C-E766-4F36-93AD-263B286CE50A}">
  <ds:schemaRefs>
    <ds:schemaRef ds:uri="http://schemas.openxmlformats.org/officeDocument/2006/bibliography"/>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584</TotalTime>
  <Pages>6</Pages>
  <Words>2558</Words>
  <Characters>14813</Characters>
  <Application>Microsoft Office Word</Application>
  <DocSecurity>0</DocSecurity>
  <Lines>284</Lines>
  <Paragraphs>94</Paragraphs>
  <ScaleCrop>false</ScaleCrop>
  <HeadingPairs>
    <vt:vector size="2" baseType="variant">
      <vt:variant>
        <vt:lpstr>Title</vt:lpstr>
      </vt:variant>
      <vt:variant>
        <vt:i4>1</vt:i4>
      </vt:variant>
    </vt:vector>
  </HeadingPairs>
  <TitlesOfParts>
    <vt:vector size="1" baseType="lpstr">
      <vt:lpstr>TO:</vt:lpstr>
    </vt:vector>
  </TitlesOfParts>
  <Company>NAIC</Company>
  <LinksUpToDate>false</LinksUpToDate>
  <CharactersWithSpaces>17277</CharactersWithSpaces>
  <SharedDoc>false</SharedDoc>
  <HLinks>
    <vt:vector size="12" baseType="variant">
      <vt:variant>
        <vt:i4>3538962</vt:i4>
      </vt:variant>
      <vt:variant>
        <vt:i4>3</vt:i4>
      </vt:variant>
      <vt:variant>
        <vt:i4>0</vt:i4>
      </vt:variant>
      <vt:variant>
        <vt:i4>5</vt:i4>
      </vt:variant>
      <vt:variant>
        <vt:lpwstr>mailto:jkoenigsman@naic.org</vt:lpwstr>
      </vt:variant>
      <vt:variant>
        <vt:lpwstr/>
      </vt:variant>
      <vt:variant>
        <vt:i4>2293772</vt:i4>
      </vt:variant>
      <vt:variant>
        <vt:i4>0</vt:i4>
      </vt:variant>
      <vt:variant>
        <vt:i4>0</vt:i4>
      </vt:variant>
      <vt:variant>
        <vt:i4>5</vt:i4>
      </vt:variant>
      <vt:variant>
        <vt:lpwstr>mailto:bjenson@naic.org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Daveline, Dan</dc:creator>
  <cp:keywords/>
  <cp:lastModifiedBy>Koenigsman, Jane</cp:lastModifiedBy>
  <cp:revision>461</cp:revision>
  <cp:lastPrinted>2024-02-09T14:06:00Z</cp:lastPrinted>
  <dcterms:created xsi:type="dcterms:W3CDTF">2026-07-31T18:19:00Z</dcterms:created>
  <dcterms:modified xsi:type="dcterms:W3CDTF">2026-09-10T18:36:00Z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ediaServiceImageTags">
    <vt:lpwstr/>
  </property>
  <property fmtid="{D5CDD505-2E9C-101B-9397-08002B2CF9AE}" pid="4" name="GrammarlyDocumentId">
    <vt:lpwstr>f76cc8438d3ea5eeb1199330052e2db510d963edc6cfc5f1a6ae2c7d02c4f55c</vt:lpwstr>
  </property>
  <property fmtid="{D5CDD505-2E9C-101B-9397-08002B2CF9AE}" pid="5" name="MSIP_Label_8e953dd5-1b53-4742-b186-f2a38279ffcd_Enabled">
    <vt:lpwstr>true</vt:lpwstr>
  </property>
  <property fmtid="{D5CDD505-2E9C-101B-9397-08002B2CF9AE}" pid="6" name="MSIP_Label_8e953dd5-1b53-4742-b186-f2a38279ffcd_SetDate">
    <vt:lpwstr>2024-01-12T19:42:03Z</vt:lpwstr>
  </property>
  <property fmtid="{D5CDD505-2E9C-101B-9397-08002B2CF9AE}" pid="7" name="MSIP_Label_8e953dd5-1b53-4742-b186-f2a38279ffcd_Method">
    <vt:lpwstr>Standard</vt:lpwstr>
  </property>
  <property fmtid="{D5CDD505-2E9C-101B-9397-08002B2CF9AE}" pid="8" name="MSIP_Label_8e953dd5-1b53-4742-b186-f2a38279ffcd_Name">
    <vt:lpwstr>8e953dd5-1b53-4742-b186-f2a38279ffcd</vt:lpwstr>
  </property>
  <property fmtid="{D5CDD505-2E9C-101B-9397-08002B2CF9AE}" pid="9" name="MSIP_Label_8e953dd5-1b53-4742-b186-f2a38279ffcd_SiteId">
    <vt:lpwstr>1791a7f1-2629-474f-8283-d4da7899c3be</vt:lpwstr>
  </property>
  <property fmtid="{D5CDD505-2E9C-101B-9397-08002B2CF9AE}" pid="10" name="MSIP_Label_8e953dd5-1b53-4742-b186-f2a38279ffcd_ActionId">
    <vt:lpwstr>f1b8b61c-af96-48f2-84c6-378f9b99f765</vt:lpwstr>
  </property>
  <property fmtid="{D5CDD505-2E9C-101B-9397-08002B2CF9AE}" pid="11" name="MSIP_Label_8e953dd5-1b53-4742-b186-f2a38279ffcd_ContentBits">
    <vt:lpwstr>2</vt:lpwstr>
  </property>
  <property fmtid="{D5CDD505-2E9C-101B-9397-08002B2CF9AE}" pid="12" name="ContentTypeId">
    <vt:lpwstr>0x0101008CE8647894A4B847963D2E22C2E3790C</vt:lpwstr>
  </property>
  <property fmtid="{D5CDD505-2E9C-101B-9397-08002B2CF9AE}" pid="13" name="docLang">
    <vt:lpwstr>en</vt:lpwstr>
  </property>
</Properties>
</file>