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82E65"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proposed charges consolidate the Working Group's </w:t>
      </w:r>
      <w:proofErr w:type="gramStart"/>
      <w:r>
        <w:rPr>
          <w:rFonts w:ascii="Times New Roman" w:eastAsia="Times New Roman" w:hAnsi="Times New Roman" w:cs="Times New Roman"/>
          <w:color w:val="000000"/>
          <w:sz w:val="22"/>
          <w:szCs w:val="22"/>
        </w:rPr>
        <w:t>prior 14</w:t>
      </w:r>
      <w:proofErr w:type="gramEnd"/>
      <w:r>
        <w:rPr>
          <w:rFonts w:ascii="Times New Roman" w:eastAsia="Times New Roman" w:hAnsi="Times New Roman" w:cs="Times New Roman"/>
          <w:color w:val="000000"/>
          <w:sz w:val="22"/>
          <w:szCs w:val="22"/>
        </w:rPr>
        <w:t xml:space="preserve"> charges into 8. The reduction is organizational, not substantive. No line of work is retired, and no subject matter is released from the Working Group's purview. Eleven of the fourteen prior charges </w:t>
      </w:r>
      <w:proofErr w:type="gramStart"/>
      <w:r>
        <w:rPr>
          <w:rFonts w:ascii="Times New Roman" w:eastAsia="Times New Roman" w:hAnsi="Times New Roman" w:cs="Times New Roman"/>
          <w:color w:val="000000"/>
          <w:sz w:val="22"/>
          <w:szCs w:val="22"/>
        </w:rPr>
        <w:t>carry</w:t>
      </w:r>
      <w:proofErr w:type="gramEnd"/>
      <w:r>
        <w:rPr>
          <w:rFonts w:ascii="Times New Roman" w:eastAsia="Times New Roman" w:hAnsi="Times New Roman" w:cs="Times New Roman"/>
          <w:color w:val="000000"/>
          <w:sz w:val="22"/>
          <w:szCs w:val="22"/>
        </w:rPr>
        <w:t xml:space="preserve"> forward in express operative language; the remaining three are addressed below. The prosed set also adds obligations and specificity that the prior set did not contain.</w:t>
      </w:r>
    </w:p>
    <w:p w14:paraId="06C89670" w14:textId="77777777" w:rsidR="00232589" w:rsidRDefault="00232589" w:rsidP="00232589">
      <w:pPr>
        <w:rPr>
          <w:rFonts w:ascii="Times New Roman" w:eastAsia="Times New Roman" w:hAnsi="Times New Roman" w:cs="Times New Roman"/>
          <w:color w:val="000000"/>
          <w:sz w:val="22"/>
          <w:szCs w:val="22"/>
        </w:rPr>
      </w:pPr>
    </w:p>
    <w:p w14:paraId="583FF913"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Why the Structure Changed</w:t>
      </w:r>
    </w:p>
    <w:p w14:paraId="294340CE"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prior set grew by accretion, and a single activity was often split across several numbered changes; monitoring cybersecurity trends and sharing information about those trends appeared separately, though neither can be performed without the other. The result overstated the volume of work </w:t>
      </w:r>
      <w:proofErr w:type="gramStart"/>
      <w:r>
        <w:rPr>
          <w:rFonts w:ascii="Times New Roman" w:eastAsia="Times New Roman" w:hAnsi="Times New Roman" w:cs="Times New Roman"/>
          <w:color w:val="000000"/>
          <w:sz w:val="22"/>
          <w:szCs w:val="22"/>
        </w:rPr>
        <w:t>relative</w:t>
      </w:r>
      <w:proofErr w:type="gramEnd"/>
      <w:r>
        <w:rPr>
          <w:rFonts w:ascii="Times New Roman" w:eastAsia="Times New Roman" w:hAnsi="Times New Roman" w:cs="Times New Roman"/>
          <w:color w:val="000000"/>
          <w:sz w:val="22"/>
          <w:szCs w:val="22"/>
        </w:rPr>
        <w:t xml:space="preserve"> to what the Working Group produces and made progress reporting ambiguous, because one workstream reported against several charges. </w:t>
      </w:r>
    </w:p>
    <w:p w14:paraId="1419FA67" w14:textId="77777777" w:rsidR="00232589" w:rsidRDefault="00232589" w:rsidP="00232589">
      <w:pPr>
        <w:rPr>
          <w:rFonts w:ascii="Times New Roman" w:eastAsia="Times New Roman" w:hAnsi="Times New Roman" w:cs="Times New Roman"/>
          <w:color w:val="000000"/>
          <w:sz w:val="22"/>
          <w:szCs w:val="22"/>
        </w:rPr>
      </w:pPr>
    </w:p>
    <w:p w14:paraId="43A7F38C"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Where the Prior Charges Land</w:t>
      </w:r>
    </w:p>
    <w:p w14:paraId="1D370932"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Threat Intelligence</w:t>
      </w:r>
      <w:r>
        <w:rPr>
          <w:rFonts w:ascii="Times New Roman" w:eastAsia="Times New Roman" w:hAnsi="Times New Roman" w:cs="Times New Roman"/>
          <w:color w:val="000000"/>
          <w:sz w:val="22"/>
          <w:szCs w:val="22"/>
        </w:rPr>
        <w:t xml:space="preserve"> - absorbs monitoring of trend, vulnerabilities, risk management, and governance practices, and information sharing with state insurance departments. Adds an express referral pathway to the (D) and (E) </w:t>
      </w: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rPr>
        <w:t> </w:t>
      </w:r>
      <w:r>
        <w:rPr>
          <w:rFonts w:ascii="Times New Roman" w:eastAsia="Times New Roman" w:hAnsi="Times New Roman" w:cs="Times New Roman"/>
          <w:color w:val="000000"/>
          <w:sz w:val="22"/>
          <w:szCs w:val="22"/>
        </w:rPr>
        <w:t>Committees.</w:t>
      </w:r>
    </w:p>
    <w:p w14:paraId="636873A4"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Event Response</w:t>
      </w:r>
      <w:r>
        <w:rPr>
          <w:rFonts w:ascii="Times New Roman" w:eastAsia="Times New Roman" w:hAnsi="Times New Roman" w:cs="Times New Roman"/>
          <w:color w:val="000000"/>
          <w:sz w:val="22"/>
          <w:szCs w:val="22"/>
        </w:rPr>
        <w:t xml:space="preserve"> - absorbs regulatory cybersecurity response guidance and names the Working Group's evaluation and coordination role under the Cybersecurity Event Response Coordination Framework.</w:t>
      </w:r>
    </w:p>
    <w:p w14:paraId="3929486C"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Supervisory Integration</w:t>
      </w:r>
      <w:r>
        <w:rPr>
          <w:rFonts w:ascii="Times New Roman" w:eastAsia="Times New Roman" w:hAnsi="Times New Roman" w:cs="Times New Roman"/>
          <w:color w:val="000000"/>
          <w:sz w:val="22"/>
          <w:szCs w:val="22"/>
        </w:rPr>
        <w:t xml:space="preserve"> - absorbs coordination of NAIC committee cybersecurity work with the Market Conduct Examination Guidelines (D) and Information Technology (IT) Examination (E) Working Groups. Adds integration of examination findings, Model #668 certifications, and event notification data into ongoing analysis, and operational resilience guidance.</w:t>
      </w:r>
    </w:p>
    <w:p w14:paraId="7FCC3C02"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Model #668 and Notification Portal</w:t>
      </w:r>
      <w:r>
        <w:rPr>
          <w:rFonts w:ascii="Times New Roman" w:eastAsia="Times New Roman" w:hAnsi="Times New Roman" w:cs="Times New Roman"/>
          <w:color w:val="000000"/>
          <w:sz w:val="22"/>
          <w:szCs w:val="22"/>
        </w:rPr>
        <w:t xml:space="preserve"> - carries forward implementation support. Adds standardized data elements for event notifications and identification of implementation gaps for referral.</w:t>
      </w:r>
    </w:p>
    <w:p w14:paraId="592724B1"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Regulator Preparedness</w:t>
      </w:r>
      <w:r>
        <w:rPr>
          <w:rFonts w:ascii="Times New Roman" w:eastAsia="Times New Roman" w:hAnsi="Times New Roman" w:cs="Times New Roman"/>
          <w:color w:val="000000"/>
          <w:sz w:val="22"/>
          <w:szCs w:val="22"/>
        </w:rPr>
        <w:t xml:space="preserve"> - carries forward training and tabletop exercises, tied to the coordination procedures under the Framework.</w:t>
      </w:r>
    </w:p>
    <w:p w14:paraId="4DB77FD4"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Market Monitoring</w:t>
      </w:r>
      <w:r>
        <w:rPr>
          <w:rFonts w:ascii="Times New Roman" w:eastAsia="Times New Roman" w:hAnsi="Times New Roman" w:cs="Times New Roman"/>
          <w:color w:val="000000"/>
          <w:sz w:val="22"/>
          <w:szCs w:val="22"/>
        </w:rPr>
        <w:t xml:space="preserve"> - Absorbs monitoring of cyber insurance industry trends and coordination with NAIC work groups, including the Casualty Actuarial and Statistical (C) Task Force.</w:t>
      </w:r>
    </w:p>
    <w:p w14:paraId="13AFC694"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Data Analysis and Reporting</w:t>
      </w:r>
      <w:r>
        <w:rPr>
          <w:rFonts w:ascii="Times New Roman" w:eastAsia="Times New Roman" w:hAnsi="Times New Roman" w:cs="Times New Roman"/>
          <w:color w:val="000000"/>
          <w:sz w:val="22"/>
          <w:szCs w:val="22"/>
        </w:rPr>
        <w:t xml:space="preserve"> - Absorbs analysis pursuant to the NAIC's Cyber Insurance Report and development of a states' guide on cyber insurance data analysis best practices.</w:t>
      </w:r>
    </w:p>
    <w:p w14:paraId="5961D815"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u w:val="single"/>
        </w:rPr>
        <w:t>Coverage Supplement and Capital Adequacy</w:t>
      </w:r>
      <w:r>
        <w:rPr>
          <w:rFonts w:ascii="Times New Roman" w:eastAsia="Times New Roman" w:hAnsi="Times New Roman" w:cs="Times New Roman"/>
          <w:color w:val="000000"/>
          <w:sz w:val="22"/>
          <w:szCs w:val="22"/>
        </w:rPr>
        <w:t xml:space="preserve"> - carries forward review of the Property &amp; Casualty Annual Statement Cybersecurity Insurance Coverage Supplement. Adds express coordination with the Capital Adequacy (E) Task Force.</w:t>
      </w:r>
    </w:p>
    <w:p w14:paraId="19AB7FF0" w14:textId="77777777" w:rsidR="00232589" w:rsidRDefault="00232589" w:rsidP="00232589">
      <w:pPr>
        <w:rPr>
          <w:rFonts w:ascii="Times New Roman" w:eastAsia="Times New Roman" w:hAnsi="Times New Roman" w:cs="Times New Roman"/>
          <w:color w:val="000000"/>
          <w:sz w:val="22"/>
          <w:szCs w:val="22"/>
        </w:rPr>
      </w:pPr>
    </w:p>
    <w:p w14:paraId="6357D9A6"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The Three Prior Charges Without Separate Text</w:t>
      </w:r>
    </w:p>
    <w:p w14:paraId="3C45AFBD"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Monitoring federal and international cybersecurity </w:t>
      </w:r>
      <w:proofErr w:type="gramStart"/>
      <w:r>
        <w:rPr>
          <w:rFonts w:ascii="Times New Roman" w:eastAsia="Times New Roman" w:hAnsi="Times New Roman" w:cs="Times New Roman"/>
          <w:color w:val="000000"/>
          <w:sz w:val="22"/>
          <w:szCs w:val="22"/>
        </w:rPr>
        <w:t>activity</w:t>
      </w:r>
      <w:proofErr w:type="gramEnd"/>
      <w:r>
        <w:rPr>
          <w:rFonts w:ascii="Times New Roman" w:eastAsia="Times New Roman" w:hAnsi="Times New Roman" w:cs="Times New Roman"/>
          <w:color w:val="000000"/>
          <w:sz w:val="22"/>
          <w:szCs w:val="22"/>
        </w:rPr>
        <w:t xml:space="preserve">, monitoring federal and international cyber insurance </w:t>
      </w:r>
      <w:proofErr w:type="gramStart"/>
      <w:r>
        <w:rPr>
          <w:rFonts w:ascii="Times New Roman" w:eastAsia="Times New Roman" w:hAnsi="Times New Roman" w:cs="Times New Roman"/>
          <w:color w:val="000000"/>
          <w:sz w:val="22"/>
          <w:szCs w:val="22"/>
        </w:rPr>
        <w:t>activity</w:t>
      </w:r>
      <w:proofErr w:type="gramEnd"/>
      <w:r>
        <w:rPr>
          <w:rFonts w:ascii="Times New Roman" w:eastAsia="Times New Roman" w:hAnsi="Times New Roman" w:cs="Times New Roman"/>
          <w:color w:val="000000"/>
          <w:sz w:val="22"/>
          <w:szCs w:val="22"/>
        </w:rPr>
        <w:t xml:space="preserve">, and working with the Center for Insurance Policy and Research do not appear as standalone charges. Each describes an input to the Working Group's monitoring functions rather than </w:t>
      </w:r>
      <w:proofErr w:type="gramStart"/>
      <w:r>
        <w:rPr>
          <w:rFonts w:ascii="Times New Roman" w:eastAsia="Times New Roman" w:hAnsi="Times New Roman" w:cs="Times New Roman"/>
          <w:color w:val="000000"/>
          <w:sz w:val="22"/>
          <w:szCs w:val="22"/>
        </w:rPr>
        <w:t>an</w:t>
      </w:r>
      <w:proofErr w:type="gramEnd"/>
      <w:r>
        <w:rPr>
          <w:rFonts w:ascii="Times New Roman" w:eastAsia="Times New Roman" w:hAnsi="Times New Roman" w:cs="Times New Roman"/>
          <w:color w:val="000000"/>
          <w:sz w:val="22"/>
          <w:szCs w:val="22"/>
        </w:rPr>
        <w:t xml:space="preserve"> output it owes. The Working Group cannot monitor these conditions without tracking federal and international developments and will continue to draw on CIPR research. Removing them as numbered charges stops counting an input method as a deliverable; it does not stop the activity. If Committee leadership prefers them stated expressly, each can be restored as a clause within the Threat Intelligence and Market Monitoring charges without adding to the count.</w:t>
      </w:r>
    </w:p>
    <w:p w14:paraId="5873B7DB" w14:textId="77777777" w:rsidR="00232589" w:rsidRDefault="00232589" w:rsidP="00232589">
      <w:pPr>
        <w:rPr>
          <w:rFonts w:ascii="Times New Roman" w:eastAsia="Times New Roman" w:hAnsi="Times New Roman" w:cs="Times New Roman"/>
          <w:color w:val="000000"/>
          <w:sz w:val="22"/>
          <w:szCs w:val="22"/>
        </w:rPr>
      </w:pPr>
    </w:p>
    <w:p w14:paraId="6A61305C"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Request</w:t>
      </w:r>
    </w:p>
    <w:p w14:paraId="2D893787" w14:textId="77777777" w:rsidR="00232589" w:rsidRDefault="00232589" w:rsidP="00232589">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Working Group requests approval of the proposed charges for exposure in their current form, with the three </w:t>
      </w:r>
      <w:proofErr w:type="gramStart"/>
      <w:r>
        <w:rPr>
          <w:rFonts w:ascii="Times New Roman" w:eastAsia="Times New Roman" w:hAnsi="Times New Roman" w:cs="Times New Roman"/>
          <w:color w:val="000000"/>
          <w:sz w:val="22"/>
          <w:szCs w:val="22"/>
        </w:rPr>
        <w:t>items above</w:t>
      </w:r>
      <w:proofErr w:type="gramEnd"/>
      <w:r>
        <w:rPr>
          <w:rFonts w:ascii="Times New Roman" w:eastAsia="Times New Roman" w:hAnsi="Times New Roman" w:cs="Times New Roman"/>
          <w:color w:val="000000"/>
          <w:sz w:val="22"/>
          <w:szCs w:val="22"/>
        </w:rPr>
        <w:t xml:space="preserve"> restored as clauses at leadership's direction. A line-by-line mapping or crosswalk from the prior fourteen charges to the proposed eight is available on request.</w:t>
      </w:r>
    </w:p>
    <w:p w14:paraId="6664FFB9" w14:textId="77777777" w:rsidR="00232589" w:rsidRDefault="00232589"/>
    <w:sectPr w:rsidR="00232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89"/>
    <w:rsid w:val="00063458"/>
    <w:rsid w:val="00232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A6AA"/>
  <w15:chartTrackingRefBased/>
  <w15:docId w15:val="{4128177C-1E32-4A86-A3D8-F2DC5E338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589"/>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23258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3258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3258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3258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3258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3258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3258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3258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3258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5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25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5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5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5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5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5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5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589"/>
    <w:rPr>
      <w:rFonts w:eastAsiaTheme="majorEastAsia" w:cstheme="majorBidi"/>
      <w:color w:val="272727" w:themeColor="text1" w:themeTint="D8"/>
    </w:rPr>
  </w:style>
  <w:style w:type="paragraph" w:styleId="Title">
    <w:name w:val="Title"/>
    <w:basedOn w:val="Normal"/>
    <w:next w:val="Normal"/>
    <w:link w:val="TitleChar"/>
    <w:uiPriority w:val="10"/>
    <w:qFormat/>
    <w:rsid w:val="0023258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325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58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325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589"/>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32589"/>
    <w:rPr>
      <w:i/>
      <w:iCs/>
      <w:color w:val="404040" w:themeColor="text1" w:themeTint="BF"/>
    </w:rPr>
  </w:style>
  <w:style w:type="paragraph" w:styleId="ListParagraph">
    <w:name w:val="List Paragraph"/>
    <w:basedOn w:val="Normal"/>
    <w:uiPriority w:val="34"/>
    <w:qFormat/>
    <w:rsid w:val="00232589"/>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232589"/>
    <w:rPr>
      <w:i/>
      <w:iCs/>
      <w:color w:val="0F4761" w:themeColor="accent1" w:themeShade="BF"/>
    </w:rPr>
  </w:style>
  <w:style w:type="paragraph" w:styleId="IntenseQuote">
    <w:name w:val="Intense Quote"/>
    <w:basedOn w:val="Normal"/>
    <w:next w:val="Normal"/>
    <w:link w:val="IntenseQuoteChar"/>
    <w:uiPriority w:val="30"/>
    <w:qFormat/>
    <w:rsid w:val="0023258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32589"/>
    <w:rPr>
      <w:i/>
      <w:iCs/>
      <w:color w:val="0F4761" w:themeColor="accent1" w:themeShade="BF"/>
    </w:rPr>
  </w:style>
  <w:style w:type="character" w:styleId="IntenseReference">
    <w:name w:val="Intense Reference"/>
    <w:basedOn w:val="DefaultParagraphFont"/>
    <w:uiPriority w:val="32"/>
    <w:qFormat/>
    <w:rsid w:val="002325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483</Words>
  <Characters>3234</Characters>
  <Application>Microsoft Office Word</Application>
  <DocSecurity>0</DocSecurity>
  <Lines>53</Lines>
  <Paragraphs>27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Koty</dc:creator>
  <cp:keywords/>
  <dc:description/>
  <cp:lastModifiedBy>Henry, Koty</cp:lastModifiedBy>
  <cp:revision>1</cp:revision>
  <dcterms:created xsi:type="dcterms:W3CDTF">2026-09-18T13:48:00Z</dcterms:created>
  <dcterms:modified xsi:type="dcterms:W3CDTF">2026-09-18T13:49:00Z</dcterms:modified>
</cp:coreProperties>
</file>