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87"/>
        <w:gridCol w:w="8373"/>
      </w:tblGrid>
      <w:tr w:rsidR="004E275F" w:rsidRPr="004E275F" w14:paraId="0A752055" w14:textId="77777777">
        <w:trPr>
          <w:trHeight w:val="270"/>
          <w:tblCellSpacing w:w="15" w:type="dxa"/>
        </w:trPr>
        <w:tc>
          <w:tcPr>
            <w:tcW w:w="0" w:type="auto"/>
            <w:noWrap/>
            <w:hideMark/>
          </w:tcPr>
          <w:p w14:paraId="732BD916" w14:textId="77777777" w:rsidR="004E275F" w:rsidRPr="004E275F" w:rsidRDefault="004E275F" w:rsidP="004E275F">
            <w:pPr>
              <w:rPr>
                <w:b/>
                <w:bCs/>
              </w:rPr>
            </w:pPr>
            <w:r w:rsidRPr="004E275F">
              <w:rPr>
                <w:b/>
                <w:bCs/>
              </w:rPr>
              <w:t>From:</w:t>
            </w:r>
          </w:p>
        </w:tc>
        <w:tc>
          <w:tcPr>
            <w:tcW w:w="0" w:type="auto"/>
            <w:hideMark/>
          </w:tcPr>
          <w:p w14:paraId="74340372" w14:textId="77777777" w:rsidR="004E275F" w:rsidRPr="004E275F" w:rsidRDefault="004E275F" w:rsidP="004E275F">
            <w:r w:rsidRPr="004E275F">
              <w:t>Sullivan, Gary &lt;gary.sullivan@apci.org&gt;</w:t>
            </w:r>
          </w:p>
        </w:tc>
      </w:tr>
      <w:tr w:rsidR="004E275F" w:rsidRPr="004E275F" w14:paraId="14EF9353" w14:textId="77777777">
        <w:trPr>
          <w:trHeight w:val="270"/>
          <w:tblCellSpacing w:w="15" w:type="dxa"/>
        </w:trPr>
        <w:tc>
          <w:tcPr>
            <w:tcW w:w="0" w:type="auto"/>
            <w:noWrap/>
            <w:hideMark/>
          </w:tcPr>
          <w:p w14:paraId="4A66105B" w14:textId="77777777" w:rsidR="004E275F" w:rsidRPr="004E275F" w:rsidRDefault="004E275F" w:rsidP="004E275F">
            <w:pPr>
              <w:rPr>
                <w:b/>
                <w:bCs/>
              </w:rPr>
            </w:pPr>
            <w:r w:rsidRPr="004E275F">
              <w:rPr>
                <w:b/>
                <w:bCs/>
              </w:rPr>
              <w:t>Sent on:</w:t>
            </w:r>
          </w:p>
        </w:tc>
        <w:tc>
          <w:tcPr>
            <w:tcW w:w="0" w:type="auto"/>
            <w:hideMark/>
          </w:tcPr>
          <w:p w14:paraId="488E44BB" w14:textId="77777777" w:rsidR="004E275F" w:rsidRPr="004E275F" w:rsidRDefault="004E275F" w:rsidP="004E275F">
            <w:r w:rsidRPr="004E275F">
              <w:t xml:space="preserve">Thursday, July 30, </w:t>
            </w:r>
            <w:proofErr w:type="gramStart"/>
            <w:r w:rsidRPr="004E275F">
              <w:t>2026</w:t>
            </w:r>
            <w:proofErr w:type="gramEnd"/>
            <w:r w:rsidRPr="004E275F">
              <w:t xml:space="preserve"> 6:13:41 PM</w:t>
            </w:r>
          </w:p>
        </w:tc>
      </w:tr>
      <w:tr w:rsidR="004E275F" w:rsidRPr="004E275F" w14:paraId="13B24182" w14:textId="77777777">
        <w:trPr>
          <w:trHeight w:val="270"/>
          <w:tblCellSpacing w:w="15" w:type="dxa"/>
        </w:trPr>
        <w:tc>
          <w:tcPr>
            <w:tcW w:w="0" w:type="auto"/>
            <w:noWrap/>
            <w:hideMark/>
          </w:tcPr>
          <w:p w14:paraId="56D3591C" w14:textId="77777777" w:rsidR="004E275F" w:rsidRPr="004E275F" w:rsidRDefault="004E275F" w:rsidP="004E275F">
            <w:pPr>
              <w:rPr>
                <w:b/>
                <w:bCs/>
              </w:rPr>
            </w:pPr>
            <w:r w:rsidRPr="004E275F">
              <w:rPr>
                <w:b/>
                <w:bCs/>
              </w:rPr>
              <w:t>Subject:</w:t>
            </w:r>
          </w:p>
        </w:tc>
        <w:tc>
          <w:tcPr>
            <w:tcW w:w="0" w:type="auto"/>
            <w:hideMark/>
          </w:tcPr>
          <w:p w14:paraId="050E612A" w14:textId="77777777" w:rsidR="004E275F" w:rsidRPr="004E275F" w:rsidRDefault="004E275F" w:rsidP="004E275F">
            <w:r w:rsidRPr="004E275F">
              <w:t>Surplus Lines Trade Associations' Comment Letter and Redline Document - Affordability and Availability of Homeowners Insurance Playbook Template - Follow Up</w:t>
            </w:r>
          </w:p>
        </w:tc>
      </w:tr>
    </w:tbl>
    <w:p w14:paraId="3BA3BBE0" w14:textId="0D5A50B7" w:rsidR="004E275F" w:rsidRPr="004E275F" w:rsidRDefault="004E275F" w:rsidP="004E275F">
      <w:r w:rsidRPr="004E275F">
        <w:t>Good afternoon,</w:t>
      </w:r>
    </w:p>
    <w:p w14:paraId="18A75F33" w14:textId="253C1765" w:rsidR="004E275F" w:rsidRPr="004E275F" w:rsidRDefault="004E275F" w:rsidP="004E275F">
      <w:r w:rsidRPr="004E275F">
        <w:t> APCIA, Lloyd’s America, The CIAB, and WSIA greatly appreciate you taking time to meet with us Monday, July 27, 2026, to discuss the Availability and Affordability Playbook draft decisions.  The time was well spent and enlightening for all of us.</w:t>
      </w:r>
    </w:p>
    <w:p w14:paraId="43BFEA87" w14:textId="47D30A9B" w:rsidR="004E275F" w:rsidRPr="004E275F" w:rsidRDefault="004E275F" w:rsidP="004E275F">
      <w:r w:rsidRPr="004E275F">
        <w:t xml:space="preserve">We are </w:t>
      </w:r>
      <w:proofErr w:type="gramStart"/>
      <w:r w:rsidRPr="004E275F">
        <w:t>pleased</w:t>
      </w:r>
      <w:proofErr w:type="gramEnd"/>
      <w:r w:rsidRPr="004E275F">
        <w:t xml:space="preserve"> the recommendation that surplus lines be separated from residual markets was implemented.  Discussing them separately will provide the reader with factual insights on both approaches to insuring risks for consumers.  We also appreciate how surplus lines </w:t>
      </w:r>
      <w:proofErr w:type="gramStart"/>
      <w:r w:rsidRPr="004E275F">
        <w:t>has</w:t>
      </w:r>
      <w:proofErr w:type="gramEnd"/>
      <w:r w:rsidRPr="004E275F">
        <w:t xml:space="preserve"> been characterized as a sound option for consumers when the admitted market is unable or unwilling to cover certain risks. </w:t>
      </w:r>
    </w:p>
    <w:p w14:paraId="55F7D525" w14:textId="064AAECF" w:rsidR="004E275F" w:rsidRPr="004E275F" w:rsidRDefault="004E275F" w:rsidP="004E275F">
      <w:r w:rsidRPr="004E275F">
        <w:t> As we discussed on the call, we request and welcome your consideration of a few additional, narrowly tailored edits.</w:t>
      </w:r>
    </w:p>
    <w:p w14:paraId="0F3F6276" w14:textId="5C5D156C" w:rsidR="004E275F" w:rsidRPr="004E275F" w:rsidRDefault="004E275F" w:rsidP="004E275F">
      <w:r w:rsidRPr="004E275F">
        <w:t>First, in the updated draft document released this week, we noticed on page 23 there is a new reference to the surplus lines market in the last paragraph. That paragraph still appears to conflate the surplus lines market with residual markets. </w:t>
      </w:r>
    </w:p>
    <w:p w14:paraId="0319A635" w14:textId="77777777" w:rsidR="004E275F" w:rsidRPr="004E275F" w:rsidRDefault="004E275F" w:rsidP="004E275F">
      <w:pPr>
        <w:spacing w:after="0" w:line="240" w:lineRule="auto"/>
        <w:ind w:left="720"/>
        <w:rPr>
          <w:rFonts w:ascii="Aptos" w:eastAsia="Times New Roman" w:hAnsi="Aptos" w:cs="Times New Roman"/>
          <w:color w:val="000000"/>
          <w:kern w:val="0"/>
          <w:sz w:val="27"/>
          <w:szCs w:val="27"/>
          <w14:ligatures w14:val="none"/>
        </w:rPr>
      </w:pPr>
      <w:r w:rsidRPr="004E275F">
        <w:rPr>
          <w:rFonts w:ascii="Aptos" w:eastAsia="Times New Roman" w:hAnsi="Aptos" w:cs="Times New Roman"/>
          <w:b/>
          <w:bCs/>
          <w:color w:val="000000"/>
          <w:kern w:val="0"/>
          <w:sz w:val="27"/>
          <w:szCs w:val="27"/>
          <w14:ligatures w14:val="none"/>
        </w:rPr>
        <w:t>Request 1:</w:t>
      </w:r>
      <w:r w:rsidRPr="004E275F">
        <w:rPr>
          <w:rFonts w:ascii="Aptos" w:eastAsia="Times New Roman" w:hAnsi="Aptos" w:cs="Times New Roman"/>
          <w:color w:val="000000"/>
          <w:kern w:val="0"/>
          <w:sz w:val="27"/>
          <w:szCs w:val="27"/>
          <w14:ligatures w14:val="none"/>
        </w:rPr>
        <w:t> Consistent with the other changes that have been made to the document to address that issue, we recommend the following edits to avoid any suggestion that the surplus lines market is not a private-market option or that it is not competitive:</w:t>
      </w:r>
    </w:p>
    <w:p w14:paraId="0A0A02EB" w14:textId="77777777" w:rsidR="004E275F" w:rsidRPr="004E275F" w:rsidRDefault="004E275F" w:rsidP="004E275F">
      <w:pPr>
        <w:spacing w:after="0" w:line="240" w:lineRule="auto"/>
        <w:ind w:left="720"/>
        <w:rPr>
          <w:rFonts w:ascii="Aptos" w:eastAsia="Times New Roman" w:hAnsi="Aptos" w:cs="Times New Roman"/>
          <w:color w:val="000000"/>
          <w:kern w:val="0"/>
          <w:sz w:val="27"/>
          <w:szCs w:val="27"/>
          <w14:ligatures w14:val="none"/>
        </w:rPr>
      </w:pPr>
      <w:r w:rsidRPr="004E275F">
        <w:rPr>
          <w:rFonts w:ascii="Aptos" w:eastAsia="Times New Roman" w:hAnsi="Aptos" w:cs="Times New Roman"/>
          <w:color w:val="000000"/>
          <w:kern w:val="0"/>
          <w:sz w:val="27"/>
          <w:szCs w:val="27"/>
          <w14:ligatures w14:val="none"/>
        </w:rPr>
        <w:t> </w:t>
      </w:r>
    </w:p>
    <w:p w14:paraId="3D1EA5AD" w14:textId="77777777" w:rsidR="004E275F" w:rsidRPr="004E275F" w:rsidRDefault="004E275F" w:rsidP="004E275F">
      <w:pPr>
        <w:spacing w:after="0" w:line="240" w:lineRule="auto"/>
        <w:ind w:left="1440"/>
        <w:rPr>
          <w:rFonts w:ascii="Aptos" w:eastAsia="Times New Roman" w:hAnsi="Aptos" w:cs="Times New Roman"/>
          <w:color w:val="000000"/>
          <w:kern w:val="0"/>
          <w:sz w:val="27"/>
          <w:szCs w:val="27"/>
          <w14:ligatures w14:val="none"/>
        </w:rPr>
      </w:pPr>
      <w:r w:rsidRPr="004E275F">
        <w:rPr>
          <w:rFonts w:ascii="Aptos" w:eastAsia="Times New Roman" w:hAnsi="Aptos" w:cs="Times New Roman"/>
          <w:i/>
          <w:iCs/>
          <w:color w:val="000000"/>
          <w:kern w:val="0"/>
          <w:sz w:val="27"/>
          <w:szCs w:val="27"/>
          <w14:ligatures w14:val="none"/>
        </w:rPr>
        <w:t>“When </w:t>
      </w:r>
      <w:r w:rsidRPr="004E275F">
        <w:rPr>
          <w:rFonts w:ascii="Aptos" w:eastAsia="Times New Roman" w:hAnsi="Aptos" w:cs="Times New Roman"/>
          <w:i/>
          <w:iCs/>
          <w:strike/>
          <w:color w:val="EE0000"/>
          <w:kern w:val="0"/>
          <w:sz w:val="27"/>
          <w:szCs w:val="27"/>
          <w14:ligatures w14:val="none"/>
        </w:rPr>
        <w:t>private</w:t>
      </w:r>
      <w:r w:rsidRPr="004E275F">
        <w:rPr>
          <w:rFonts w:ascii="Aptos" w:eastAsia="Times New Roman" w:hAnsi="Aptos" w:cs="Times New Roman"/>
          <w:i/>
          <w:iCs/>
          <w:color w:val="EE0000"/>
          <w:kern w:val="0"/>
          <w:sz w:val="27"/>
          <w:szCs w:val="27"/>
          <w14:ligatures w14:val="none"/>
        </w:rPr>
        <w:t> admitted </w:t>
      </w:r>
      <w:r w:rsidRPr="004E275F">
        <w:rPr>
          <w:rFonts w:ascii="Aptos" w:eastAsia="Times New Roman" w:hAnsi="Aptos" w:cs="Times New Roman"/>
          <w:i/>
          <w:iCs/>
          <w:color w:val="000000"/>
          <w:kern w:val="0"/>
          <w:sz w:val="27"/>
          <w:szCs w:val="27"/>
          <w14:ligatures w14:val="none"/>
        </w:rPr>
        <w:t>insurers scale back or exit certain markets, policyholders are left with fewer choices and may look for coverage in the surplus lines market or be forced into residual market mechanisms such as FAIR plans or state-backed insurers of last resort.</w:t>
      </w:r>
    </w:p>
    <w:p w14:paraId="5BC6A013" w14:textId="77777777" w:rsidR="004E275F" w:rsidRPr="004E275F" w:rsidRDefault="004E275F" w:rsidP="004E275F">
      <w:pPr>
        <w:spacing w:after="0" w:line="240" w:lineRule="auto"/>
        <w:ind w:left="1440"/>
        <w:rPr>
          <w:rFonts w:ascii="Aptos" w:eastAsia="Times New Roman" w:hAnsi="Aptos" w:cs="Times New Roman"/>
          <w:color w:val="000000"/>
          <w:kern w:val="0"/>
          <w:sz w:val="27"/>
          <w:szCs w:val="27"/>
          <w14:ligatures w14:val="none"/>
        </w:rPr>
      </w:pPr>
      <w:r w:rsidRPr="004E275F">
        <w:rPr>
          <w:rFonts w:ascii="Aptos" w:eastAsia="Times New Roman" w:hAnsi="Aptos" w:cs="Times New Roman"/>
          <w:i/>
          <w:iCs/>
          <w:color w:val="000000"/>
          <w:kern w:val="0"/>
          <w:sz w:val="27"/>
          <w:szCs w:val="27"/>
          <w14:ligatures w14:val="none"/>
        </w:rPr>
        <w:t>.  .  .</w:t>
      </w:r>
    </w:p>
    <w:p w14:paraId="6DF7D955" w14:textId="77777777" w:rsidR="004E275F" w:rsidRPr="004E275F" w:rsidRDefault="004E275F" w:rsidP="004E275F">
      <w:pPr>
        <w:spacing w:after="0" w:line="240" w:lineRule="auto"/>
        <w:ind w:left="1440"/>
        <w:rPr>
          <w:rFonts w:ascii="Aptos" w:eastAsia="Times New Roman" w:hAnsi="Aptos" w:cs="Times New Roman"/>
          <w:color w:val="000000"/>
          <w:kern w:val="0"/>
          <w:sz w:val="27"/>
          <w:szCs w:val="27"/>
          <w14:ligatures w14:val="none"/>
        </w:rPr>
      </w:pPr>
      <w:r w:rsidRPr="004E275F">
        <w:rPr>
          <w:rFonts w:ascii="Aptos" w:eastAsia="Times New Roman" w:hAnsi="Aptos" w:cs="Times New Roman"/>
          <w:i/>
          <w:iCs/>
          <w:strike/>
          <w:color w:val="EE0000"/>
          <w:kern w:val="0"/>
          <w:sz w:val="27"/>
          <w:szCs w:val="27"/>
          <w14:ligatures w14:val="none"/>
        </w:rPr>
        <w:t>The lack of competition also</w:t>
      </w:r>
      <w:r w:rsidRPr="004E275F">
        <w:rPr>
          <w:rFonts w:ascii="Aptos" w:eastAsia="Times New Roman" w:hAnsi="Aptos" w:cs="Times New Roman"/>
          <w:i/>
          <w:iCs/>
          <w:color w:val="EE0000"/>
          <w:kern w:val="0"/>
          <w:sz w:val="27"/>
          <w:szCs w:val="27"/>
          <w14:ligatures w14:val="none"/>
        </w:rPr>
        <w:t> Fewer options </w:t>
      </w:r>
      <w:r w:rsidRPr="004E275F">
        <w:rPr>
          <w:rFonts w:ascii="Aptos" w:eastAsia="Times New Roman" w:hAnsi="Aptos" w:cs="Times New Roman"/>
          <w:i/>
          <w:iCs/>
          <w:color w:val="000000"/>
          <w:kern w:val="0"/>
          <w:sz w:val="27"/>
          <w:szCs w:val="27"/>
          <w14:ligatures w14:val="none"/>
        </w:rPr>
        <w:t>erode</w:t>
      </w:r>
      <w:r w:rsidRPr="004E275F">
        <w:rPr>
          <w:rFonts w:ascii="Aptos" w:eastAsia="Times New Roman" w:hAnsi="Aptos" w:cs="Times New Roman"/>
          <w:i/>
          <w:iCs/>
          <w:strike/>
          <w:color w:val="EE0000"/>
          <w:kern w:val="0"/>
          <w:sz w:val="27"/>
          <w:szCs w:val="27"/>
          <w14:ligatures w14:val="none"/>
        </w:rPr>
        <w:t>s</w:t>
      </w:r>
      <w:r w:rsidRPr="004E275F">
        <w:rPr>
          <w:rFonts w:ascii="Aptos" w:eastAsia="Times New Roman" w:hAnsi="Aptos" w:cs="Times New Roman"/>
          <w:i/>
          <w:iCs/>
          <w:color w:val="000000"/>
          <w:kern w:val="0"/>
          <w:sz w:val="27"/>
          <w:szCs w:val="27"/>
          <w14:ligatures w14:val="none"/>
        </w:rPr>
        <w:t> consumer choice, reducing the ability to shop for better terms or more comprehensive coverage.”</w:t>
      </w:r>
    </w:p>
    <w:p w14:paraId="677A09A4" w14:textId="77777777" w:rsidR="004E275F" w:rsidRDefault="004E275F" w:rsidP="004E275F">
      <w:pPr>
        <w:rPr>
          <w:b/>
          <w:bCs/>
        </w:rPr>
      </w:pPr>
    </w:p>
    <w:p w14:paraId="14EC1DF3" w14:textId="77777777" w:rsidR="004E275F" w:rsidRDefault="004E275F" w:rsidP="004E275F">
      <w:pPr>
        <w:rPr>
          <w:b/>
          <w:bCs/>
        </w:rPr>
      </w:pPr>
    </w:p>
    <w:p w14:paraId="201A6CEF" w14:textId="6B168CD9" w:rsidR="004E275F" w:rsidRPr="004E275F" w:rsidRDefault="004E275F" w:rsidP="004E275F">
      <w:r w:rsidRPr="004E275F">
        <w:t xml:space="preserve"> Second, we appreciated the discussion regarding the reference on page 32 to the surplus lines market providing “fewer protections” and “greater financial risk” than admitted coverage. As discussed, we request removal of those references to ensure proper and factual information is provided </w:t>
      </w:r>
      <w:proofErr w:type="gramStart"/>
      <w:r w:rsidRPr="004E275F">
        <w:t>of</w:t>
      </w:r>
      <w:proofErr w:type="gramEnd"/>
      <w:r w:rsidRPr="004E275F">
        <w:t xml:space="preserve"> the surplus lines market.  Per AM Best’s Surplus Lines Market Report from 2025 (the latest edition is attached as promised), over the last 20 years there have been 285 admitted insurers deemed impaired compared to 1 surplus lines company.  AM Best’s attributes the stability of surplus lines being due to “long-held underwriting discipline … which is underpinned to judicious risk selection …”  Notably, the same issue arises in the definition of “surplus lines” on page 122, so we suggest similar edits there.</w:t>
      </w:r>
    </w:p>
    <w:p w14:paraId="0E2A3B9C" w14:textId="77777777" w:rsidR="004E275F" w:rsidRPr="004E275F" w:rsidRDefault="004E275F" w:rsidP="004E275F">
      <w:pPr>
        <w:ind w:firstLine="720"/>
        <w:rPr>
          <w:rFonts w:ascii="Aptos" w:eastAsia="Times New Roman" w:hAnsi="Aptos" w:cs="Times New Roman"/>
          <w:color w:val="000000"/>
          <w:kern w:val="0"/>
          <w:sz w:val="27"/>
          <w:szCs w:val="27"/>
          <w14:ligatures w14:val="none"/>
        </w:rPr>
      </w:pPr>
      <w:r w:rsidRPr="004E275F">
        <w:t> </w:t>
      </w:r>
      <w:r w:rsidRPr="004E275F">
        <w:rPr>
          <w:rFonts w:ascii="Aptos" w:eastAsia="Times New Roman" w:hAnsi="Aptos" w:cs="Times New Roman"/>
          <w:b/>
          <w:bCs/>
          <w:color w:val="000000"/>
          <w:kern w:val="0"/>
          <w:sz w:val="27"/>
          <w:szCs w:val="27"/>
          <w14:ligatures w14:val="none"/>
        </w:rPr>
        <w:t>Request 2: </w:t>
      </w:r>
      <w:r w:rsidRPr="004E275F">
        <w:rPr>
          <w:rFonts w:ascii="Aptos" w:eastAsia="Times New Roman" w:hAnsi="Aptos" w:cs="Times New Roman"/>
          <w:color w:val="000000"/>
          <w:kern w:val="0"/>
          <w:sz w:val="27"/>
          <w:szCs w:val="27"/>
          <w14:ligatures w14:val="none"/>
        </w:rPr>
        <w:t>Edit the sentence on page 32 to read:</w:t>
      </w:r>
    </w:p>
    <w:p w14:paraId="053D7CB5" w14:textId="77777777" w:rsidR="004E275F" w:rsidRPr="004E275F" w:rsidRDefault="004E275F" w:rsidP="004E275F">
      <w:pPr>
        <w:spacing w:after="0" w:line="240" w:lineRule="auto"/>
        <w:ind w:left="1440"/>
        <w:rPr>
          <w:rFonts w:ascii="Aptos" w:eastAsia="Times New Roman" w:hAnsi="Aptos" w:cs="Times New Roman"/>
          <w:color w:val="000000"/>
          <w:kern w:val="0"/>
          <w:sz w:val="27"/>
          <w:szCs w:val="27"/>
          <w14:ligatures w14:val="none"/>
        </w:rPr>
      </w:pPr>
      <w:r w:rsidRPr="004E275F">
        <w:rPr>
          <w:rFonts w:ascii="Aptos" w:eastAsia="Times New Roman" w:hAnsi="Aptos" w:cs="Times New Roman"/>
          <w:color w:val="000000"/>
          <w:kern w:val="0"/>
          <w:sz w:val="27"/>
          <w:szCs w:val="27"/>
          <w14:ligatures w14:val="none"/>
        </w:rPr>
        <w:t> </w:t>
      </w:r>
    </w:p>
    <w:p w14:paraId="22E5E59A" w14:textId="77777777" w:rsidR="004E275F" w:rsidRPr="004E275F" w:rsidRDefault="004E275F" w:rsidP="004E275F">
      <w:pPr>
        <w:spacing w:after="0" w:line="240" w:lineRule="auto"/>
        <w:ind w:left="1440"/>
        <w:rPr>
          <w:rFonts w:ascii="Aptos" w:eastAsia="Times New Roman" w:hAnsi="Aptos" w:cs="Times New Roman"/>
          <w:color w:val="000000"/>
          <w:kern w:val="0"/>
          <w:sz w:val="27"/>
          <w:szCs w:val="27"/>
          <w14:ligatures w14:val="none"/>
        </w:rPr>
      </w:pPr>
      <w:r w:rsidRPr="004E275F">
        <w:rPr>
          <w:rFonts w:ascii="Aptos" w:eastAsia="Times New Roman" w:hAnsi="Aptos" w:cs="Times New Roman"/>
          <w:i/>
          <w:iCs/>
          <w:color w:val="000000"/>
          <w:kern w:val="0"/>
          <w:sz w:val="27"/>
          <w:szCs w:val="27"/>
          <w14:ligatures w14:val="none"/>
        </w:rPr>
        <w:t>“However, insurance </w:t>
      </w:r>
      <w:r w:rsidRPr="004E275F">
        <w:rPr>
          <w:rFonts w:ascii="Aptos" w:eastAsia="Times New Roman" w:hAnsi="Aptos" w:cs="Times New Roman"/>
          <w:i/>
          <w:iCs/>
          <w:color w:val="EE0000"/>
          <w:kern w:val="0"/>
          <w:sz w:val="27"/>
          <w:szCs w:val="27"/>
          <w14:ligatures w14:val="none"/>
        </w:rPr>
        <w:t>policies </w:t>
      </w:r>
      <w:r w:rsidRPr="004E275F">
        <w:rPr>
          <w:rFonts w:ascii="Aptos" w:eastAsia="Times New Roman" w:hAnsi="Aptos" w:cs="Times New Roman"/>
          <w:i/>
          <w:iCs/>
          <w:strike/>
          <w:color w:val="EE0000"/>
          <w:kern w:val="0"/>
          <w:sz w:val="27"/>
          <w:szCs w:val="27"/>
          <w14:ligatures w14:val="none"/>
        </w:rPr>
        <w:t>coverage</w:t>
      </w:r>
      <w:r w:rsidRPr="004E275F">
        <w:rPr>
          <w:rFonts w:ascii="Aptos" w:eastAsia="Times New Roman" w:hAnsi="Aptos" w:cs="Times New Roman"/>
          <w:i/>
          <w:iCs/>
          <w:color w:val="EE0000"/>
          <w:kern w:val="0"/>
          <w:sz w:val="27"/>
          <w:szCs w:val="27"/>
          <w14:ligatures w14:val="none"/>
        </w:rPr>
        <w:t> </w:t>
      </w:r>
      <w:r w:rsidRPr="004E275F">
        <w:rPr>
          <w:rFonts w:ascii="Aptos" w:eastAsia="Times New Roman" w:hAnsi="Aptos" w:cs="Times New Roman"/>
          <w:i/>
          <w:iCs/>
          <w:color w:val="000000"/>
          <w:kern w:val="0"/>
          <w:sz w:val="27"/>
          <w:szCs w:val="27"/>
          <w14:ligatures w14:val="none"/>
        </w:rPr>
        <w:t>through the surplus lines market </w:t>
      </w:r>
      <w:r w:rsidRPr="004E275F">
        <w:rPr>
          <w:rFonts w:ascii="Aptos" w:eastAsia="Times New Roman" w:hAnsi="Aptos" w:cs="Times New Roman"/>
          <w:i/>
          <w:iCs/>
          <w:strike/>
          <w:color w:val="EE0000"/>
          <w:kern w:val="0"/>
          <w:sz w:val="27"/>
          <w:szCs w:val="27"/>
          <w14:ligatures w14:val="none"/>
        </w:rPr>
        <w:t>also provides consumers with fewer protections and greater financial risk, as surplus lines policies</w:t>
      </w:r>
      <w:r w:rsidRPr="004E275F">
        <w:rPr>
          <w:rFonts w:ascii="Aptos" w:eastAsia="Times New Roman" w:hAnsi="Aptos" w:cs="Times New Roman"/>
          <w:i/>
          <w:iCs/>
          <w:color w:val="EE0000"/>
          <w:kern w:val="0"/>
          <w:sz w:val="27"/>
          <w:szCs w:val="27"/>
          <w14:ligatures w14:val="none"/>
        </w:rPr>
        <w:t> </w:t>
      </w:r>
      <w:r w:rsidRPr="004E275F">
        <w:rPr>
          <w:rFonts w:ascii="Aptos" w:eastAsia="Times New Roman" w:hAnsi="Aptos" w:cs="Times New Roman"/>
          <w:i/>
          <w:iCs/>
          <w:color w:val="000000"/>
          <w:kern w:val="0"/>
          <w:sz w:val="27"/>
          <w:szCs w:val="27"/>
          <w14:ligatures w14:val="none"/>
        </w:rPr>
        <w:t>are not backed by guaranty funds.”</w:t>
      </w:r>
    </w:p>
    <w:p w14:paraId="68A6011C" w14:textId="77777777" w:rsidR="004E275F" w:rsidRPr="004E275F" w:rsidRDefault="004E275F" w:rsidP="004E275F">
      <w:pPr>
        <w:spacing w:after="0" w:line="240" w:lineRule="auto"/>
        <w:rPr>
          <w:rFonts w:ascii="Aptos" w:eastAsia="Times New Roman" w:hAnsi="Aptos" w:cs="Times New Roman"/>
          <w:color w:val="000000"/>
          <w:kern w:val="0"/>
          <w:sz w:val="27"/>
          <w:szCs w:val="27"/>
          <w14:ligatures w14:val="none"/>
        </w:rPr>
      </w:pPr>
      <w:r w:rsidRPr="004E275F">
        <w:rPr>
          <w:rFonts w:ascii="Aptos" w:eastAsia="Times New Roman" w:hAnsi="Aptos" w:cs="Times New Roman"/>
          <w:i/>
          <w:iCs/>
          <w:color w:val="000000"/>
          <w:kern w:val="0"/>
          <w:sz w:val="27"/>
          <w:szCs w:val="27"/>
          <w14:ligatures w14:val="none"/>
        </w:rPr>
        <w:t> </w:t>
      </w:r>
    </w:p>
    <w:p w14:paraId="438589E8" w14:textId="77777777" w:rsidR="004E275F" w:rsidRPr="004E275F" w:rsidRDefault="004E275F" w:rsidP="004E275F">
      <w:pPr>
        <w:spacing w:after="0" w:line="240" w:lineRule="auto"/>
        <w:ind w:firstLine="720"/>
        <w:rPr>
          <w:rFonts w:ascii="Aptos" w:eastAsia="Times New Roman" w:hAnsi="Aptos" w:cs="Times New Roman"/>
          <w:color w:val="000000"/>
          <w:kern w:val="0"/>
          <w:sz w:val="27"/>
          <w:szCs w:val="27"/>
          <w14:ligatures w14:val="none"/>
        </w:rPr>
      </w:pPr>
      <w:r w:rsidRPr="004E275F">
        <w:rPr>
          <w:rFonts w:ascii="Aptos" w:eastAsia="Times New Roman" w:hAnsi="Aptos" w:cs="Times New Roman"/>
          <w:b/>
          <w:bCs/>
          <w:color w:val="000000"/>
          <w:kern w:val="0"/>
          <w:sz w:val="27"/>
          <w:szCs w:val="27"/>
          <w14:ligatures w14:val="none"/>
        </w:rPr>
        <w:t>Request 3: </w:t>
      </w:r>
      <w:r w:rsidRPr="004E275F">
        <w:rPr>
          <w:rFonts w:ascii="Aptos" w:eastAsia="Times New Roman" w:hAnsi="Aptos" w:cs="Times New Roman"/>
          <w:color w:val="000000"/>
          <w:kern w:val="0"/>
          <w:sz w:val="27"/>
          <w:szCs w:val="27"/>
          <w14:ligatures w14:val="none"/>
        </w:rPr>
        <w:t>Edit the “surplus lines” definition on page 122 to read:</w:t>
      </w:r>
    </w:p>
    <w:p w14:paraId="750850FC" w14:textId="77777777" w:rsidR="004E275F" w:rsidRPr="004E275F" w:rsidRDefault="004E275F" w:rsidP="004E275F">
      <w:pPr>
        <w:spacing w:after="0" w:line="240" w:lineRule="auto"/>
        <w:rPr>
          <w:rFonts w:ascii="Aptos" w:eastAsia="Times New Roman" w:hAnsi="Aptos" w:cs="Times New Roman"/>
          <w:color w:val="000000"/>
          <w:kern w:val="0"/>
          <w:sz w:val="27"/>
          <w:szCs w:val="27"/>
          <w14:ligatures w14:val="none"/>
        </w:rPr>
      </w:pPr>
      <w:r w:rsidRPr="004E275F">
        <w:rPr>
          <w:rFonts w:ascii="Aptos" w:eastAsia="Times New Roman" w:hAnsi="Aptos" w:cs="Times New Roman"/>
          <w:color w:val="000000"/>
          <w:kern w:val="0"/>
          <w:sz w:val="27"/>
          <w:szCs w:val="27"/>
          <w14:ligatures w14:val="none"/>
        </w:rPr>
        <w:t> </w:t>
      </w:r>
    </w:p>
    <w:p w14:paraId="5B17CD3B" w14:textId="77777777" w:rsidR="004E275F" w:rsidRPr="004E275F" w:rsidRDefault="004E275F" w:rsidP="004E275F">
      <w:pPr>
        <w:spacing w:after="0" w:line="240" w:lineRule="auto"/>
        <w:ind w:left="1440"/>
        <w:rPr>
          <w:rFonts w:ascii="Aptos" w:eastAsia="Times New Roman" w:hAnsi="Aptos" w:cs="Times New Roman"/>
          <w:color w:val="000000"/>
          <w:kern w:val="0"/>
          <w:sz w:val="27"/>
          <w:szCs w:val="27"/>
          <w14:ligatures w14:val="none"/>
        </w:rPr>
      </w:pPr>
      <w:r w:rsidRPr="004E275F">
        <w:rPr>
          <w:rFonts w:ascii="Aptos" w:eastAsia="Times New Roman" w:hAnsi="Aptos" w:cs="Times New Roman"/>
          <w:i/>
          <w:iCs/>
          <w:color w:val="000000"/>
          <w:kern w:val="0"/>
          <w:sz w:val="27"/>
          <w:szCs w:val="27"/>
          <w14:ligatures w14:val="none"/>
        </w:rPr>
        <w:t>“Surplus lines insurers can provide access to coverage for difficult or unusual risks, but policies </w:t>
      </w:r>
      <w:r w:rsidRPr="004E275F">
        <w:rPr>
          <w:rFonts w:ascii="Aptos" w:eastAsia="Times New Roman" w:hAnsi="Aptos" w:cs="Times New Roman"/>
          <w:i/>
          <w:iCs/>
          <w:strike/>
          <w:color w:val="EE0000"/>
          <w:kern w:val="0"/>
          <w:sz w:val="27"/>
          <w:szCs w:val="27"/>
          <w14:ligatures w14:val="none"/>
        </w:rPr>
        <w:t>may have fewer consumer protections and</w:t>
      </w:r>
      <w:r w:rsidRPr="004E275F">
        <w:rPr>
          <w:rFonts w:ascii="Aptos" w:eastAsia="Times New Roman" w:hAnsi="Aptos" w:cs="Times New Roman"/>
          <w:i/>
          <w:iCs/>
          <w:color w:val="EE0000"/>
          <w:kern w:val="0"/>
          <w:sz w:val="27"/>
          <w:szCs w:val="27"/>
          <w14:ligatures w14:val="none"/>
        </w:rPr>
        <w:t> </w:t>
      </w:r>
      <w:r w:rsidRPr="004E275F">
        <w:rPr>
          <w:rFonts w:ascii="Aptos" w:eastAsia="Times New Roman" w:hAnsi="Aptos" w:cs="Times New Roman"/>
          <w:i/>
          <w:iCs/>
          <w:color w:val="000000"/>
          <w:kern w:val="0"/>
          <w:sz w:val="27"/>
          <w:szCs w:val="27"/>
          <w14:ligatures w14:val="none"/>
        </w:rPr>
        <w:t>are generally not covered by state guaranty funds.”</w:t>
      </w:r>
    </w:p>
    <w:p w14:paraId="35E78AD6" w14:textId="3B2929AC" w:rsidR="004E275F" w:rsidRPr="004E275F" w:rsidRDefault="004E275F" w:rsidP="004E275F"/>
    <w:p w14:paraId="0EC60558" w14:textId="77777777" w:rsidR="004E275F" w:rsidRPr="004E275F" w:rsidRDefault="004E275F" w:rsidP="004E275F">
      <w:r w:rsidRPr="004E275F">
        <w:t>We value the opportunity to offer these additional comments and thank you and the Property and Casualty Insurance (C) Committee for your work on this initiative.</w:t>
      </w:r>
    </w:p>
    <w:p w14:paraId="0254CC77" w14:textId="2A7DBAD7" w:rsidR="004E275F" w:rsidRDefault="004E275F" w:rsidP="004E275F">
      <w:pPr>
        <w:spacing w:after="0"/>
      </w:pPr>
      <w:r w:rsidRPr="004E275F">
        <w:t>American Property Casualty Insurance Associatio</w:t>
      </w:r>
      <w:r>
        <w:t>n</w:t>
      </w:r>
    </w:p>
    <w:p w14:paraId="7B7FCDC0" w14:textId="0A3498DF" w:rsidR="004E275F" w:rsidRPr="004E275F" w:rsidRDefault="004E275F" w:rsidP="004E275F">
      <w:pPr>
        <w:spacing w:after="0"/>
      </w:pPr>
      <w:r w:rsidRPr="004E275F">
        <w:t>Lloyd’s America Incorporated</w:t>
      </w:r>
    </w:p>
    <w:p w14:paraId="6FB1DACE" w14:textId="1ED959DD" w:rsidR="004E275F" w:rsidRPr="004E275F" w:rsidRDefault="004E275F" w:rsidP="004E275F">
      <w:pPr>
        <w:spacing w:after="0"/>
      </w:pPr>
      <w:r w:rsidRPr="004E275F">
        <w:t>The Council of Insurance Agents and Brokers</w:t>
      </w:r>
    </w:p>
    <w:p w14:paraId="17BDC75F" w14:textId="13593C42" w:rsidR="004E275F" w:rsidRPr="004E275F" w:rsidRDefault="004E275F" w:rsidP="004E275F">
      <w:pPr>
        <w:spacing w:after="0"/>
      </w:pPr>
      <w:r w:rsidRPr="004E275F">
        <w:t>Wholesale &amp; Specialty Insurance Association </w:t>
      </w:r>
    </w:p>
    <w:p w14:paraId="66963FA2" w14:textId="77777777" w:rsidR="004E275F" w:rsidRPr="004E275F" w:rsidRDefault="004E275F" w:rsidP="004E275F">
      <w:r w:rsidRPr="004E275F">
        <w:t> </w:t>
      </w:r>
    </w:p>
    <w:p w14:paraId="12FD3C1D" w14:textId="77777777" w:rsidR="006B5422" w:rsidRDefault="006B5422"/>
    <w:sectPr w:rsidR="006B54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75F"/>
    <w:rsid w:val="00133BAF"/>
    <w:rsid w:val="00420927"/>
    <w:rsid w:val="0043759E"/>
    <w:rsid w:val="004E275F"/>
    <w:rsid w:val="006B5422"/>
    <w:rsid w:val="007D2B10"/>
    <w:rsid w:val="00A63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D20C3"/>
  <w15:chartTrackingRefBased/>
  <w15:docId w15:val="{1D5EF397-BDB0-4697-BF71-AB227EE5F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27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27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27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27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27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27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27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27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27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27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27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27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27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27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27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27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27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275F"/>
    <w:rPr>
      <w:rFonts w:eastAsiaTheme="majorEastAsia" w:cstheme="majorBidi"/>
      <w:color w:val="272727" w:themeColor="text1" w:themeTint="D8"/>
    </w:rPr>
  </w:style>
  <w:style w:type="paragraph" w:styleId="Title">
    <w:name w:val="Title"/>
    <w:basedOn w:val="Normal"/>
    <w:next w:val="Normal"/>
    <w:link w:val="TitleChar"/>
    <w:uiPriority w:val="10"/>
    <w:qFormat/>
    <w:rsid w:val="004E27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27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27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27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275F"/>
    <w:pPr>
      <w:spacing w:before="160"/>
      <w:jc w:val="center"/>
    </w:pPr>
    <w:rPr>
      <w:i/>
      <w:iCs/>
      <w:color w:val="404040" w:themeColor="text1" w:themeTint="BF"/>
    </w:rPr>
  </w:style>
  <w:style w:type="character" w:customStyle="1" w:styleId="QuoteChar">
    <w:name w:val="Quote Char"/>
    <w:basedOn w:val="DefaultParagraphFont"/>
    <w:link w:val="Quote"/>
    <w:uiPriority w:val="29"/>
    <w:rsid w:val="004E275F"/>
    <w:rPr>
      <w:i/>
      <w:iCs/>
      <w:color w:val="404040" w:themeColor="text1" w:themeTint="BF"/>
    </w:rPr>
  </w:style>
  <w:style w:type="paragraph" w:styleId="ListParagraph">
    <w:name w:val="List Paragraph"/>
    <w:basedOn w:val="Normal"/>
    <w:uiPriority w:val="34"/>
    <w:qFormat/>
    <w:rsid w:val="004E275F"/>
    <w:pPr>
      <w:ind w:left="720"/>
      <w:contextualSpacing/>
    </w:pPr>
  </w:style>
  <w:style w:type="character" w:styleId="IntenseEmphasis">
    <w:name w:val="Intense Emphasis"/>
    <w:basedOn w:val="DefaultParagraphFont"/>
    <w:uiPriority w:val="21"/>
    <w:qFormat/>
    <w:rsid w:val="004E275F"/>
    <w:rPr>
      <w:i/>
      <w:iCs/>
      <w:color w:val="0F4761" w:themeColor="accent1" w:themeShade="BF"/>
    </w:rPr>
  </w:style>
  <w:style w:type="paragraph" w:styleId="IntenseQuote">
    <w:name w:val="Intense Quote"/>
    <w:basedOn w:val="Normal"/>
    <w:next w:val="Normal"/>
    <w:link w:val="IntenseQuoteChar"/>
    <w:uiPriority w:val="30"/>
    <w:qFormat/>
    <w:rsid w:val="004E27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275F"/>
    <w:rPr>
      <w:i/>
      <w:iCs/>
      <w:color w:val="0F4761" w:themeColor="accent1" w:themeShade="BF"/>
    </w:rPr>
  </w:style>
  <w:style w:type="character" w:styleId="IntenseReference">
    <w:name w:val="Intense Reference"/>
    <w:basedOn w:val="DefaultParagraphFont"/>
    <w:uiPriority w:val="32"/>
    <w:qFormat/>
    <w:rsid w:val="004E27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6674D47D81254AAE898D727025BAAD" ma:contentTypeVersion="24" ma:contentTypeDescription="Create a new document." ma:contentTypeScope="" ma:versionID="e380f9955b4208ba635c5e24eac43a16">
  <xsd:schema xmlns:xsd="http://www.w3.org/2001/XMLSchema" xmlns:xs="http://www.w3.org/2001/XMLSchema" xmlns:p="http://schemas.microsoft.com/office/2006/metadata/properties" xmlns:ns1="http://schemas.microsoft.com/sharepoint/v3" xmlns:ns2="734dc620-9a3c-4363-b6b2-552d0a5c0ad8" xmlns:ns3="http://schemas.microsoft.com/sharepoint/v3/fields" xmlns:ns4="55eb7663-75cc-4f64-9609-52561375e7a6" xmlns:ns5="3c9e15a3-223f-4584-afb1-1dbe0b3878fa" targetNamespace="http://schemas.microsoft.com/office/2006/metadata/properties" ma:root="true" ma:fieldsID="39470062fe3424c71532fd57740563bd" ns1:_="" ns2:_="" ns3:_="" ns4:_="" ns5:_="">
    <xsd:import namespace="http://schemas.microsoft.com/sharepoint/v3"/>
    <xsd:import namespace="734dc620-9a3c-4363-b6b2-552d0a5c0ad8"/>
    <xsd:import namespace="http://schemas.microsoft.com/sharepoint/v3/fields"/>
    <xsd:import namespace="55eb7663-75cc-4f64-9609-52561375e7a6"/>
    <xsd:import namespace="3c9e15a3-223f-4584-afb1-1dbe0b3878fa"/>
    <xsd:element name="properties">
      <xsd:complexType>
        <xsd:sequence>
          <xsd:element name="documentManagement">
            <xsd:complexType>
              <xsd:all>
                <xsd:element ref="ns2:Meeting_x0020_Type" minOccurs="0"/>
                <xsd:element ref="ns1:StartDate" minOccurs="0"/>
                <xsd:element ref="ns3:_EndDate" minOccurs="0"/>
                <xsd:element ref="ns3:Location"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MediaServiceLocation" minOccurs="0"/>
                <xsd:element ref="ns4:lcf76f155ced4ddcb4097134ff3c332f" minOccurs="0"/>
                <xsd:element ref="ns5:TaxCatchAll" minOccurs="0"/>
                <xsd:element ref="ns4:MediaServiceObjectDetectorVersions" minOccurs="0"/>
                <xsd:element ref="ns4:MediaServiceSearchProperties" minOccurs="0"/>
                <xsd:element ref="ns1:DocumentSetDescription" minOccurs="0"/>
                <xsd:element ref="ns4:MediaServiceBillingMetadata" minOccurs="0"/>
                <xsd:element ref="ns4: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9" nillable="true" ma:displayName="Start Date" ma:default="[today]" ma:format="DateOnly" ma:indexed="true" ma:internalName="StartDate">
      <xsd:simpleType>
        <xsd:restriction base="dms:DateTime"/>
      </xsd:simpleType>
    </xsd:element>
    <xsd:element name="DocumentSetDescription" ma:index="30"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dc620-9a3c-4363-b6b2-552d0a5c0ad8" elementFormDefault="qualified">
    <xsd:import namespace="http://schemas.microsoft.com/office/2006/documentManagement/types"/>
    <xsd:import namespace="http://schemas.microsoft.com/office/infopath/2007/PartnerControls"/>
    <xsd:element name="Meeting_x0020_Type" ma:index="8" nillable="true" ma:displayName="Meeting Type" ma:format="Dropdown" ma:internalName="Meeting_x0020_Type" ma:readOnly="false">
      <xsd:simpleType>
        <xsd:union memberTypes="dms:Text">
          <xsd:simpleType>
            <xsd:restriction base="dms:Choice">
              <xsd:enumeration value="Commissioners' Conference"/>
              <xsd:enumeration value="Fall National"/>
              <xsd:enumeration value="Insurance Summit"/>
              <xsd:enumeration value="Leadership Forum"/>
              <xsd:enumeration value="Mid-Year ExCo and RT"/>
              <xsd:enumeration value="Spring National"/>
              <xsd:enumeration value="Summer National"/>
              <xsd:enumeration value="IAO Leadership Brief"/>
            </xsd:restriction>
          </xsd:simpleType>
        </xsd:un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10" nillable="true" ma:displayName="End Date" ma:default="[today]" ma:format="DateOnly" ma:internalName="_EndDate">
      <xsd:simpleType>
        <xsd:restriction base="dms:DateTime"/>
      </xsd:simpleType>
    </xsd:element>
    <xsd:element name="Location" ma:index="11" nillable="true" ma:displayName="Location"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eb7663-75cc-4f64-9609-52561375e7a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Date" ma:index="3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1fe78a2-4e71-403c-bd98-a83249bb9193}" ma:internalName="TaxCatchAll" ma:showField="CatchAllData" ma:web="734dc620-9a3c-4363-b6b2-552d0a5c0a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c9e15a3-223f-4584-afb1-1dbe0b3878fa" xsi:nil="true"/>
    <lcf76f155ced4ddcb4097134ff3c332f xmlns="55eb7663-75cc-4f64-9609-52561375e7a6">
      <Terms xmlns="http://schemas.microsoft.com/office/infopath/2007/PartnerControls"/>
    </lcf76f155ced4ddcb4097134ff3c332f>
    <DocumentSetDescription xmlns="http://schemas.microsoft.com/sharepoint/v3" xsi:nil="true"/>
    <_EndDate xmlns="http://schemas.microsoft.com/sharepoint/v3/fields">2026-08-07T15:17:00+00:00</_EndDate>
    <StartDate xmlns="http://schemas.microsoft.com/sharepoint/v3">2026-08-07T15:17:00+00:00</StartDate>
    <Date xmlns="55eb7663-75cc-4f64-9609-52561375e7a6" xsi:nil="true"/>
    <Location xmlns="http://schemas.microsoft.com/sharepoint/v3/fields" xsi:nil="true"/>
    <Meeting_x0020_Type xmlns="734dc620-9a3c-4363-b6b2-552d0a5c0ad8" xsi:nil="true"/>
  </documentManagement>
</p:properties>
</file>

<file path=customXml/itemProps1.xml><?xml version="1.0" encoding="utf-8"?>
<ds:datastoreItem xmlns:ds="http://schemas.openxmlformats.org/officeDocument/2006/customXml" ds:itemID="{9256834E-7967-43AF-9207-1F481EA4DF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4dc620-9a3c-4363-b6b2-552d0a5c0ad8"/>
    <ds:schemaRef ds:uri="http://schemas.microsoft.com/sharepoint/v3/fields"/>
    <ds:schemaRef ds:uri="55eb7663-75cc-4f64-9609-52561375e7a6"/>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4F20F2-21C8-4020-AEC2-41F2FE789D8B}">
  <ds:schemaRefs>
    <ds:schemaRef ds:uri="http://schemas.microsoft.com/sharepoint/v3/contenttype/forms"/>
  </ds:schemaRefs>
</ds:datastoreItem>
</file>

<file path=customXml/itemProps3.xml><?xml version="1.0" encoding="utf-8"?>
<ds:datastoreItem xmlns:ds="http://schemas.openxmlformats.org/officeDocument/2006/customXml" ds:itemID="{2FB5CFEA-F970-41E9-934A-278988963FEA}">
  <ds:schemaRefs>
    <ds:schemaRef ds:uri="http://schemas.microsoft.com/office/2006/metadata/properties"/>
    <ds:schemaRef ds:uri="http://schemas.microsoft.com/office/infopath/2007/PartnerControls"/>
    <ds:schemaRef ds:uri="3c9e15a3-223f-4584-afb1-1dbe0b3878fa"/>
    <ds:schemaRef ds:uri="55eb7663-75cc-4f64-9609-52561375e7a6"/>
    <ds:schemaRef ds:uri="http://schemas.microsoft.com/sharepoint/v3"/>
    <ds:schemaRef ds:uri="http://schemas.microsoft.com/sharepoint/v3/fields"/>
    <ds:schemaRef ds:uri="734dc620-9a3c-4363-b6b2-552d0a5c0ad8"/>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537</Words>
  <Characters>3086</Characters>
  <Application>Microsoft Office Word</Application>
  <DocSecurity>0</DocSecurity>
  <Lines>79</Lines>
  <Paragraphs>32</Paragraphs>
  <ScaleCrop>false</ScaleCrop>
  <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Obersteadt, Anne</dc:creator>
  <cp:keywords/>
  <dc:description/>
  <cp:lastModifiedBy>Obersteadt, Anne</cp:lastModifiedBy>
  <cp:revision>1</cp:revision>
  <dcterms:created xsi:type="dcterms:W3CDTF">2026-08-07T15:09:00Z</dcterms:created>
  <dcterms:modified xsi:type="dcterms:W3CDTF">2026-08-07T15:17:00Z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32071517-964c-457d-9d16-417be063b705</vt:lpwstr>
  </property>
  <property fmtid="{D5CDD505-2E9C-101B-9397-08002B2CF9AE}" pid="3" name="ContentTypeId">
    <vt:lpwstr>0x010100376674D47D81254AAE898D727025BAAD</vt:lpwstr>
  </property>
  <property fmtid="{D5CDD505-2E9C-101B-9397-08002B2CF9AE}" pid="4" name="MediaServiceImageTags">
    <vt:lpwstr/>
  </property>
</Properties>
</file>