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56FA" w14:textId="77777777" w:rsidR="0093121D" w:rsidRDefault="0093121D" w:rsidP="00A51CC4">
      <w:pPr>
        <w:rPr>
          <w:b/>
          <w:bCs/>
        </w:rPr>
      </w:pPr>
    </w:p>
    <w:p w14:paraId="6E8908EE" w14:textId="0D2629F5" w:rsidR="00A51CC4" w:rsidRPr="00D754DB" w:rsidRDefault="00A51CC4" w:rsidP="00A51CC4">
      <w:r w:rsidRPr="00D754DB">
        <w:rPr>
          <w:b/>
          <w:bCs/>
        </w:rPr>
        <w:t>EXECUTIVE</w:t>
      </w:r>
      <w:r w:rsidR="003F1F57" w:rsidRPr="00D754DB">
        <w:rPr>
          <w:b/>
          <w:bCs/>
        </w:rPr>
        <w:t xml:space="preserve"> </w:t>
      </w:r>
      <w:r w:rsidRPr="00D754DB">
        <w:rPr>
          <w:b/>
          <w:bCs/>
        </w:rPr>
        <w:t>SUMMARY</w:t>
      </w:r>
    </w:p>
    <w:p w14:paraId="5F85160C" w14:textId="6803D715" w:rsidR="00706BE2" w:rsidRPr="00D754DB" w:rsidRDefault="00706BE2" w:rsidP="00A51CC4">
      <w:pPr>
        <w:jc w:val="both"/>
      </w:pPr>
      <w:r w:rsidRPr="00D754DB">
        <w:t xml:space="preserve">As </w:t>
      </w:r>
      <w:r w:rsidR="00D325F6" w:rsidRPr="00D754DB">
        <w:t>one</w:t>
      </w:r>
      <w:r w:rsidRPr="00D754DB">
        <w:t xml:space="preserve"> component of a broader </w:t>
      </w:r>
      <w:r w:rsidR="00E0710A" w:rsidRPr="00D754DB">
        <w:t xml:space="preserve">pending </w:t>
      </w:r>
      <w:r w:rsidRPr="00D754DB">
        <w:t>regulatory framework for third-party data and model vendors, this document describes the first phase focused on</w:t>
      </w:r>
      <w:r w:rsidR="00C70BD0" w:rsidRPr="00D754DB">
        <w:t xml:space="preserve"> third-party</w:t>
      </w:r>
      <w:r w:rsidRPr="00D754DB">
        <w:t xml:space="preserve"> data and models</w:t>
      </w:r>
      <w:r w:rsidR="00B92123" w:rsidRPr="00D754DB">
        <w:t xml:space="preserve"> </w:t>
      </w:r>
      <w:r w:rsidR="0092014E" w:rsidRPr="00D754DB">
        <w:t xml:space="preserve">utilized in </w:t>
      </w:r>
      <w:r w:rsidR="00AC11F6" w:rsidRPr="00D754DB">
        <w:t xml:space="preserve">property and casualty </w:t>
      </w:r>
      <w:r w:rsidR="0092014E" w:rsidRPr="00D754DB">
        <w:t>pricing and underwriting insurance functions</w:t>
      </w:r>
      <w:r w:rsidR="00AC11F6" w:rsidRPr="00D754DB">
        <w:t xml:space="preserve"> </w:t>
      </w:r>
      <w:r w:rsidR="00B92123" w:rsidRPr="00D754DB">
        <w:t>(hereafter referred to as “</w:t>
      </w:r>
      <w:r w:rsidR="00694DB8" w:rsidRPr="00D754DB">
        <w:t xml:space="preserve">third-party </w:t>
      </w:r>
      <w:r w:rsidR="00B92123" w:rsidRPr="00D754DB">
        <w:t>data and models”)</w:t>
      </w:r>
      <w:r w:rsidRPr="00D754DB">
        <w:t>.</w:t>
      </w:r>
    </w:p>
    <w:p w14:paraId="01805395" w14:textId="5D72A818" w:rsidR="00692C64" w:rsidRPr="00D754DB" w:rsidRDefault="00A51CC4" w:rsidP="00A51CC4">
      <w:pPr>
        <w:jc w:val="both"/>
      </w:pPr>
      <w:r w:rsidRPr="00D754DB">
        <w:t>The</w:t>
      </w:r>
      <w:r w:rsidR="003F1F57" w:rsidRPr="00D754DB">
        <w:t xml:space="preserve"> </w:t>
      </w:r>
      <w:r w:rsidRPr="00D754DB">
        <w:t>purpose</w:t>
      </w:r>
      <w:r w:rsidR="00FF25FA" w:rsidRPr="00D754DB">
        <w:t>s are</w:t>
      </w:r>
      <w:r w:rsidR="003F1F57" w:rsidRPr="00D754DB">
        <w:t xml:space="preserve"> </w:t>
      </w:r>
      <w:r w:rsidRPr="00D754DB">
        <w:t>to</w:t>
      </w:r>
      <w:r w:rsidR="003F1F57" w:rsidRPr="00D754DB">
        <w:t xml:space="preserve"> </w:t>
      </w:r>
      <w:r w:rsidR="00FF25FA" w:rsidRPr="00D754DB">
        <w:t xml:space="preserve">1) </w:t>
      </w:r>
      <w:r w:rsidR="00AC359C" w:rsidRPr="00D754DB">
        <w:t xml:space="preserve">facilitate a process by which states are able to </w:t>
      </w:r>
      <w:r w:rsidR="00AE6384" w:rsidRPr="00D754DB">
        <w:t>ensure that insurers’ use of third-party data and models complies with state insurance laws and regulations, including the Unfair Trade Practices Act, Unfair Claims Settlement Act, and other applicable regulatory standards</w:t>
      </w:r>
      <w:r w:rsidR="002043A0" w:rsidRPr="00D754DB">
        <w:t xml:space="preserve"> and rate review authority</w:t>
      </w:r>
      <w:r w:rsidR="00AE6384" w:rsidRPr="00D754DB">
        <w:t xml:space="preserve">, </w:t>
      </w:r>
      <w:r w:rsidR="007F4AF5" w:rsidRPr="00D754DB">
        <w:t>including prohibitions against unfair discrimination</w:t>
      </w:r>
      <w:r w:rsidR="00FF25FA" w:rsidRPr="00D754DB">
        <w:t xml:space="preserve">; 2) </w:t>
      </w:r>
      <w:r w:rsidR="00692C64" w:rsidRPr="00D754DB">
        <w:t xml:space="preserve">encourage </w:t>
      </w:r>
      <w:r w:rsidR="00DE3244" w:rsidRPr="00D754DB">
        <w:t>robust</w:t>
      </w:r>
      <w:r w:rsidR="00692C64" w:rsidRPr="00D754DB">
        <w:t xml:space="preserve"> </w:t>
      </w:r>
      <w:r w:rsidR="00DE3244" w:rsidRPr="00D754DB">
        <w:t xml:space="preserve">third-party data and model </w:t>
      </w:r>
      <w:r w:rsidR="00692C64" w:rsidRPr="00D754DB">
        <w:t>governance standards</w:t>
      </w:r>
      <w:r w:rsidR="00DE3244" w:rsidRPr="00D754DB">
        <w:t xml:space="preserve">; and </w:t>
      </w:r>
      <w:r w:rsidR="00277907" w:rsidRPr="00D754DB">
        <w:t xml:space="preserve">3) </w:t>
      </w:r>
      <w:r w:rsidR="00486007" w:rsidRPr="00D754DB">
        <w:t>provide</w:t>
      </w:r>
      <w:r w:rsidR="008D059C" w:rsidRPr="00D754DB">
        <w:t xml:space="preserve"> state insurance regulators </w:t>
      </w:r>
      <w:r w:rsidRPr="00D754DB">
        <w:t>with</w:t>
      </w:r>
      <w:r w:rsidR="003F1F57" w:rsidRPr="00D754DB">
        <w:t xml:space="preserve"> </w:t>
      </w:r>
      <w:r w:rsidR="00487485" w:rsidRPr="00D754DB">
        <w:t xml:space="preserve">a comprehensive </w:t>
      </w:r>
      <w:r w:rsidR="00DE3244" w:rsidRPr="00D754DB">
        <w:t xml:space="preserve">awareness of the  third-parties </w:t>
      </w:r>
      <w:r w:rsidR="00487485" w:rsidRPr="00D754DB">
        <w:t xml:space="preserve">that play a material role in </w:t>
      </w:r>
      <w:r w:rsidR="00C70BD0" w:rsidRPr="00D754DB">
        <w:t xml:space="preserve">property and casualty </w:t>
      </w:r>
      <w:r w:rsidR="00F059B1">
        <w:t>pricing</w:t>
      </w:r>
      <w:r w:rsidR="00F059B1" w:rsidRPr="00D754DB">
        <w:t xml:space="preserve"> </w:t>
      </w:r>
      <w:r w:rsidR="00487485" w:rsidRPr="00D754DB">
        <w:t xml:space="preserve">and underwriting functions along with direct </w:t>
      </w:r>
      <w:r w:rsidRPr="00D754DB">
        <w:t>access</w:t>
      </w:r>
      <w:r w:rsidR="003F1F57" w:rsidRPr="00D754DB">
        <w:t xml:space="preserve"> </w:t>
      </w:r>
      <w:r w:rsidRPr="00D754DB">
        <w:t>to</w:t>
      </w:r>
      <w:r w:rsidR="003F1F57" w:rsidRPr="00D754DB">
        <w:t xml:space="preserve"> </w:t>
      </w:r>
      <w:r w:rsidRPr="00D754DB">
        <w:t>third-party</w:t>
      </w:r>
      <w:r w:rsidR="00486007" w:rsidRPr="00D754DB">
        <w:t xml:space="preserve"> </w:t>
      </w:r>
      <w:r w:rsidRPr="00D754DB">
        <w:t>data</w:t>
      </w:r>
      <w:r w:rsidR="003F1F57" w:rsidRPr="00D754DB">
        <w:t xml:space="preserve"> </w:t>
      </w:r>
      <w:r w:rsidRPr="00D754DB">
        <w:t>and</w:t>
      </w:r>
      <w:r w:rsidR="003F1F57" w:rsidRPr="00D754DB">
        <w:t xml:space="preserve"> </w:t>
      </w:r>
      <w:r w:rsidRPr="00D754DB">
        <w:t>models</w:t>
      </w:r>
      <w:r w:rsidR="00486007" w:rsidRPr="00D754DB">
        <w:t>.</w:t>
      </w:r>
      <w:r w:rsidR="003F1F57" w:rsidRPr="00D754DB">
        <w:t xml:space="preserve"> </w:t>
      </w:r>
    </w:p>
    <w:p w14:paraId="53F9AB8D" w14:textId="6C2C78D7" w:rsidR="00FC5CC1" w:rsidRPr="00D754DB" w:rsidRDefault="000721B1" w:rsidP="00A51CC4">
      <w:pPr>
        <w:jc w:val="both"/>
      </w:pPr>
      <w:r w:rsidRPr="00D754DB">
        <w:t>Insurers remain fully responsible for compliance with all applicable insurance laws when using third-party data or models</w:t>
      </w:r>
      <w:r w:rsidR="00774E4E" w:rsidRPr="00D754DB">
        <w:t>.</w:t>
      </w:r>
    </w:p>
    <w:p w14:paraId="536C6EB6" w14:textId="77777777" w:rsidR="00AC1AA9" w:rsidRDefault="00AC1AA9" w:rsidP="00A51CC4">
      <w:pPr>
        <w:jc w:val="both"/>
        <w:rPr>
          <w:b/>
          <w:bCs/>
        </w:rPr>
      </w:pPr>
    </w:p>
    <w:p w14:paraId="5A6E6D76" w14:textId="5436BFE4" w:rsidR="00410480" w:rsidRPr="00D754DB" w:rsidRDefault="00410480" w:rsidP="00A51CC4">
      <w:pPr>
        <w:jc w:val="both"/>
        <w:rPr>
          <w:b/>
          <w:bCs/>
        </w:rPr>
      </w:pPr>
      <w:r w:rsidRPr="00D754DB">
        <w:rPr>
          <w:b/>
          <w:bCs/>
        </w:rPr>
        <w:t>D</w:t>
      </w:r>
      <w:r w:rsidR="00735232">
        <w:rPr>
          <w:b/>
          <w:bCs/>
        </w:rPr>
        <w:t>EFINITIONS</w:t>
      </w:r>
    </w:p>
    <w:p w14:paraId="67E05ABC" w14:textId="798E50A6" w:rsidR="00735232" w:rsidRPr="00735232" w:rsidRDefault="00735232" w:rsidP="00735232">
      <w:pPr>
        <w:shd w:val="clear" w:color="auto" w:fill="FFFFFF"/>
        <w:jc w:val="both"/>
        <w:rPr>
          <w:rFonts w:eastAsia="Times New Roman" w:cs="Times New Roman"/>
          <w:color w:val="222222"/>
          <w:kern w:val="0"/>
          <w:u w:val="single"/>
          <w14:ligatures w14:val="none"/>
        </w:rPr>
      </w:pPr>
      <w:r w:rsidRPr="00735232">
        <w:rPr>
          <w:rFonts w:eastAsia="Times New Roman" w:cs="Times New Roman"/>
          <w:color w:val="222222"/>
          <w:kern w:val="0"/>
          <w:u w:val="single"/>
          <w14:ligatures w14:val="none"/>
        </w:rPr>
        <w:t>Model:</w:t>
      </w:r>
    </w:p>
    <w:p w14:paraId="5A57C174" w14:textId="2609FA9F" w:rsidR="00410480" w:rsidRPr="00D754DB" w:rsidRDefault="00410480"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Pricing Model—A simplified representation of how insurance losses, expenses, and risk factors relate to each other that is constructed for the purposes of developing rates, premiums, or rating factors for property and casualty insurance risks.</w:t>
      </w:r>
    </w:p>
    <w:p w14:paraId="73A55CCC" w14:textId="230653C7" w:rsidR="00410480" w:rsidRPr="00D754DB" w:rsidRDefault="002F3359"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 xml:space="preserve">Third-Party </w:t>
      </w:r>
      <w:r w:rsidR="00410480" w:rsidRPr="00D754DB">
        <w:rPr>
          <w:rFonts w:eastAsia="Times New Roman" w:cs="Times New Roman"/>
          <w:color w:val="222222"/>
          <w:kern w:val="0"/>
          <w14:ligatures w14:val="none"/>
        </w:rPr>
        <w:t xml:space="preserve">Pricing Model Vendor—A person or entity, other than a licensee, that develops, maintains, or distributes a pricing model for use by property and casualty insurers in ratemaking. A </w:t>
      </w:r>
      <w:r w:rsidRPr="00D754DB">
        <w:rPr>
          <w:rFonts w:eastAsia="Times New Roman" w:cs="Times New Roman"/>
          <w:color w:val="222222"/>
          <w:kern w:val="0"/>
          <w14:ligatures w14:val="none"/>
        </w:rPr>
        <w:t xml:space="preserve">third-party </w:t>
      </w:r>
      <w:r w:rsidR="00410480" w:rsidRPr="00D754DB">
        <w:rPr>
          <w:rFonts w:eastAsia="Times New Roman" w:cs="Times New Roman"/>
          <w:color w:val="222222"/>
          <w:kern w:val="0"/>
          <w14:ligatures w14:val="none"/>
        </w:rPr>
        <w:t>pricing model vendor does not itself assume the insurance risk associated with the model's output.</w:t>
      </w:r>
    </w:p>
    <w:p w14:paraId="77A4D172" w14:textId="77777777" w:rsidR="00410480" w:rsidRPr="00D754DB" w:rsidRDefault="00410480"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 xml:space="preserve">Underwriting Model—A simplified representation of relationships between risk characteristics, exposures, and expected insurance outcomes designed to inform or </w:t>
      </w:r>
      <w:r w:rsidRPr="00D754DB">
        <w:rPr>
          <w:rFonts w:eastAsia="Times New Roman" w:cs="Times New Roman"/>
          <w:color w:val="222222"/>
          <w:kern w:val="0"/>
          <w14:ligatures w14:val="none"/>
        </w:rPr>
        <w:lastRenderedPageBreak/>
        <w:t>automate a property and casualty insurer's decisions about whether to accept, decline, or modify the terms of property or casualty insurance risks.</w:t>
      </w:r>
    </w:p>
    <w:p w14:paraId="0903EAB8" w14:textId="0511BBE8" w:rsidR="00410480" w:rsidRPr="00D754DB" w:rsidRDefault="002F3359"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 xml:space="preserve">Third-Party </w:t>
      </w:r>
      <w:r w:rsidR="00410480" w:rsidRPr="00D754DB">
        <w:rPr>
          <w:rFonts w:eastAsia="Times New Roman" w:cs="Times New Roman"/>
          <w:color w:val="222222"/>
          <w:kern w:val="0"/>
          <w14:ligatures w14:val="none"/>
        </w:rPr>
        <w:t>Underwriting Model Vendor—A person or entity, other than a licensee, that develops, maintains, or distributes an underwriting model for use by property and casualty insurers to provide actionable underwriting guidance such as an accept/decline recommendation, tier placement, or eligibility determination. A</w:t>
      </w:r>
      <w:r w:rsidRPr="00D754DB">
        <w:rPr>
          <w:rFonts w:eastAsia="Times New Roman" w:cs="Times New Roman"/>
          <w:color w:val="222222"/>
          <w:kern w:val="0"/>
          <w14:ligatures w14:val="none"/>
        </w:rPr>
        <w:t xml:space="preserve"> third-party </w:t>
      </w:r>
      <w:r w:rsidR="00410480" w:rsidRPr="00D754DB">
        <w:rPr>
          <w:rFonts w:eastAsia="Times New Roman" w:cs="Times New Roman"/>
          <w:color w:val="222222"/>
          <w:kern w:val="0"/>
          <w14:ligatures w14:val="none"/>
        </w:rPr>
        <w:t>underwriting model vendor does not itself assume the insurance risk associated with the model's output.</w:t>
      </w:r>
    </w:p>
    <w:p w14:paraId="3FACCA83" w14:textId="6BE21AEC" w:rsidR="00735232" w:rsidRPr="00735232" w:rsidRDefault="00735232" w:rsidP="00735232">
      <w:pPr>
        <w:shd w:val="clear" w:color="auto" w:fill="FFFFFF"/>
        <w:jc w:val="both"/>
        <w:rPr>
          <w:rFonts w:eastAsia="Times New Roman" w:cs="Times New Roman"/>
          <w:color w:val="222222"/>
          <w:kern w:val="0"/>
          <w:u w:val="single"/>
          <w14:ligatures w14:val="none"/>
        </w:rPr>
      </w:pPr>
      <w:r w:rsidRPr="00735232">
        <w:rPr>
          <w:rFonts w:eastAsia="Times New Roman" w:cs="Times New Roman"/>
          <w:color w:val="222222"/>
          <w:kern w:val="0"/>
          <w:u w:val="single"/>
          <w14:ligatures w14:val="none"/>
        </w:rPr>
        <w:t>Data:</w:t>
      </w:r>
    </w:p>
    <w:p w14:paraId="000D4DD0" w14:textId="1397BFFB" w:rsidR="00410480" w:rsidRPr="00D754DB" w:rsidRDefault="00410480"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Pricing Data—Facts or information obtained from a source other than a licensee, used as input to a pricing model, or that informs the selection of such input, for the purposes of developing rates, premiums, or rating factors for property and casualty insurance risks. This includes output from other models supplied by third-parties.</w:t>
      </w:r>
    </w:p>
    <w:p w14:paraId="196EC828" w14:textId="6CAA9C4F" w:rsidR="00410480" w:rsidRPr="00D754DB" w:rsidRDefault="002F3359"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 xml:space="preserve">Third-Party </w:t>
      </w:r>
      <w:r w:rsidR="00410480" w:rsidRPr="00D754DB">
        <w:rPr>
          <w:rFonts w:eastAsia="Times New Roman" w:cs="Times New Roman"/>
          <w:color w:val="222222"/>
          <w:kern w:val="0"/>
          <w14:ligatures w14:val="none"/>
        </w:rPr>
        <w:t xml:space="preserve">Pricing Data Vendor—A person or entity, other than a licensee, that develops, maintains, collects, compiles, or distributes pricing data for use by both licensees or unlicensed persons or entities, in developing rates, premiums, or rating factors for property and casualty risks. A </w:t>
      </w:r>
      <w:r w:rsidRPr="00D754DB">
        <w:rPr>
          <w:rFonts w:eastAsia="Times New Roman" w:cs="Times New Roman"/>
          <w:color w:val="222222"/>
          <w:kern w:val="0"/>
          <w14:ligatures w14:val="none"/>
        </w:rPr>
        <w:t xml:space="preserve">third-party </w:t>
      </w:r>
      <w:r w:rsidR="00410480" w:rsidRPr="00D754DB">
        <w:rPr>
          <w:rFonts w:eastAsia="Times New Roman" w:cs="Times New Roman"/>
          <w:color w:val="222222"/>
          <w:kern w:val="0"/>
          <w14:ligatures w14:val="none"/>
        </w:rPr>
        <w:t>pricing data vendor does not itself assume the insurance risk associated with the pricing decisions informed or influenced by that data.</w:t>
      </w:r>
    </w:p>
    <w:p w14:paraId="3281EB90" w14:textId="77777777" w:rsidR="00410480" w:rsidRPr="00D754DB" w:rsidRDefault="00410480" w:rsidP="00735232">
      <w:pPr>
        <w:shd w:val="clear" w:color="auto" w:fill="FFFFFF"/>
        <w:jc w:val="both"/>
        <w:rPr>
          <w:rFonts w:eastAsia="Times New Roman" w:cs="Times New Roman"/>
          <w:color w:val="222222"/>
          <w:kern w:val="0"/>
          <w14:ligatures w14:val="none"/>
        </w:rPr>
      </w:pPr>
      <w:r w:rsidRPr="00D754DB">
        <w:rPr>
          <w:rFonts w:eastAsia="Times New Roman" w:cs="Times New Roman"/>
          <w:color w:val="222222"/>
          <w:kern w:val="0"/>
          <w14:ligatures w14:val="none"/>
        </w:rPr>
        <w:t>Underwriting Data—Facts or information obtained from a source other than a licensee, used as input to an underwriting model, or that informs the selection of such input, for the purposes of evaluating, accepting, declining, or modifying the terms of property and casualty risks. This includes output from other models supplied by third-parties.</w:t>
      </w:r>
    </w:p>
    <w:p w14:paraId="3D36B939" w14:textId="5E711696" w:rsidR="00410480" w:rsidRPr="00735232" w:rsidRDefault="002F3359" w:rsidP="00735232">
      <w:pPr>
        <w:shd w:val="clear" w:color="auto" w:fill="FFFFFF"/>
        <w:jc w:val="both"/>
      </w:pPr>
      <w:r w:rsidRPr="00735232">
        <w:t xml:space="preserve">Third-Party </w:t>
      </w:r>
      <w:r w:rsidR="00410480" w:rsidRPr="00735232">
        <w:t>Underwriting Data Vendor—A person or entity, other than a licensee, that develops, maintains collects, compiles, or distributes underwriting data for use by both licensees or unlicensed persons or entities, in evaluating, accepting, declining, or modifying the terms of property and casualty risks. A</w:t>
      </w:r>
      <w:r w:rsidRPr="00735232">
        <w:t xml:space="preserve"> third-party </w:t>
      </w:r>
      <w:r w:rsidR="00410480" w:rsidRPr="00735232">
        <w:t>underwriting data vendor supplies facts or information that serves as an input to an underwriting model, or that otherwise informs underwriting decisions made by licensees, but does not itself assume the risk associated with the underwriting decisions informed or influenced by that data.</w:t>
      </w:r>
    </w:p>
    <w:p w14:paraId="2B6170F2" w14:textId="1558FFBA" w:rsidR="00AC1AA9" w:rsidRDefault="002B4061" w:rsidP="0093121D">
      <w:pPr>
        <w:shd w:val="clear" w:color="auto" w:fill="FFFFFF"/>
        <w:jc w:val="both"/>
        <w:rPr>
          <w:b/>
          <w:bCs/>
        </w:rPr>
      </w:pPr>
      <w:r w:rsidRPr="00545DE2">
        <w:rPr>
          <w:rFonts w:eastAsia="Times New Roman" w:cs="Times New Roman"/>
          <w:i/>
          <w:iCs/>
          <w:color w:val="222222"/>
          <w:kern w:val="0"/>
          <w14:ligatures w14:val="none"/>
        </w:rPr>
        <w:t>Note: Third-party data vendors and third-party model vendors are not necessarily distinct. The same third-party vendor may, in fact, be a data vendor and model vendor.</w:t>
      </w:r>
      <w:r w:rsidR="00AC1AA9">
        <w:rPr>
          <w:b/>
          <w:bCs/>
        </w:rPr>
        <w:br w:type="page"/>
      </w:r>
    </w:p>
    <w:p w14:paraId="56431DFB" w14:textId="46AE64E5" w:rsidR="00A51CC4" w:rsidRPr="00D754DB" w:rsidRDefault="00A51CC4" w:rsidP="00A51CC4">
      <w:r w:rsidRPr="00D754DB">
        <w:rPr>
          <w:b/>
          <w:bCs/>
        </w:rPr>
        <w:lastRenderedPageBreak/>
        <w:t>P</w:t>
      </w:r>
      <w:r w:rsidR="00735232">
        <w:rPr>
          <w:b/>
          <w:bCs/>
        </w:rPr>
        <w:t>ROPOSED STRUCTURE</w:t>
      </w:r>
    </w:p>
    <w:p w14:paraId="5FFE5C19" w14:textId="153012AF" w:rsidR="00326083" w:rsidRPr="00D754DB" w:rsidRDefault="00566680" w:rsidP="00D0650D">
      <w:pPr>
        <w:pStyle w:val="ListParagraph"/>
        <w:numPr>
          <w:ilvl w:val="0"/>
          <w:numId w:val="73"/>
        </w:numPr>
        <w:jc w:val="both"/>
      </w:pPr>
      <w:r w:rsidRPr="00D754DB">
        <w:rPr>
          <w:b/>
          <w:bCs/>
          <w:u w:val="single"/>
        </w:rPr>
        <w:t>Registry:</w:t>
      </w:r>
      <w:r w:rsidRPr="00D754DB">
        <w:t xml:space="preserve"> </w:t>
      </w:r>
      <w:r w:rsidR="00AD37CB" w:rsidRPr="00D754DB">
        <w:t>T</w:t>
      </w:r>
      <w:r w:rsidR="00A51CC4" w:rsidRPr="00D754DB">
        <w:t>hird-party</w:t>
      </w:r>
      <w:r w:rsidR="003F1F57" w:rsidRPr="00D754DB">
        <w:t xml:space="preserve"> </w:t>
      </w:r>
      <w:r w:rsidR="00A51CC4" w:rsidRPr="00D754DB">
        <w:t>data</w:t>
      </w:r>
      <w:r w:rsidR="003F1F57" w:rsidRPr="00D754DB">
        <w:t xml:space="preserve"> </w:t>
      </w:r>
      <w:r w:rsidR="00A51CC4" w:rsidRPr="00D754DB">
        <w:t>and</w:t>
      </w:r>
      <w:r w:rsidR="003F1F57" w:rsidRPr="00D754DB">
        <w:t xml:space="preserve"> </w:t>
      </w:r>
      <w:r w:rsidR="00A51CC4" w:rsidRPr="00D754DB">
        <w:t>model</w:t>
      </w:r>
      <w:r w:rsidR="003F1F57" w:rsidRPr="00D754DB">
        <w:t xml:space="preserve"> </w:t>
      </w:r>
      <w:r w:rsidR="00A51CC4" w:rsidRPr="00D754DB">
        <w:t>vendors</w:t>
      </w:r>
      <w:r w:rsidR="00AC11F6" w:rsidRPr="00D754DB">
        <w:t xml:space="preserve"> would be encouraged to voluntar</w:t>
      </w:r>
      <w:r w:rsidR="00B277D1">
        <w:t xml:space="preserve">ily </w:t>
      </w:r>
      <w:r w:rsidR="00A51CC4" w:rsidRPr="00D754DB">
        <w:t>register</w:t>
      </w:r>
      <w:r w:rsidR="003F1F57" w:rsidRPr="00D754DB">
        <w:t xml:space="preserve"> </w:t>
      </w:r>
      <w:r w:rsidR="006C5CCD" w:rsidRPr="00D754DB">
        <w:t xml:space="preserve">through a </w:t>
      </w:r>
      <w:r w:rsidR="00046BE8" w:rsidRPr="00D754DB">
        <w:t xml:space="preserve">shared multi-state registry </w:t>
      </w:r>
      <w:r w:rsidR="00AC11F6" w:rsidRPr="00D754DB">
        <w:t xml:space="preserve">hosted by the </w:t>
      </w:r>
      <w:r w:rsidR="002D1097">
        <w:t>National Association of Insurance Commissioners (“</w:t>
      </w:r>
      <w:r w:rsidR="00AC11F6" w:rsidRPr="00D754DB">
        <w:t>NAIC</w:t>
      </w:r>
      <w:r w:rsidR="002D1097">
        <w:t>”)</w:t>
      </w:r>
      <w:r w:rsidR="00AC11F6" w:rsidRPr="00D754DB">
        <w:t xml:space="preserve">. </w:t>
      </w:r>
      <w:r w:rsidR="006B389A" w:rsidRPr="00D754DB">
        <w:t xml:space="preserve">The registry would function as a central repository and access point </w:t>
      </w:r>
      <w:r w:rsidR="00046BE8" w:rsidRPr="00D754DB">
        <w:t>for third-party data and model vendors to provide</w:t>
      </w:r>
      <w:r w:rsidR="00AD37CB" w:rsidRPr="00D754DB">
        <w:t xml:space="preserve"> required </w:t>
      </w:r>
      <w:r w:rsidR="00487485" w:rsidRPr="00D754DB">
        <w:t>descriptions of</w:t>
      </w:r>
      <w:r w:rsidR="00F24DCB" w:rsidRPr="00D754DB">
        <w:t xml:space="preserve"> </w:t>
      </w:r>
      <w:r w:rsidR="00487485" w:rsidRPr="00D754DB">
        <w:t xml:space="preserve">their </w:t>
      </w:r>
      <w:r w:rsidR="00F24DCB" w:rsidRPr="00D754DB">
        <w:t>corporate</w:t>
      </w:r>
      <w:r w:rsidR="00AD37CB" w:rsidRPr="00D754DB">
        <w:t xml:space="preserve"> </w:t>
      </w:r>
      <w:r w:rsidR="00F24DCB" w:rsidRPr="00D754DB">
        <w:t>governance</w:t>
      </w:r>
      <w:r w:rsidR="00AD37CB" w:rsidRPr="00D754DB">
        <w:t xml:space="preserve"> structure</w:t>
      </w:r>
      <w:r w:rsidR="009B67A4" w:rsidRPr="00D754DB">
        <w:t xml:space="preserve"> </w:t>
      </w:r>
      <w:r w:rsidR="004A6E04" w:rsidRPr="00D754DB">
        <w:t xml:space="preserve">as well as their </w:t>
      </w:r>
      <w:r w:rsidR="00F24DCB" w:rsidRPr="00D754DB">
        <w:t>data and model governance</w:t>
      </w:r>
      <w:r w:rsidR="009B67A4" w:rsidRPr="00D754DB">
        <w:t xml:space="preserve"> </w:t>
      </w:r>
      <w:r w:rsidR="00326083" w:rsidRPr="00D754DB">
        <w:t>programs</w:t>
      </w:r>
      <w:r w:rsidR="0099064A" w:rsidRPr="00D754DB">
        <w:t xml:space="preserve"> and which insurers have purchased data and/or models</w:t>
      </w:r>
      <w:r w:rsidR="00AD37CB" w:rsidRPr="00D754DB">
        <w:t xml:space="preserve">. As a </w:t>
      </w:r>
      <w:r w:rsidR="0099045D" w:rsidRPr="00D754DB">
        <w:t>condition of registration, third-party</w:t>
      </w:r>
      <w:r w:rsidR="00DA54AD" w:rsidRPr="00D754DB">
        <w:t xml:space="preserve"> data and model</w:t>
      </w:r>
      <w:r w:rsidR="0099045D" w:rsidRPr="00D754DB">
        <w:t xml:space="preserve"> v</w:t>
      </w:r>
      <w:r w:rsidR="00D66ADA" w:rsidRPr="00D754DB">
        <w:t xml:space="preserve">endors </w:t>
      </w:r>
      <w:r w:rsidR="004A6E04" w:rsidRPr="00D754DB">
        <w:t xml:space="preserve">would </w:t>
      </w:r>
      <w:r w:rsidR="006B389A" w:rsidRPr="00D754DB">
        <w:t xml:space="preserve">commit to respond within specified timeframes to </w:t>
      </w:r>
      <w:r w:rsidR="004A6E04" w:rsidRPr="00D754DB">
        <w:t xml:space="preserve">insurance </w:t>
      </w:r>
      <w:r w:rsidR="00D66ADA" w:rsidRPr="00D754DB">
        <w:t>regulator</w:t>
      </w:r>
      <w:r w:rsidR="006B389A" w:rsidRPr="00D754DB">
        <w:t xml:space="preserve"> requests for </w:t>
      </w:r>
      <w:r w:rsidR="00D66ADA" w:rsidRPr="00D754DB">
        <w:t xml:space="preserve">information about </w:t>
      </w:r>
      <w:r w:rsidR="007C3540" w:rsidRPr="00D754DB">
        <w:t xml:space="preserve">the </w:t>
      </w:r>
      <w:r w:rsidR="004152BF" w:rsidRPr="00D754DB">
        <w:t xml:space="preserve">pricing and underwriting </w:t>
      </w:r>
      <w:r w:rsidR="00D66ADA" w:rsidRPr="00D754DB">
        <w:t xml:space="preserve">data and models </w:t>
      </w:r>
      <w:r w:rsidR="007C3540" w:rsidRPr="00D754DB">
        <w:t>they supply to property and casualty insurers</w:t>
      </w:r>
      <w:r w:rsidR="004152BF" w:rsidRPr="00D754DB">
        <w:t>.</w:t>
      </w:r>
    </w:p>
    <w:p w14:paraId="75BD4F15" w14:textId="77777777" w:rsidR="00BD301C" w:rsidRPr="00D754DB" w:rsidRDefault="00BD301C" w:rsidP="00BD301C">
      <w:pPr>
        <w:pStyle w:val="ListParagraph"/>
        <w:jc w:val="both"/>
      </w:pPr>
    </w:p>
    <w:p w14:paraId="0A0FCA7C" w14:textId="276BC545" w:rsidR="0099064A" w:rsidRPr="00D754DB" w:rsidRDefault="00A929AE" w:rsidP="0099064A">
      <w:pPr>
        <w:pStyle w:val="ListParagraph"/>
        <w:numPr>
          <w:ilvl w:val="1"/>
          <w:numId w:val="73"/>
        </w:numPr>
      </w:pPr>
      <w:r w:rsidRPr="00D754DB">
        <w:t xml:space="preserve">Corporate </w:t>
      </w:r>
      <w:r w:rsidR="00E47A78" w:rsidRPr="00D754DB">
        <w:t xml:space="preserve">governance </w:t>
      </w:r>
      <w:r w:rsidR="00DD42E3" w:rsidRPr="00D754DB">
        <w:t xml:space="preserve">documentation </w:t>
      </w:r>
      <w:r w:rsidR="00984383" w:rsidRPr="00D754DB">
        <w:t xml:space="preserve">must </w:t>
      </w:r>
      <w:r w:rsidR="00E47A78" w:rsidRPr="00D754DB">
        <w:t>include c</w:t>
      </w:r>
      <w:r w:rsidRPr="00D754DB">
        <w:t xml:space="preserve">ontact </w:t>
      </w:r>
      <w:r w:rsidR="00E47A78" w:rsidRPr="00D754DB">
        <w:t>i</w:t>
      </w:r>
      <w:r w:rsidRPr="00D754DB">
        <w:t>nformation</w:t>
      </w:r>
      <w:r w:rsidR="00E47A78" w:rsidRPr="00D754DB">
        <w:t>, l</w:t>
      </w:r>
      <w:r w:rsidRPr="00D754DB">
        <w:t>egal entity, ownership structure,</w:t>
      </w:r>
      <w:r w:rsidR="0099064A" w:rsidRPr="00D754DB">
        <w:t xml:space="preserve"> and</w:t>
      </w:r>
      <w:r w:rsidRPr="00D754DB">
        <w:t xml:space="preserve"> responsible officers</w:t>
      </w:r>
      <w:r w:rsidR="0099064A" w:rsidRPr="00D754DB">
        <w:t>.</w:t>
      </w:r>
    </w:p>
    <w:p w14:paraId="25EBD01D" w14:textId="77777777" w:rsidR="0099064A" w:rsidRPr="00D754DB" w:rsidRDefault="0099064A" w:rsidP="0099064A">
      <w:pPr>
        <w:pStyle w:val="ListParagraph"/>
        <w:ind w:left="1440"/>
      </w:pPr>
    </w:p>
    <w:p w14:paraId="6103B23C" w14:textId="0238925B" w:rsidR="00CF3453" w:rsidRDefault="004F444C" w:rsidP="00CF3453">
      <w:pPr>
        <w:pStyle w:val="ListParagraph"/>
        <w:numPr>
          <w:ilvl w:val="1"/>
          <w:numId w:val="73"/>
        </w:numPr>
        <w:jc w:val="both"/>
      </w:pPr>
      <w:r w:rsidRPr="00D754DB">
        <w:t xml:space="preserve">Model and </w:t>
      </w:r>
      <w:r w:rsidR="00DD42E3" w:rsidRPr="00D754DB">
        <w:t>d</w:t>
      </w:r>
      <w:r w:rsidRPr="00D754DB">
        <w:t>ata g</w:t>
      </w:r>
      <w:r w:rsidR="00326083" w:rsidRPr="00D754DB">
        <w:t xml:space="preserve">overnance programs </w:t>
      </w:r>
      <w:r w:rsidR="00984383" w:rsidRPr="00D754DB">
        <w:t>must b</w:t>
      </w:r>
      <w:r w:rsidR="00326083" w:rsidRPr="00D754DB">
        <w:t xml:space="preserve">e consistent with the NAIC’s AI </w:t>
      </w:r>
      <w:hyperlink r:id="rId11" w:history="1">
        <w:r w:rsidR="00545DE2" w:rsidRPr="00545DE2">
          <w:rPr>
            <w:rStyle w:val="Hyperlink"/>
          </w:rPr>
          <w:t>P</w:t>
        </w:r>
        <w:r w:rsidR="00326083" w:rsidRPr="00545DE2">
          <w:rPr>
            <w:rStyle w:val="Hyperlink"/>
          </w:rPr>
          <w:t>rinciples</w:t>
        </w:r>
      </w:hyperlink>
      <w:r w:rsidR="00DD42E3" w:rsidRPr="00D754DB">
        <w:t xml:space="preserve"> </w:t>
      </w:r>
      <w:r w:rsidR="00AC359C" w:rsidRPr="00D754DB">
        <w:t xml:space="preserve">and </w:t>
      </w:r>
      <w:hyperlink r:id="rId12" w:history="1">
        <w:r w:rsidR="00AC359C" w:rsidRPr="00545DE2">
          <w:rPr>
            <w:rStyle w:val="Hyperlink"/>
          </w:rPr>
          <w:t>Model Bulletin</w:t>
        </w:r>
      </w:hyperlink>
      <w:r w:rsidR="007E3BD5" w:rsidRPr="00D754DB">
        <w:t xml:space="preserve"> and </w:t>
      </w:r>
      <w:r w:rsidR="00DD42E3" w:rsidRPr="00D754DB">
        <w:t xml:space="preserve">demonstrate </w:t>
      </w:r>
      <w:r w:rsidR="007E3BD5" w:rsidRPr="00D754DB">
        <w:t xml:space="preserve">robust governance standards and </w:t>
      </w:r>
      <w:r w:rsidR="00AD37CB" w:rsidRPr="00D754DB">
        <w:t xml:space="preserve">risk management </w:t>
      </w:r>
      <w:r w:rsidR="007E3BD5" w:rsidRPr="00D754DB">
        <w:t>controls.</w:t>
      </w:r>
    </w:p>
    <w:p w14:paraId="776BDD56" w14:textId="77777777" w:rsidR="00CF3453" w:rsidRPr="00D754DB" w:rsidRDefault="00CF3453" w:rsidP="00CF3453">
      <w:pPr>
        <w:pStyle w:val="ListParagraph"/>
        <w:ind w:left="1440"/>
        <w:jc w:val="both"/>
      </w:pPr>
    </w:p>
    <w:p w14:paraId="3DAFE4E4" w14:textId="77777777" w:rsidR="00CF3453" w:rsidRDefault="00F83F79" w:rsidP="00F83F79">
      <w:pPr>
        <w:pStyle w:val="ListParagraph"/>
        <w:numPr>
          <w:ilvl w:val="2"/>
          <w:numId w:val="73"/>
        </w:numPr>
        <w:jc w:val="both"/>
      </w:pPr>
      <w:r w:rsidRPr="00D754DB">
        <w:t xml:space="preserve">For models, documentation </w:t>
      </w:r>
      <w:r w:rsidR="00DD42E3" w:rsidRPr="00D754DB">
        <w:t xml:space="preserve">should </w:t>
      </w:r>
      <w:r w:rsidRPr="00D754DB">
        <w:t xml:space="preserve">consist of </w:t>
      </w:r>
      <w:r w:rsidR="004A6E04" w:rsidRPr="00D754DB">
        <w:t>purpose</w:t>
      </w:r>
      <w:r w:rsidRPr="00D754DB">
        <w:t>, assumptions, inputs, limitations, performance metrics, and validation processes.</w:t>
      </w:r>
    </w:p>
    <w:p w14:paraId="34954E30" w14:textId="1643AF7C" w:rsidR="00F83F79" w:rsidRPr="00D754DB" w:rsidRDefault="00F83F79" w:rsidP="00CF3453">
      <w:pPr>
        <w:pStyle w:val="ListParagraph"/>
        <w:ind w:left="2160"/>
        <w:jc w:val="both"/>
      </w:pPr>
      <w:r w:rsidRPr="00D754DB">
        <w:t xml:space="preserve"> </w:t>
      </w:r>
    </w:p>
    <w:p w14:paraId="1B814159" w14:textId="7B171E11" w:rsidR="00AC28E1" w:rsidRDefault="00F83F79" w:rsidP="001E4908">
      <w:pPr>
        <w:pStyle w:val="ListParagraph"/>
        <w:numPr>
          <w:ilvl w:val="2"/>
          <w:numId w:val="73"/>
        </w:numPr>
      </w:pPr>
      <w:r w:rsidRPr="00D754DB">
        <w:t xml:space="preserve">For data, documentation </w:t>
      </w:r>
      <w:r w:rsidR="00DD42E3" w:rsidRPr="00D754DB">
        <w:t xml:space="preserve">should </w:t>
      </w:r>
      <w:r w:rsidRPr="00D754DB">
        <w:t xml:space="preserve">consist of accuracy, completeness, timeliness, representativeness, auditable data lineage, </w:t>
      </w:r>
      <w:r w:rsidR="001E4908" w:rsidRPr="00D754DB">
        <w:t xml:space="preserve">and </w:t>
      </w:r>
      <w:r w:rsidRPr="00D754DB">
        <w:t>quality controls</w:t>
      </w:r>
      <w:r w:rsidR="00276044" w:rsidRPr="00D754DB">
        <w:t>; d</w:t>
      </w:r>
      <w:r w:rsidR="00AC28E1" w:rsidRPr="00D754DB">
        <w:t>ata governance and provenance controls</w:t>
      </w:r>
      <w:r w:rsidR="00276044" w:rsidRPr="00D754DB">
        <w:t>; r</w:t>
      </w:r>
      <w:r w:rsidR="00AC28E1" w:rsidRPr="00D754DB">
        <w:t>oles, responsibilities, and internal oversight</w:t>
      </w:r>
      <w:r w:rsidR="001E4908" w:rsidRPr="00D754DB">
        <w:t xml:space="preserve">; process </w:t>
      </w:r>
      <w:r w:rsidR="00AC28E1" w:rsidRPr="00D754DB">
        <w:t>for identification and remediation of missing or incomplete data</w:t>
      </w:r>
      <w:r w:rsidR="001E4908" w:rsidRPr="00D754DB">
        <w:t>.</w:t>
      </w:r>
    </w:p>
    <w:p w14:paraId="1F01D7F2" w14:textId="77777777" w:rsidR="00CF3453" w:rsidRDefault="00CF3453" w:rsidP="00CF3453">
      <w:pPr>
        <w:pStyle w:val="ListParagraph"/>
        <w:ind w:left="2160"/>
        <w:jc w:val="both"/>
      </w:pPr>
    </w:p>
    <w:p w14:paraId="1F6659F2" w14:textId="7D361649" w:rsidR="00F83F79" w:rsidRPr="00D754DB" w:rsidRDefault="004A6E04" w:rsidP="00F83F79">
      <w:pPr>
        <w:pStyle w:val="ListParagraph"/>
        <w:numPr>
          <w:ilvl w:val="2"/>
          <w:numId w:val="73"/>
        </w:numPr>
        <w:jc w:val="both"/>
      </w:pPr>
      <w:r w:rsidRPr="00D754DB">
        <w:t>Third-party data and model v</w:t>
      </w:r>
      <w:r w:rsidR="00F83F79" w:rsidRPr="00D754DB">
        <w:t>endors should disclose data usage, explain how consumers can access and correct records, and define any limitations of corrections.</w:t>
      </w:r>
    </w:p>
    <w:p w14:paraId="4B67FFB0" w14:textId="77777777" w:rsidR="00BD301C" w:rsidRPr="00D754DB" w:rsidRDefault="00BD301C" w:rsidP="00BD301C">
      <w:pPr>
        <w:pStyle w:val="ListParagraph"/>
        <w:ind w:left="2160"/>
        <w:jc w:val="both"/>
      </w:pPr>
    </w:p>
    <w:p w14:paraId="078E32AF" w14:textId="714D8761" w:rsidR="00BD301C" w:rsidRPr="00D754DB" w:rsidRDefault="003B0424" w:rsidP="00623D7E">
      <w:pPr>
        <w:pStyle w:val="ListParagraph"/>
        <w:numPr>
          <w:ilvl w:val="1"/>
          <w:numId w:val="73"/>
        </w:numPr>
      </w:pPr>
      <w:r w:rsidRPr="00D754DB">
        <w:lastRenderedPageBreak/>
        <w:t xml:space="preserve">Upon request, third-party </w:t>
      </w:r>
      <w:r w:rsidR="00DA54AD" w:rsidRPr="00D754DB">
        <w:t xml:space="preserve">data and model </w:t>
      </w:r>
      <w:r w:rsidRPr="00D754DB">
        <w:t>v</w:t>
      </w:r>
      <w:r w:rsidR="003865AB" w:rsidRPr="00D754DB">
        <w:t xml:space="preserve">endors </w:t>
      </w:r>
      <w:r w:rsidR="0082189B">
        <w:t xml:space="preserve">should </w:t>
      </w:r>
      <w:r w:rsidR="0020382F" w:rsidRPr="00D754DB">
        <w:t>p</w:t>
      </w:r>
      <w:r w:rsidR="003865AB" w:rsidRPr="00D754DB">
        <w:t xml:space="preserve">rovide regulators with information such as that described in the </w:t>
      </w:r>
      <w:hyperlink r:id="rId13" w:history="1">
        <w:r w:rsidR="003865AB" w:rsidRPr="0093121D">
          <w:rPr>
            <w:rStyle w:val="Hyperlink"/>
            <w:i/>
            <w:iCs/>
          </w:rPr>
          <w:t>NAIC Model Review Manual</w:t>
        </w:r>
      </w:hyperlink>
      <w:r w:rsidR="003865AB" w:rsidRPr="00D754DB">
        <w:rPr>
          <w:i/>
          <w:iCs/>
        </w:rPr>
        <w:t xml:space="preserve"> </w:t>
      </w:r>
      <w:r w:rsidR="003865AB" w:rsidRPr="00BD3503">
        <w:t>and the</w:t>
      </w:r>
      <w:r w:rsidR="003865AB" w:rsidRPr="00D754DB">
        <w:rPr>
          <w:i/>
          <w:iCs/>
        </w:rPr>
        <w:t xml:space="preserve"> Catastrophe Modeling Primer</w:t>
      </w:r>
      <w:r w:rsidR="003865AB" w:rsidRPr="00D754DB">
        <w:t>, including the following:</w:t>
      </w:r>
      <w:r w:rsidR="00623D7E" w:rsidRPr="00D754DB">
        <w:t xml:space="preserve"> </w:t>
      </w:r>
      <w:r w:rsidR="00DA54AD" w:rsidRPr="00D754DB">
        <w:t>m</w:t>
      </w:r>
      <w:r w:rsidR="003865AB" w:rsidRPr="00D754DB">
        <w:t>odel documentation</w:t>
      </w:r>
      <w:r w:rsidR="00623D7E" w:rsidRPr="00D754DB">
        <w:t xml:space="preserve">, </w:t>
      </w:r>
      <w:r w:rsidR="0099045D" w:rsidRPr="00D754DB">
        <w:t>i</w:t>
      </w:r>
      <w:r w:rsidR="003865AB" w:rsidRPr="00D754DB">
        <w:t>nput and output specifications</w:t>
      </w:r>
      <w:r w:rsidR="00623D7E" w:rsidRPr="00D754DB">
        <w:t xml:space="preserve">, </w:t>
      </w:r>
      <w:r w:rsidR="0099045D" w:rsidRPr="00D754DB">
        <w:t>v</w:t>
      </w:r>
      <w:r w:rsidR="003865AB" w:rsidRPr="00D754DB">
        <w:t>alidation, performance, and any fairness/bias testing results</w:t>
      </w:r>
      <w:r w:rsidR="00623D7E" w:rsidRPr="00D754DB">
        <w:t xml:space="preserve">, </w:t>
      </w:r>
      <w:r w:rsidR="0099045D" w:rsidRPr="00D754DB">
        <w:t>c</w:t>
      </w:r>
      <w:r w:rsidR="003865AB" w:rsidRPr="00D754DB">
        <w:t>hange logs and audit trails</w:t>
      </w:r>
      <w:r w:rsidR="00623D7E" w:rsidRPr="00D754DB">
        <w:t>,</w:t>
      </w:r>
      <w:r w:rsidR="005B41B8" w:rsidRPr="00D754DB">
        <w:t xml:space="preserve"> and</w:t>
      </w:r>
      <w:r w:rsidR="00623D7E" w:rsidRPr="00D754DB">
        <w:t xml:space="preserve"> </w:t>
      </w:r>
      <w:r w:rsidR="0099045D" w:rsidRPr="00D754DB">
        <w:t>o</w:t>
      </w:r>
      <w:r w:rsidR="003865AB" w:rsidRPr="00D754DB">
        <w:t>ther information reasonably necessary for regulatory evaluation</w:t>
      </w:r>
      <w:r w:rsidR="0099045D" w:rsidRPr="00D754DB">
        <w:t xml:space="preserve"> of a </w:t>
      </w:r>
      <w:r w:rsidR="00E238F6" w:rsidRPr="00D754DB">
        <w:t xml:space="preserve">property and casualty </w:t>
      </w:r>
      <w:r w:rsidR="0099045D" w:rsidRPr="00D754DB">
        <w:t>rate, rule, or underwriting guideline filing.</w:t>
      </w:r>
    </w:p>
    <w:p w14:paraId="277AEF28" w14:textId="6FC8DB33" w:rsidR="003865AB" w:rsidRPr="00D754DB" w:rsidRDefault="0099045D" w:rsidP="00BD301C">
      <w:pPr>
        <w:pStyle w:val="ListParagraph"/>
        <w:ind w:left="1440"/>
      </w:pPr>
      <w:r w:rsidRPr="00D754DB">
        <w:t xml:space="preserve"> </w:t>
      </w:r>
    </w:p>
    <w:p w14:paraId="792B2A12" w14:textId="31B586CB" w:rsidR="006951D0" w:rsidRDefault="00DD7CB9" w:rsidP="006951D0">
      <w:pPr>
        <w:pStyle w:val="ListParagraph"/>
        <w:numPr>
          <w:ilvl w:val="1"/>
          <w:numId w:val="73"/>
        </w:numPr>
        <w:jc w:val="both"/>
      </w:pPr>
      <w:r w:rsidRPr="00D754DB">
        <w:t xml:space="preserve">Regulators </w:t>
      </w:r>
      <w:r w:rsidR="00D0650D" w:rsidRPr="00D754DB">
        <w:t xml:space="preserve">will have access to the registry </w:t>
      </w:r>
      <w:r w:rsidRPr="00D754DB">
        <w:t xml:space="preserve">which will indicate </w:t>
      </w:r>
      <w:r w:rsidR="0099064A" w:rsidRPr="00D754DB">
        <w:t xml:space="preserve">the </w:t>
      </w:r>
      <w:r w:rsidRPr="00D754DB">
        <w:t>t</w:t>
      </w:r>
      <w:r w:rsidR="003B0424" w:rsidRPr="00D754DB">
        <w:t xml:space="preserve">hird-party </w:t>
      </w:r>
      <w:r w:rsidRPr="00D754DB">
        <w:t>ven</w:t>
      </w:r>
      <w:r w:rsidR="00D0650D" w:rsidRPr="00D754DB">
        <w:t>dor</w:t>
      </w:r>
      <w:r w:rsidRPr="00D754DB">
        <w:t>s</w:t>
      </w:r>
      <w:r w:rsidR="00D0650D" w:rsidRPr="00D754DB">
        <w:t xml:space="preserve"> </w:t>
      </w:r>
      <w:r w:rsidR="0099064A" w:rsidRPr="00D754DB">
        <w:t xml:space="preserve">that </w:t>
      </w:r>
      <w:r w:rsidRPr="00D754DB">
        <w:t xml:space="preserve">are providing insurers with </w:t>
      </w:r>
      <w:r w:rsidR="00AE64CF" w:rsidRPr="00D754DB">
        <w:t>models and/or data for use</w:t>
      </w:r>
      <w:r w:rsidR="00DA54AD" w:rsidRPr="00D754DB">
        <w:t xml:space="preserve"> in underwriting and/or pricing</w:t>
      </w:r>
      <w:r w:rsidR="00AE64CF" w:rsidRPr="00D754DB">
        <w:t xml:space="preserve"> </w:t>
      </w:r>
      <w:r w:rsidRPr="00D754DB">
        <w:t>property and casualty products</w:t>
      </w:r>
      <w:r w:rsidR="00984383" w:rsidRPr="00D754DB">
        <w:t xml:space="preserve"> offered</w:t>
      </w:r>
      <w:r w:rsidRPr="00D754DB">
        <w:t xml:space="preserve"> </w:t>
      </w:r>
      <w:r w:rsidR="00D0650D" w:rsidRPr="00D754DB">
        <w:t xml:space="preserve">in </w:t>
      </w:r>
      <w:r w:rsidRPr="00D754DB">
        <w:t xml:space="preserve">their </w:t>
      </w:r>
      <w:r w:rsidR="00D0650D" w:rsidRPr="00D754DB">
        <w:t>state</w:t>
      </w:r>
      <w:r w:rsidR="0099064A" w:rsidRPr="00D754DB">
        <w:t xml:space="preserve"> along with which insurers have purchased the data and/or models </w:t>
      </w:r>
      <w:r w:rsidRPr="00D754DB">
        <w:t xml:space="preserve">. The registry will also indicate the type of </w:t>
      </w:r>
      <w:r w:rsidR="00F14223" w:rsidRPr="00D754DB">
        <w:t xml:space="preserve">registration </w:t>
      </w:r>
      <w:r w:rsidRPr="00D754DB">
        <w:t>applicable i</w:t>
      </w:r>
      <w:r w:rsidR="00F14223" w:rsidRPr="00D754DB">
        <w:t xml:space="preserve">n </w:t>
      </w:r>
      <w:r w:rsidRPr="00D754DB">
        <w:t xml:space="preserve">each respective </w:t>
      </w:r>
      <w:r w:rsidR="00F14223" w:rsidRPr="00D754DB">
        <w:t>state (e.g., “Data and Model Vendor,” “Insurance Support Organization</w:t>
      </w:r>
      <w:r w:rsidR="002E7670" w:rsidRPr="00D754DB">
        <w:t>,</w:t>
      </w:r>
      <w:r w:rsidR="00F14223" w:rsidRPr="00D754DB">
        <w:t>”</w:t>
      </w:r>
      <w:r w:rsidR="002E7670" w:rsidRPr="00D754DB">
        <w:t xml:space="preserve"> “Advisory Organization”</w:t>
      </w:r>
      <w:r w:rsidR="00F14223" w:rsidRPr="00D754DB">
        <w:t>)</w:t>
      </w:r>
      <w:r w:rsidR="00D0650D" w:rsidRPr="00D754DB">
        <w:t>.</w:t>
      </w:r>
    </w:p>
    <w:p w14:paraId="07F9FF89" w14:textId="77777777" w:rsidR="006951D0" w:rsidRDefault="006951D0" w:rsidP="006951D0">
      <w:pPr>
        <w:pStyle w:val="ListParagraph"/>
      </w:pPr>
    </w:p>
    <w:p w14:paraId="2C9B0022" w14:textId="77777777" w:rsidR="006951D0" w:rsidRPr="00D754DB" w:rsidRDefault="006951D0" w:rsidP="006951D0">
      <w:pPr>
        <w:pStyle w:val="ListParagraph"/>
        <w:numPr>
          <w:ilvl w:val="1"/>
          <w:numId w:val="73"/>
        </w:numPr>
        <w:jc w:val="both"/>
      </w:pPr>
      <w:r w:rsidRPr="00D754DB">
        <w:t>Information submitted to the NAIC’s registry by a model or data vendor will be treated as confidential by the NAIC.  The NAIC is not subject to open records laws in any state.  The confidentiality of vendor information will be governed by each state’s open records laws.  However, if a vendor designates certain information submitted to the registry as confidential, whether governance information or data or models, the NAIC will commit to sharing that information only with states that have the authority to keep it confidential.  States may have statutes that permit confidential treatment of trade secrets and for exam work papers.  States may also need to create statutes that apply specifically to information from third-party data and model vendors or amend existing statutes to include them.</w:t>
      </w:r>
    </w:p>
    <w:p w14:paraId="4CA6EB9F" w14:textId="77777777" w:rsidR="00623D7E" w:rsidRPr="00D754DB" w:rsidRDefault="00623D7E" w:rsidP="00623D7E">
      <w:pPr>
        <w:pStyle w:val="ListParagraph"/>
        <w:ind w:left="1440"/>
        <w:jc w:val="both"/>
      </w:pPr>
    </w:p>
    <w:p w14:paraId="6A1DE429" w14:textId="77777777" w:rsidR="00CF3453" w:rsidRDefault="002E7670" w:rsidP="00186050">
      <w:pPr>
        <w:pStyle w:val="ListParagraph"/>
        <w:numPr>
          <w:ilvl w:val="0"/>
          <w:numId w:val="73"/>
        </w:numPr>
        <w:jc w:val="both"/>
      </w:pPr>
      <w:r w:rsidRPr="00D754DB">
        <w:rPr>
          <w:b/>
          <w:bCs/>
          <w:u w:val="single"/>
        </w:rPr>
        <w:t xml:space="preserve">Rate </w:t>
      </w:r>
      <w:r w:rsidR="00DB4E1C" w:rsidRPr="00D754DB">
        <w:rPr>
          <w:b/>
          <w:bCs/>
          <w:u w:val="single"/>
        </w:rPr>
        <w:t xml:space="preserve">and Underwriting </w:t>
      </w:r>
      <w:r w:rsidRPr="00D754DB">
        <w:rPr>
          <w:b/>
          <w:bCs/>
          <w:u w:val="single"/>
        </w:rPr>
        <w:t>Filings:</w:t>
      </w:r>
      <w:r w:rsidRPr="00D754DB">
        <w:t xml:space="preserve"> </w:t>
      </w:r>
      <w:r w:rsidR="003209B2" w:rsidRPr="00D754DB">
        <w:t xml:space="preserve">An </w:t>
      </w:r>
      <w:r w:rsidR="00DA54AD" w:rsidRPr="00D754DB">
        <w:t xml:space="preserve">insurer </w:t>
      </w:r>
      <w:r w:rsidR="008C1DA3" w:rsidRPr="00D754DB">
        <w:t>will continue to be required to file its rates and underwriting rules in accordance with each state’s law</w:t>
      </w:r>
      <w:r w:rsidR="00380C4D" w:rsidRPr="00D754DB">
        <w:t>s and regulations</w:t>
      </w:r>
      <w:r w:rsidR="008C1DA3" w:rsidRPr="00D754DB">
        <w:t xml:space="preserve">. </w:t>
      </w:r>
      <w:r w:rsidR="00B33126" w:rsidRPr="00D754DB">
        <w:t xml:space="preserve">This new framework </w:t>
      </w:r>
      <w:r w:rsidR="00B203AB" w:rsidRPr="00D754DB">
        <w:t xml:space="preserve">also </w:t>
      </w:r>
      <w:r w:rsidR="00B33126" w:rsidRPr="00D754DB">
        <w:t>does not change any state’s requirements for the filing of data and models.</w:t>
      </w:r>
    </w:p>
    <w:p w14:paraId="0D4FCEFF" w14:textId="04DB3F73" w:rsidR="00380C4D" w:rsidRPr="00D754DB" w:rsidRDefault="00B33126" w:rsidP="00CF3453">
      <w:pPr>
        <w:pStyle w:val="ListParagraph"/>
        <w:jc w:val="both"/>
      </w:pPr>
      <w:r w:rsidRPr="00D754DB">
        <w:t xml:space="preserve"> </w:t>
      </w:r>
    </w:p>
    <w:p w14:paraId="785A4F19" w14:textId="77777777" w:rsidR="00BD301C" w:rsidRPr="00D754DB" w:rsidRDefault="00706E29" w:rsidP="00380C4D">
      <w:pPr>
        <w:pStyle w:val="ListParagraph"/>
        <w:numPr>
          <w:ilvl w:val="1"/>
          <w:numId w:val="73"/>
        </w:numPr>
        <w:jc w:val="both"/>
      </w:pPr>
      <w:r w:rsidRPr="00D754DB">
        <w:lastRenderedPageBreak/>
        <w:t xml:space="preserve">If </w:t>
      </w:r>
      <w:r w:rsidR="00B33126" w:rsidRPr="00D754DB">
        <w:t>a third-party</w:t>
      </w:r>
      <w:r w:rsidR="00DA54AD" w:rsidRPr="00D754DB">
        <w:t xml:space="preserve"> vendor</w:t>
      </w:r>
      <w:r w:rsidR="00B33126" w:rsidRPr="00D754DB">
        <w:t xml:space="preserve">’s data </w:t>
      </w:r>
      <w:r w:rsidR="00DA54AD" w:rsidRPr="00D754DB">
        <w:t>and/</w:t>
      </w:r>
      <w:r w:rsidR="00B33126" w:rsidRPr="00D754DB">
        <w:t xml:space="preserve">or model is used, that data </w:t>
      </w:r>
      <w:r w:rsidR="00DA54AD" w:rsidRPr="00D754DB">
        <w:t>and/</w:t>
      </w:r>
      <w:r w:rsidR="005A5EF2" w:rsidRPr="00D754DB">
        <w:t xml:space="preserve">or model must be filed in either the </w:t>
      </w:r>
      <w:r w:rsidR="00DA54AD" w:rsidRPr="00D754DB">
        <w:t xml:space="preserve">insurer’s </w:t>
      </w:r>
      <w:r w:rsidR="005A5EF2" w:rsidRPr="00D754DB">
        <w:t xml:space="preserve">own filing or as a separate filing </w:t>
      </w:r>
      <w:r w:rsidR="009B4DFD" w:rsidRPr="00D754DB">
        <w:t xml:space="preserve">submitted </w:t>
      </w:r>
      <w:r w:rsidR="005A5EF2" w:rsidRPr="00D754DB">
        <w:t xml:space="preserve">directly </w:t>
      </w:r>
      <w:r w:rsidR="009B4DFD" w:rsidRPr="00D754DB">
        <w:t>to</w:t>
      </w:r>
      <w:r w:rsidR="005A5EF2" w:rsidRPr="00D754DB">
        <w:t xml:space="preserve"> the regulator</w:t>
      </w:r>
      <w:r w:rsidRPr="00D754DB">
        <w:t>, as requested by the regulator.</w:t>
      </w:r>
      <w:r w:rsidR="005A5EF2" w:rsidRPr="00D754DB">
        <w:t xml:space="preserve"> </w:t>
      </w:r>
      <w:r w:rsidR="00DA54AD" w:rsidRPr="00D754DB">
        <w:t xml:space="preserve">In either case, </w:t>
      </w:r>
      <w:r w:rsidR="005A5EF2" w:rsidRPr="00D754DB">
        <w:t xml:space="preserve">the </w:t>
      </w:r>
      <w:r w:rsidRPr="00D754DB">
        <w:t>third-party</w:t>
      </w:r>
      <w:r w:rsidR="00DA54AD" w:rsidRPr="00D754DB">
        <w:t xml:space="preserve"> data and model vendor</w:t>
      </w:r>
      <w:r w:rsidR="005A5EF2" w:rsidRPr="00D754DB">
        <w:t xml:space="preserve"> is required to provide all information requested similarly to what is required of an </w:t>
      </w:r>
      <w:r w:rsidR="00DA54AD" w:rsidRPr="00D754DB">
        <w:t xml:space="preserve">insurer </w:t>
      </w:r>
      <w:r w:rsidR="005A5EF2" w:rsidRPr="00D754DB">
        <w:t xml:space="preserve">filing its own </w:t>
      </w:r>
      <w:r w:rsidR="00DA54AD" w:rsidRPr="00D754DB">
        <w:t xml:space="preserve">data and/or </w:t>
      </w:r>
      <w:r w:rsidR="005A5EF2" w:rsidRPr="00D754DB">
        <w:t>model.</w:t>
      </w:r>
    </w:p>
    <w:p w14:paraId="5834ABE5" w14:textId="753B207D" w:rsidR="00DF766C" w:rsidRPr="00D754DB" w:rsidRDefault="00CE1AE8" w:rsidP="00BD301C">
      <w:pPr>
        <w:pStyle w:val="ListParagraph"/>
        <w:ind w:left="1440"/>
        <w:jc w:val="both"/>
      </w:pPr>
      <w:r w:rsidRPr="00D754DB">
        <w:t xml:space="preserve"> </w:t>
      </w:r>
    </w:p>
    <w:p w14:paraId="059D507B" w14:textId="0694D189" w:rsidR="00BD301C" w:rsidRPr="00D754DB" w:rsidRDefault="00CE1AE8" w:rsidP="00BD301C">
      <w:pPr>
        <w:pStyle w:val="ListParagraph"/>
        <w:numPr>
          <w:ilvl w:val="1"/>
          <w:numId w:val="73"/>
        </w:numPr>
        <w:jc w:val="both"/>
      </w:pPr>
      <w:r w:rsidRPr="00D754DB">
        <w:t xml:space="preserve">Failure </w:t>
      </w:r>
      <w:r w:rsidR="00DA54AD" w:rsidRPr="00D754DB">
        <w:t xml:space="preserve">on the part </w:t>
      </w:r>
      <w:r w:rsidRPr="00D754DB">
        <w:t xml:space="preserve">of a </w:t>
      </w:r>
      <w:r w:rsidR="00DA54AD" w:rsidRPr="00D754DB">
        <w:t>third-party data or model vendor to</w:t>
      </w:r>
      <w:r w:rsidRPr="00D754DB">
        <w:t xml:space="preserve"> provide </w:t>
      </w:r>
      <w:r w:rsidR="00DA54AD" w:rsidRPr="00D754DB">
        <w:t xml:space="preserve">a regulator with requested data and/or model information </w:t>
      </w:r>
      <w:r w:rsidRPr="00D754DB">
        <w:t>may result in the</w:t>
      </w:r>
      <w:r w:rsidR="00DA54AD" w:rsidRPr="00D754DB">
        <w:t xml:space="preserve"> regulator </w:t>
      </w:r>
      <w:r w:rsidR="004023F7" w:rsidRPr="00D754DB">
        <w:t xml:space="preserve">prohibiting insurers from using </w:t>
      </w:r>
      <w:r w:rsidR="00DA54AD" w:rsidRPr="00D754DB">
        <w:t xml:space="preserve">the data </w:t>
      </w:r>
      <w:r w:rsidR="00706E29" w:rsidRPr="00D754DB">
        <w:t>and/</w:t>
      </w:r>
      <w:r w:rsidR="00DA54AD" w:rsidRPr="00D754DB">
        <w:t>o</w:t>
      </w:r>
      <w:r w:rsidR="004023F7" w:rsidRPr="00D754DB">
        <w:t>r</w:t>
      </w:r>
      <w:r w:rsidR="00DA54AD" w:rsidRPr="00D754DB">
        <w:t xml:space="preserve"> </w:t>
      </w:r>
      <w:r w:rsidRPr="00D754DB">
        <w:t>model</w:t>
      </w:r>
      <w:r w:rsidR="00706E29" w:rsidRPr="00D754DB">
        <w:t xml:space="preserve"> for pricing or underwriting any property and casualty insurance product</w:t>
      </w:r>
      <w:r w:rsidRPr="00D754DB">
        <w:t xml:space="preserve"> </w:t>
      </w:r>
      <w:r w:rsidR="00706E29" w:rsidRPr="00D754DB">
        <w:t xml:space="preserve">offered </w:t>
      </w:r>
      <w:r w:rsidRPr="00D754DB">
        <w:t>in the state.</w:t>
      </w:r>
    </w:p>
    <w:p w14:paraId="2DCB348D" w14:textId="77777777" w:rsidR="00BD301C" w:rsidRPr="00D754DB" w:rsidRDefault="00BD301C" w:rsidP="00BD301C">
      <w:pPr>
        <w:pStyle w:val="ListParagraph"/>
        <w:ind w:left="1440"/>
        <w:jc w:val="both"/>
      </w:pPr>
    </w:p>
    <w:p w14:paraId="41E30BDE" w14:textId="7EE95EE3" w:rsidR="00BD301C" w:rsidRPr="00D754DB" w:rsidRDefault="004023F7" w:rsidP="00F11FE7">
      <w:pPr>
        <w:pStyle w:val="ListParagraph"/>
        <w:numPr>
          <w:ilvl w:val="1"/>
          <w:numId w:val="73"/>
        </w:numPr>
        <w:jc w:val="both"/>
      </w:pPr>
      <w:r w:rsidRPr="00D754DB">
        <w:t xml:space="preserve">Some </w:t>
      </w:r>
      <w:r w:rsidR="00D05FA3" w:rsidRPr="00D754DB">
        <w:t>states</w:t>
      </w:r>
      <w:r w:rsidRPr="00D754DB">
        <w:t xml:space="preserve"> may </w:t>
      </w:r>
      <w:r w:rsidR="005A5EF2" w:rsidRPr="00D754DB">
        <w:t xml:space="preserve">not have the ability to approve a </w:t>
      </w:r>
      <w:r w:rsidR="00AC4305" w:rsidRPr="00D754DB">
        <w:t xml:space="preserve">third-party data </w:t>
      </w:r>
      <w:r w:rsidR="00AC4305">
        <w:t>or</w:t>
      </w:r>
      <w:r w:rsidR="00AC4305" w:rsidRPr="00D754DB">
        <w:t xml:space="preserve"> model</w:t>
      </w:r>
      <w:r w:rsidR="00AC4305" w:rsidRPr="00D754DB" w:rsidDel="00AC4305">
        <w:t xml:space="preserve"> </w:t>
      </w:r>
      <w:r w:rsidR="005A5EF2" w:rsidRPr="00D754DB">
        <w:t>as a separate filing</w:t>
      </w:r>
      <w:r w:rsidR="00AA7A41" w:rsidRPr="00D754DB">
        <w:t xml:space="preserve"> because the state </w:t>
      </w:r>
      <w:r w:rsidRPr="00D754DB">
        <w:t>is limited to evaluating an insurer’s rates.</w:t>
      </w:r>
      <w:r w:rsidR="00A754B9" w:rsidRPr="00D754DB">
        <w:t xml:space="preserve"> In these cases, the third-party</w:t>
      </w:r>
      <w:r w:rsidRPr="00D754DB">
        <w:t xml:space="preserve"> data </w:t>
      </w:r>
      <w:r w:rsidR="00634D14" w:rsidRPr="00D754DB">
        <w:t>or</w:t>
      </w:r>
      <w:r w:rsidRPr="00D754DB">
        <w:t xml:space="preserve"> model </w:t>
      </w:r>
      <w:r w:rsidR="00A754B9" w:rsidRPr="00D754DB">
        <w:t xml:space="preserve">filing will be </w:t>
      </w:r>
      <w:r w:rsidR="007B4D03" w:rsidRPr="00D754DB">
        <w:t xml:space="preserve">evaluated </w:t>
      </w:r>
      <w:r w:rsidR="000C20EF" w:rsidRPr="00D754DB">
        <w:t xml:space="preserve">as if it is part of an </w:t>
      </w:r>
      <w:r w:rsidRPr="00D754DB">
        <w:t xml:space="preserve">insurer’s </w:t>
      </w:r>
      <w:r w:rsidR="000C20EF" w:rsidRPr="00D754DB">
        <w:t xml:space="preserve">filing </w:t>
      </w:r>
      <w:r w:rsidR="00634D14" w:rsidRPr="00D754DB">
        <w:t xml:space="preserve">with the expectation that the </w:t>
      </w:r>
      <w:r w:rsidR="00706E29" w:rsidRPr="00D754DB">
        <w:t xml:space="preserve">insurer </w:t>
      </w:r>
      <w:r w:rsidR="00BD301C" w:rsidRPr="00D754DB">
        <w:t>demonstrates</w:t>
      </w:r>
      <w:r w:rsidR="00634D14" w:rsidRPr="00D754DB">
        <w:t xml:space="preserve"> </w:t>
      </w:r>
      <w:r w:rsidR="00165DB1" w:rsidRPr="00D754DB">
        <w:t xml:space="preserve">the use of the </w:t>
      </w:r>
      <w:r w:rsidR="00634D14" w:rsidRPr="00D754DB">
        <w:t xml:space="preserve">data or </w:t>
      </w:r>
      <w:r w:rsidR="00165DB1" w:rsidRPr="00D754DB">
        <w:t>model produces actuarially sound rates</w:t>
      </w:r>
      <w:r w:rsidR="00634D14" w:rsidRPr="00D754DB">
        <w:t>.</w:t>
      </w:r>
    </w:p>
    <w:p w14:paraId="591C3F01" w14:textId="77777777" w:rsidR="00BD301C" w:rsidRPr="00D754DB" w:rsidRDefault="00BD301C" w:rsidP="00BD301C">
      <w:pPr>
        <w:pStyle w:val="ListParagraph"/>
        <w:ind w:left="1440"/>
        <w:jc w:val="both"/>
      </w:pPr>
    </w:p>
    <w:p w14:paraId="40FBA6BE" w14:textId="7D1624AD" w:rsidR="00F11FE7" w:rsidRPr="00D754DB" w:rsidRDefault="00C55473" w:rsidP="00F11FE7">
      <w:pPr>
        <w:pStyle w:val="ListParagraph"/>
        <w:numPr>
          <w:ilvl w:val="1"/>
          <w:numId w:val="73"/>
        </w:numPr>
        <w:jc w:val="both"/>
      </w:pPr>
      <w:r w:rsidRPr="00D754DB">
        <w:t>To access the registry and to facilitate third-party data and model vendors’ submission of requested data and/or models, states are encouraged to commit to providing the same confide</w:t>
      </w:r>
      <w:r w:rsidR="00F11FE7" w:rsidRPr="00D754DB">
        <w:t xml:space="preserve">ntiality and </w:t>
      </w:r>
      <w:r w:rsidRPr="00D754DB">
        <w:t>i</w:t>
      </w:r>
      <w:r w:rsidR="00F11FE7" w:rsidRPr="00D754DB">
        <w:t xml:space="preserve">ntellectual </w:t>
      </w:r>
      <w:r w:rsidRPr="00D754DB">
        <w:t>p</w:t>
      </w:r>
      <w:r w:rsidR="00F11FE7" w:rsidRPr="00D754DB">
        <w:t xml:space="preserve">roperty </w:t>
      </w:r>
      <w:r w:rsidRPr="00D754DB">
        <w:t>p</w:t>
      </w:r>
      <w:r w:rsidR="00F11FE7" w:rsidRPr="00D754DB">
        <w:t>rotections</w:t>
      </w:r>
      <w:r w:rsidRPr="00D754DB">
        <w:t xml:space="preserve"> to </w:t>
      </w:r>
      <w:r w:rsidR="003F0767" w:rsidRPr="00D754DB">
        <w:t>third-party data and model</w:t>
      </w:r>
      <w:r w:rsidR="003F0767" w:rsidRPr="00D754DB" w:rsidDel="003F0767">
        <w:t xml:space="preserve"> </w:t>
      </w:r>
      <w:r w:rsidR="00F11FE7" w:rsidRPr="00D754DB">
        <w:t>filings</w:t>
      </w:r>
      <w:r w:rsidRPr="00D754DB">
        <w:t xml:space="preserve"> as are af</w:t>
      </w:r>
      <w:r w:rsidR="00F11FE7" w:rsidRPr="00D754DB">
        <w:t>forded to insurers for confidential, proprietary, and trade-secret information under state laws.</w:t>
      </w:r>
    </w:p>
    <w:p w14:paraId="083663A7" w14:textId="3AAA1C69" w:rsidR="00376F7A" w:rsidRPr="00D754DB" w:rsidRDefault="005A5EF2" w:rsidP="00623D7E">
      <w:pPr>
        <w:pStyle w:val="ListParagraph"/>
        <w:ind w:left="1440"/>
        <w:jc w:val="both"/>
      </w:pPr>
      <w:r w:rsidRPr="00D754DB">
        <w:t xml:space="preserve">  </w:t>
      </w:r>
    </w:p>
    <w:p w14:paraId="5D48316C" w14:textId="5073566D" w:rsidR="008910DC" w:rsidRPr="00D754DB" w:rsidRDefault="00376F7A" w:rsidP="00F43527">
      <w:pPr>
        <w:pStyle w:val="ListParagraph"/>
        <w:numPr>
          <w:ilvl w:val="0"/>
          <w:numId w:val="73"/>
        </w:numPr>
        <w:jc w:val="both"/>
      </w:pPr>
      <w:r w:rsidRPr="00D754DB">
        <w:rPr>
          <w:b/>
          <w:bCs/>
          <w:u w:val="single"/>
        </w:rPr>
        <w:t>Annual Attest</w:t>
      </w:r>
      <w:r w:rsidR="00BC188F" w:rsidRPr="00D754DB">
        <w:rPr>
          <w:b/>
          <w:bCs/>
          <w:u w:val="single"/>
        </w:rPr>
        <w:t>at</w:t>
      </w:r>
      <w:r w:rsidRPr="00D754DB">
        <w:rPr>
          <w:b/>
          <w:bCs/>
          <w:u w:val="single"/>
        </w:rPr>
        <w:t>ion</w:t>
      </w:r>
      <w:r w:rsidR="00C55473" w:rsidRPr="00D754DB">
        <w:rPr>
          <w:b/>
          <w:bCs/>
          <w:u w:val="single"/>
        </w:rPr>
        <w:t>:</w:t>
      </w:r>
      <w:r w:rsidR="00C55473" w:rsidRPr="00D754DB">
        <w:t xml:space="preserve"> Through</w:t>
      </w:r>
      <w:r w:rsidR="00666B7A" w:rsidRPr="00D754DB">
        <w:t xml:space="preserve"> the </w:t>
      </w:r>
      <w:r w:rsidR="00C55473" w:rsidRPr="00D754DB">
        <w:t>shared multi-state registry</w:t>
      </w:r>
      <w:r w:rsidR="00666B7A" w:rsidRPr="00D754DB">
        <w:t xml:space="preserve">, </w:t>
      </w:r>
      <w:r w:rsidR="00F43527" w:rsidRPr="00D754DB">
        <w:t>vendors must annually update governance documentation, contact information, and any other required documentation.</w:t>
      </w:r>
      <w:r w:rsidR="000F5C15" w:rsidRPr="00D754DB">
        <w:t xml:space="preserve"> A</w:t>
      </w:r>
      <w:r w:rsidRPr="00D754DB">
        <w:t xml:space="preserve"> senior </w:t>
      </w:r>
      <w:r w:rsidR="004173F5">
        <w:t xml:space="preserve">leader with relevant technical expertise and vested with formal organizational authority to approve data and model governance </w:t>
      </w:r>
      <w:r w:rsidRPr="00D754DB">
        <w:t>must attest that</w:t>
      </w:r>
      <w:r w:rsidR="00BC188F" w:rsidRPr="00D754DB">
        <w:t>:</w:t>
      </w:r>
    </w:p>
    <w:p w14:paraId="304D0A41" w14:textId="77777777" w:rsidR="00BD301C" w:rsidRPr="00D754DB" w:rsidRDefault="00BD301C" w:rsidP="00BD301C">
      <w:pPr>
        <w:pStyle w:val="ListParagraph"/>
        <w:jc w:val="both"/>
      </w:pPr>
    </w:p>
    <w:p w14:paraId="7E3DA057" w14:textId="0EECD8C3" w:rsidR="00BC188F" w:rsidRPr="00D754DB" w:rsidRDefault="00AB2BEC" w:rsidP="008910DC">
      <w:pPr>
        <w:pStyle w:val="ListParagraph"/>
        <w:numPr>
          <w:ilvl w:val="1"/>
          <w:numId w:val="73"/>
        </w:numPr>
        <w:jc w:val="both"/>
      </w:pPr>
      <w:r w:rsidRPr="00D754DB">
        <w:t>T</w:t>
      </w:r>
      <w:r w:rsidR="00376F7A" w:rsidRPr="00D754DB">
        <w:t xml:space="preserve">he governance program is </w:t>
      </w:r>
      <w:r w:rsidR="00C55473" w:rsidRPr="00D754DB">
        <w:t xml:space="preserve">implemented and effective for the </w:t>
      </w:r>
      <w:r w:rsidR="00230937" w:rsidRPr="00D754DB">
        <w:t xml:space="preserve">data and </w:t>
      </w:r>
      <w:r w:rsidR="00376F7A" w:rsidRPr="00D754DB">
        <w:t>models</w:t>
      </w:r>
      <w:r w:rsidR="00230937" w:rsidRPr="00D754DB">
        <w:t xml:space="preserve"> used by </w:t>
      </w:r>
      <w:r w:rsidR="00634D14" w:rsidRPr="00D754DB">
        <w:t>insurers for</w:t>
      </w:r>
      <w:r w:rsidR="00C55473" w:rsidRPr="00D754DB">
        <w:t xml:space="preserve"> </w:t>
      </w:r>
      <w:r w:rsidR="00634D14" w:rsidRPr="00D754DB">
        <w:t>pricing and underwriting</w:t>
      </w:r>
      <w:r w:rsidR="00C55473" w:rsidRPr="00D754DB">
        <w:t xml:space="preserve"> property and casualty products</w:t>
      </w:r>
      <w:r w:rsidRPr="00D754DB">
        <w:t>.</w:t>
      </w:r>
    </w:p>
    <w:p w14:paraId="0B51DA38" w14:textId="77777777" w:rsidR="00BD301C" w:rsidRPr="00D754DB" w:rsidRDefault="00BD301C" w:rsidP="00BD301C">
      <w:pPr>
        <w:pStyle w:val="ListParagraph"/>
        <w:ind w:left="1440"/>
        <w:jc w:val="both"/>
      </w:pPr>
    </w:p>
    <w:p w14:paraId="3F3E16FA" w14:textId="77777777" w:rsidR="00BD301C" w:rsidRPr="00D754DB" w:rsidRDefault="00AB2BEC" w:rsidP="00BD301C">
      <w:pPr>
        <w:pStyle w:val="ListParagraph"/>
        <w:numPr>
          <w:ilvl w:val="1"/>
          <w:numId w:val="73"/>
        </w:numPr>
        <w:jc w:val="both"/>
      </w:pPr>
      <w:r w:rsidRPr="00D754DB">
        <w:lastRenderedPageBreak/>
        <w:t xml:space="preserve">The data and models </w:t>
      </w:r>
      <w:r w:rsidR="00634D14" w:rsidRPr="00D754DB">
        <w:t xml:space="preserve">third-party vendors provide </w:t>
      </w:r>
      <w:r w:rsidRPr="00D754DB">
        <w:t>to</w:t>
      </w:r>
      <w:r w:rsidR="0019103B" w:rsidRPr="00D754DB">
        <w:t xml:space="preserve"> insurers</w:t>
      </w:r>
      <w:r w:rsidRPr="00D754DB">
        <w:t xml:space="preserve"> comply </w:t>
      </w:r>
      <w:r w:rsidR="00376F7A" w:rsidRPr="00D754DB">
        <w:t xml:space="preserve">with applicable insurance laws and regulations in </w:t>
      </w:r>
      <w:r w:rsidR="00D649F4" w:rsidRPr="00D754DB">
        <w:t>each state</w:t>
      </w:r>
      <w:r w:rsidR="00604BD6" w:rsidRPr="00D754DB">
        <w:t xml:space="preserve"> </w:t>
      </w:r>
      <w:r w:rsidR="0019103B" w:rsidRPr="00D754DB">
        <w:t>in which insurers use</w:t>
      </w:r>
      <w:r w:rsidR="00236BA7" w:rsidRPr="00D754DB">
        <w:t xml:space="preserve"> the data and model</w:t>
      </w:r>
      <w:r w:rsidR="00604BD6" w:rsidRPr="00D754DB">
        <w:t>s for pricing and underwriting</w:t>
      </w:r>
      <w:r w:rsidR="00C55473" w:rsidRPr="00D754DB">
        <w:t xml:space="preserve"> property and casualty products</w:t>
      </w:r>
      <w:r w:rsidR="00604BD6" w:rsidRPr="00D754DB">
        <w:t>.</w:t>
      </w:r>
    </w:p>
    <w:p w14:paraId="75DED15D" w14:textId="77777777" w:rsidR="00BD301C" w:rsidRPr="00D754DB" w:rsidRDefault="00BD301C" w:rsidP="00BD301C">
      <w:pPr>
        <w:pStyle w:val="ListParagraph"/>
        <w:ind w:left="1440"/>
        <w:jc w:val="both"/>
      </w:pPr>
    </w:p>
    <w:p w14:paraId="5612B377" w14:textId="58FC62C0" w:rsidR="00BD301C" w:rsidRPr="00D754DB" w:rsidRDefault="00BD301C" w:rsidP="00735232">
      <w:pPr>
        <w:pStyle w:val="ListParagraph"/>
        <w:numPr>
          <w:ilvl w:val="0"/>
          <w:numId w:val="73"/>
        </w:numPr>
        <w:jc w:val="both"/>
        <w:rPr>
          <w:b/>
          <w:bCs/>
        </w:rPr>
      </w:pPr>
      <w:r w:rsidRPr="00D754DB">
        <w:rPr>
          <w:b/>
          <w:bCs/>
          <w:u w:val="single"/>
        </w:rPr>
        <w:t>Material Changes Notifications:</w:t>
      </w:r>
      <w:r w:rsidRPr="00735232">
        <w:rPr>
          <w:b/>
          <w:bCs/>
        </w:rPr>
        <w:t xml:space="preserve"> </w:t>
      </w:r>
      <w:r w:rsidRPr="00D754DB">
        <w:t xml:space="preserve">Vendors must </w:t>
      </w:r>
      <w:r w:rsidR="00E35850">
        <w:t>submit to the registry</w:t>
      </w:r>
      <w:r w:rsidRPr="00D754DB">
        <w:t xml:space="preserve"> material modifications to a dataset or model, including decommissioning of a model. Regulators may request documentation if the changes indicate a significant alteration of model behavior, risk, or consumer impact.</w:t>
      </w:r>
    </w:p>
    <w:p w14:paraId="51E540BA" w14:textId="77777777" w:rsidR="00735232" w:rsidRDefault="00735232" w:rsidP="00EB39F6">
      <w:pPr>
        <w:rPr>
          <w:b/>
          <w:bCs/>
        </w:rPr>
      </w:pPr>
    </w:p>
    <w:p w14:paraId="4B444E6F" w14:textId="2D05C863" w:rsidR="00EB39F6" w:rsidRPr="00D754DB" w:rsidRDefault="00EB39F6" w:rsidP="00EB39F6">
      <w:r w:rsidRPr="00D754DB">
        <w:rPr>
          <w:b/>
          <w:bCs/>
        </w:rPr>
        <w:t>I</w:t>
      </w:r>
      <w:r w:rsidR="00735232">
        <w:rPr>
          <w:b/>
          <w:bCs/>
        </w:rPr>
        <w:t>NSURER RESPONSIBILITIES</w:t>
      </w:r>
    </w:p>
    <w:p w14:paraId="1681D6E3" w14:textId="41468E15" w:rsidR="00EB39F6" w:rsidRPr="00D754DB" w:rsidRDefault="00EB39F6" w:rsidP="00EB39F6">
      <w:pPr>
        <w:jc w:val="both"/>
      </w:pPr>
      <w:r w:rsidRPr="00D754DB">
        <w:t xml:space="preserve">This framework maintains the longstanding principle that insurers are responsible for their own compliance obligations. Insurers must validate model suitability for their book(s) of business, ensure contractual access to necessary information, meet all </w:t>
      </w:r>
      <w:r w:rsidR="00B45092">
        <w:t>pricing</w:t>
      </w:r>
      <w:r w:rsidR="00B45092" w:rsidRPr="00D754DB">
        <w:t xml:space="preserve"> </w:t>
      </w:r>
      <w:r w:rsidRPr="00D754DB">
        <w:t xml:space="preserve">and underwriting requirements, even when using </w:t>
      </w:r>
      <w:r w:rsidR="00B45092" w:rsidRPr="00D754DB">
        <w:t>third-party data and</w:t>
      </w:r>
      <w:r w:rsidR="00B45092">
        <w:t>/or</w:t>
      </w:r>
      <w:r w:rsidR="00B45092" w:rsidRPr="00D754DB">
        <w:t xml:space="preserve"> models</w:t>
      </w:r>
      <w:r w:rsidRPr="00D754DB">
        <w:t>.</w:t>
      </w:r>
    </w:p>
    <w:p w14:paraId="0E1D7EC9" w14:textId="08002C44" w:rsidR="00EB39F6" w:rsidRPr="00D754DB" w:rsidRDefault="00EB39F6" w:rsidP="00EB39F6">
      <w:pPr>
        <w:jc w:val="both"/>
      </w:pPr>
      <w:r w:rsidRPr="00D754DB">
        <w:t xml:space="preserve">Regulatory oversight of </w:t>
      </w:r>
      <w:r w:rsidR="00251DFE">
        <w:t xml:space="preserve">third-party data and model vendors and the </w:t>
      </w:r>
      <w:r w:rsidR="0058124D" w:rsidRPr="00D754DB">
        <w:t>data and models</w:t>
      </w:r>
      <w:r w:rsidR="00251DFE">
        <w:t xml:space="preserve"> they supply to insurers</w:t>
      </w:r>
      <w:r w:rsidR="0058124D" w:rsidRPr="00D754DB" w:rsidDel="0058124D">
        <w:t xml:space="preserve"> </w:t>
      </w:r>
      <w:r w:rsidRPr="00D754DB">
        <w:rPr>
          <w:b/>
          <w:bCs/>
        </w:rPr>
        <w:t>does not reduce insurer accountability</w:t>
      </w:r>
      <w:r w:rsidRPr="00D754DB">
        <w:t>. Insurers remain responsible for the following:</w:t>
      </w:r>
    </w:p>
    <w:p w14:paraId="1C95A0F7" w14:textId="77777777" w:rsidR="00EB39F6" w:rsidRPr="00D754DB" w:rsidRDefault="00EB39F6" w:rsidP="00E6165E">
      <w:pPr>
        <w:pStyle w:val="ListParagraph"/>
        <w:numPr>
          <w:ilvl w:val="0"/>
          <w:numId w:val="74"/>
        </w:numPr>
        <w:spacing w:line="240" w:lineRule="auto"/>
      </w:pPr>
      <w:r w:rsidRPr="00D754DB">
        <w:t>Assessing model suitability for their own data and business use cases</w:t>
      </w:r>
    </w:p>
    <w:p w14:paraId="334CE332" w14:textId="77777777" w:rsidR="00EB39F6" w:rsidRPr="00D754DB" w:rsidRDefault="00EB39F6" w:rsidP="00E6165E">
      <w:pPr>
        <w:numPr>
          <w:ilvl w:val="0"/>
          <w:numId w:val="74"/>
        </w:numPr>
        <w:spacing w:line="240" w:lineRule="auto"/>
      </w:pPr>
      <w:r w:rsidRPr="00D754DB">
        <w:t>Conducting insurer-level model validation, testing, and monitoring</w:t>
      </w:r>
    </w:p>
    <w:p w14:paraId="27B4C93C" w14:textId="77777777" w:rsidR="00EB39F6" w:rsidRPr="00D754DB" w:rsidRDefault="00EB39F6" w:rsidP="00E6165E">
      <w:pPr>
        <w:numPr>
          <w:ilvl w:val="0"/>
          <w:numId w:val="74"/>
        </w:numPr>
        <w:spacing w:line="240" w:lineRule="auto"/>
      </w:pPr>
      <w:r w:rsidRPr="00D754DB">
        <w:t>Ensuring that any data provided by a third-party data vendor is sufficiently complete, accurate, and appropriate for its intended use</w:t>
      </w:r>
    </w:p>
    <w:p w14:paraId="5D98D4FE" w14:textId="486BCD73" w:rsidR="00EB39F6" w:rsidRPr="00D754DB" w:rsidRDefault="00EB39F6" w:rsidP="00E6165E">
      <w:pPr>
        <w:numPr>
          <w:ilvl w:val="0"/>
          <w:numId w:val="74"/>
        </w:numPr>
        <w:spacing w:line="240" w:lineRule="auto"/>
      </w:pPr>
      <w:r w:rsidRPr="00D754DB">
        <w:t xml:space="preserve">Ensuring compliance with </w:t>
      </w:r>
      <w:r w:rsidR="00B277D1">
        <w:t xml:space="preserve">laws pertaining to </w:t>
      </w:r>
      <w:r w:rsidR="0058124D">
        <w:t>pricing</w:t>
      </w:r>
      <w:r w:rsidRPr="00D754DB">
        <w:t>, underwriting, unfair trade practices, and unfair discrimination</w:t>
      </w:r>
    </w:p>
    <w:p w14:paraId="4B2FF814" w14:textId="77777777" w:rsidR="00EB39F6" w:rsidRPr="00D754DB" w:rsidRDefault="00EB39F6" w:rsidP="00E6165E">
      <w:pPr>
        <w:pStyle w:val="ListParagraph"/>
        <w:numPr>
          <w:ilvl w:val="0"/>
          <w:numId w:val="74"/>
        </w:numPr>
        <w:spacing w:line="240" w:lineRule="auto"/>
      </w:pPr>
      <w:r w:rsidRPr="00D754DB">
        <w:t>Maintaining contacts permitting insurer and regulator access to necessary model or data information</w:t>
      </w:r>
    </w:p>
    <w:p w14:paraId="3531A597" w14:textId="740EF126" w:rsidR="0002456F" w:rsidRPr="00D754DB" w:rsidRDefault="0002456F"/>
    <w:sectPr w:rsidR="0002456F" w:rsidRPr="00D754D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7B13" w14:textId="77777777" w:rsidR="007F46ED" w:rsidRDefault="007F46ED" w:rsidP="00A51CC4">
      <w:pPr>
        <w:spacing w:after="0" w:line="240" w:lineRule="auto"/>
      </w:pPr>
      <w:r>
        <w:separator/>
      </w:r>
    </w:p>
  </w:endnote>
  <w:endnote w:type="continuationSeparator" w:id="0">
    <w:p w14:paraId="0DFB4B94" w14:textId="77777777" w:rsidR="007F46ED" w:rsidRDefault="007F46ED" w:rsidP="00A5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7999"/>
      <w:docPartObj>
        <w:docPartGallery w:val="Page Numbers (Bottom of Page)"/>
        <w:docPartUnique/>
      </w:docPartObj>
    </w:sdtPr>
    <w:sdtEndPr>
      <w:rPr>
        <w:noProof/>
      </w:rPr>
    </w:sdtEndPr>
    <w:sdtContent>
      <w:p w14:paraId="69331844" w14:textId="7FD3F8D7" w:rsidR="00A51CC4" w:rsidRDefault="00A51C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C10B33" w14:textId="77777777" w:rsidR="00A51CC4" w:rsidRDefault="00A51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5F74" w14:textId="77777777" w:rsidR="007F46ED" w:rsidRDefault="007F46ED" w:rsidP="00A51CC4">
      <w:pPr>
        <w:spacing w:after="0" w:line="240" w:lineRule="auto"/>
      </w:pPr>
      <w:r>
        <w:separator/>
      </w:r>
    </w:p>
  </w:footnote>
  <w:footnote w:type="continuationSeparator" w:id="0">
    <w:p w14:paraId="58ADACD6" w14:textId="77777777" w:rsidR="007F46ED" w:rsidRDefault="007F46ED" w:rsidP="00A5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F6C2" w14:textId="5EEEC772" w:rsidR="00735232" w:rsidRDefault="00735232" w:rsidP="00434004">
    <w:pPr>
      <w:pStyle w:val="BodyText"/>
      <w:spacing w:line="240" w:lineRule="auto"/>
    </w:pPr>
    <w:r>
      <w:rPr>
        <w:noProof/>
      </w:rPr>
      <w:drawing>
        <wp:inline distT="0" distB="0" distL="0" distR="0" wp14:anchorId="09664618" wp14:editId="339BCCDA">
          <wp:extent cx="3124200" cy="371475"/>
          <wp:effectExtent l="0" t="0" r="0" b="0"/>
          <wp:docPr id="1252158080" name="Picture 125215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371475"/>
                  </a:xfrm>
                  <a:prstGeom prst="rect">
                    <a:avLst/>
                  </a:prstGeom>
                </pic:spPr>
              </pic:pic>
            </a:graphicData>
          </a:graphic>
        </wp:inline>
      </w:drawing>
    </w:r>
  </w:p>
  <w:p w14:paraId="6EEA3115" w14:textId="77777777" w:rsidR="00735232" w:rsidRDefault="00735232" w:rsidP="00434004">
    <w:pPr>
      <w:pStyle w:val="BodyText"/>
      <w:spacing w:line="240" w:lineRule="auto"/>
    </w:pPr>
  </w:p>
  <w:p w14:paraId="18D8ABE0" w14:textId="514F725A" w:rsidR="00717720" w:rsidRDefault="00735232" w:rsidP="00434004">
    <w:pPr>
      <w:pStyle w:val="BodyText"/>
      <w:spacing w:line="240" w:lineRule="auto"/>
      <w:rPr>
        <w:sz w:val="20"/>
      </w:rPr>
    </w:pPr>
    <w:r>
      <w:t>7</w:t>
    </w:r>
    <w:r w:rsidR="00AC11F6">
      <w:t>/</w:t>
    </w:r>
    <w:r>
      <w:t>8</w:t>
    </w:r>
    <w:r w:rsidR="00AC11F6">
      <w:t>/2026</w:t>
    </w:r>
    <w:r w:rsidR="00717720">
      <w:t xml:space="preserve">                                                                                            </w:t>
    </w:r>
  </w:p>
  <w:p w14:paraId="3DCE7097" w14:textId="327C648A" w:rsidR="003076FD" w:rsidRPr="003076FD" w:rsidRDefault="003076FD" w:rsidP="003076FD">
    <w:pPr>
      <w:pStyle w:val="Header"/>
    </w:pPr>
  </w:p>
  <w:p w14:paraId="3AFA5C7E" w14:textId="4BE3A512" w:rsidR="00CC394E" w:rsidRDefault="00706BE2" w:rsidP="00706BE2">
    <w:pPr>
      <w:pStyle w:val="Header"/>
      <w:jc w:val="center"/>
      <w:rPr>
        <w:b/>
        <w:bCs/>
      </w:rPr>
    </w:pPr>
    <w:r>
      <w:rPr>
        <w:b/>
        <w:bCs/>
      </w:rPr>
      <w:t xml:space="preserve">Regulatory Framework for </w:t>
    </w:r>
    <w:r w:rsidR="003076FD" w:rsidRPr="003076FD">
      <w:rPr>
        <w:b/>
        <w:bCs/>
      </w:rPr>
      <w:t>Third-Party Data and Model Vendors</w:t>
    </w:r>
  </w:p>
  <w:p w14:paraId="4BE8B7E1" w14:textId="525EA186" w:rsidR="00CC394E" w:rsidRDefault="00C70BD0" w:rsidP="00706BE2">
    <w:pPr>
      <w:pStyle w:val="Header"/>
      <w:jc w:val="center"/>
      <w:rPr>
        <w:b/>
        <w:bCs/>
      </w:rPr>
    </w:pPr>
    <w:r>
      <w:rPr>
        <w:b/>
        <w:bCs/>
      </w:rPr>
      <w:t xml:space="preserve">Property and Casualty </w:t>
    </w:r>
    <w:r w:rsidR="00CC394E">
      <w:rPr>
        <w:b/>
        <w:bCs/>
      </w:rPr>
      <w:t>Pricing and Underwriting Data and Models</w:t>
    </w:r>
  </w:p>
  <w:p w14:paraId="67383E73" w14:textId="77777777" w:rsidR="003076FD" w:rsidRDefault="00307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588"/>
    <w:multiLevelType w:val="multilevel"/>
    <w:tmpl w:val="092AD0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166F4"/>
    <w:multiLevelType w:val="hybridMultilevel"/>
    <w:tmpl w:val="C0A4E09E"/>
    <w:lvl w:ilvl="0" w:tplc="33663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2383B95"/>
    <w:multiLevelType w:val="multilevel"/>
    <w:tmpl w:val="FCD042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762178"/>
    <w:multiLevelType w:val="multilevel"/>
    <w:tmpl w:val="7EB092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4364CFE"/>
    <w:multiLevelType w:val="multilevel"/>
    <w:tmpl w:val="C540A44E"/>
    <w:lvl w:ilvl="0">
      <w:start w:val="3"/>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6397576"/>
    <w:multiLevelType w:val="multilevel"/>
    <w:tmpl w:val="E71E019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06BE63BA"/>
    <w:multiLevelType w:val="multilevel"/>
    <w:tmpl w:val="600C07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8B4091"/>
    <w:multiLevelType w:val="hybridMultilevel"/>
    <w:tmpl w:val="C91E34BE"/>
    <w:lvl w:ilvl="0" w:tplc="777AE9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706BA"/>
    <w:multiLevelType w:val="multilevel"/>
    <w:tmpl w:val="721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B37756"/>
    <w:multiLevelType w:val="multilevel"/>
    <w:tmpl w:val="F444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242"/>
    <w:multiLevelType w:val="multilevel"/>
    <w:tmpl w:val="B85AF584"/>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CF417ED"/>
    <w:multiLevelType w:val="multilevel"/>
    <w:tmpl w:val="3796E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C71667"/>
    <w:multiLevelType w:val="hybridMultilevel"/>
    <w:tmpl w:val="67B289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3B3714F"/>
    <w:multiLevelType w:val="multilevel"/>
    <w:tmpl w:val="62E209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45C34E1"/>
    <w:multiLevelType w:val="multilevel"/>
    <w:tmpl w:val="B87E5E24"/>
    <w:lvl w:ilvl="0">
      <w:start w:val="3"/>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5" w15:restartNumberingAfterBreak="0">
    <w:nsid w:val="15574D86"/>
    <w:multiLevelType w:val="multilevel"/>
    <w:tmpl w:val="B5B0C6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65B49CC"/>
    <w:multiLevelType w:val="multilevel"/>
    <w:tmpl w:val="A8508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F31D00"/>
    <w:multiLevelType w:val="multilevel"/>
    <w:tmpl w:val="855CA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1A7C24"/>
    <w:multiLevelType w:val="multilevel"/>
    <w:tmpl w:val="A6B4F1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567597"/>
    <w:multiLevelType w:val="multilevel"/>
    <w:tmpl w:val="16E6E270"/>
    <w:lvl w:ilvl="0">
      <w:start w:val="5"/>
      <w:numFmt w:val="upperRoman"/>
      <w:lvlText w:val="%1."/>
      <w:lvlJc w:val="right"/>
      <w:pPr>
        <w:tabs>
          <w:tab w:val="num" w:pos="360"/>
        </w:tabs>
        <w:ind w:left="360" w:hanging="360"/>
      </w:pPr>
      <w:rPr>
        <w:b/>
        <w:bCs/>
      </w:r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20" w15:restartNumberingAfterBreak="0">
    <w:nsid w:val="183F520F"/>
    <w:multiLevelType w:val="hybridMultilevel"/>
    <w:tmpl w:val="872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7A2058"/>
    <w:multiLevelType w:val="multilevel"/>
    <w:tmpl w:val="93F2160E"/>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DB4347C"/>
    <w:multiLevelType w:val="multilevel"/>
    <w:tmpl w:val="65A61B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2F1051"/>
    <w:multiLevelType w:val="multilevel"/>
    <w:tmpl w:val="F67EF0F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6C3307"/>
    <w:multiLevelType w:val="multilevel"/>
    <w:tmpl w:val="8ED6322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D50EA3"/>
    <w:multiLevelType w:val="multilevel"/>
    <w:tmpl w:val="4C3AC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5023E8"/>
    <w:multiLevelType w:val="multilevel"/>
    <w:tmpl w:val="57A4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7172D2"/>
    <w:multiLevelType w:val="multilevel"/>
    <w:tmpl w:val="643A82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6720B56"/>
    <w:multiLevelType w:val="multilevel"/>
    <w:tmpl w:val="457C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924884"/>
    <w:multiLevelType w:val="hybridMultilevel"/>
    <w:tmpl w:val="ADE839D8"/>
    <w:lvl w:ilvl="0" w:tplc="FFFFFFFF">
      <w:start w:val="1"/>
      <w:numFmt w:val="decimal"/>
      <w:lvlText w:val="%1)"/>
      <w:lvlJc w:val="left"/>
      <w:pPr>
        <w:ind w:left="1800" w:hanging="360"/>
      </w:pPr>
    </w:lvl>
    <w:lvl w:ilvl="1" w:tplc="04090011">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28904AB1"/>
    <w:multiLevelType w:val="multilevel"/>
    <w:tmpl w:val="796EFFDA"/>
    <w:lvl w:ilvl="0">
      <w:start w:val="1"/>
      <w:numFmt w:val="lowerLetter"/>
      <w:lvlText w:val="%1."/>
      <w:lvlJc w:val="left"/>
      <w:pPr>
        <w:tabs>
          <w:tab w:val="num" w:pos="1080"/>
        </w:tabs>
        <w:ind w:left="1080" w:hanging="360"/>
      </w:pPr>
    </w:lvl>
    <w:lvl w:ilvl="1">
      <w:start w:val="1"/>
      <w:numFmt w:val="lowerRoman"/>
      <w:lvlText w:val="%2."/>
      <w:lvlJc w:val="left"/>
      <w:pPr>
        <w:ind w:left="2160" w:hanging="720"/>
      </w:pPr>
      <w:rPr>
        <w:rFonts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2CB71E78"/>
    <w:multiLevelType w:val="multilevel"/>
    <w:tmpl w:val="117AB8A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2E49568B"/>
    <w:multiLevelType w:val="multilevel"/>
    <w:tmpl w:val="D34EF0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E924F89"/>
    <w:multiLevelType w:val="multilevel"/>
    <w:tmpl w:val="DB5CDA3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 w15:restartNumberingAfterBreak="0">
    <w:nsid w:val="2F4118DB"/>
    <w:multiLevelType w:val="multilevel"/>
    <w:tmpl w:val="DB4A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5E6506"/>
    <w:multiLevelType w:val="multilevel"/>
    <w:tmpl w:val="CE14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712AC5"/>
    <w:multiLevelType w:val="multilevel"/>
    <w:tmpl w:val="E33891C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37" w15:restartNumberingAfterBreak="0">
    <w:nsid w:val="33FD24BF"/>
    <w:multiLevelType w:val="multilevel"/>
    <w:tmpl w:val="C0F0727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8" w15:restartNumberingAfterBreak="0">
    <w:nsid w:val="3A8F3A10"/>
    <w:multiLevelType w:val="multilevel"/>
    <w:tmpl w:val="73F4CFF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15:restartNumberingAfterBreak="0">
    <w:nsid w:val="3B4B5E00"/>
    <w:multiLevelType w:val="multilevel"/>
    <w:tmpl w:val="49FCCC9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362CC3"/>
    <w:multiLevelType w:val="multilevel"/>
    <w:tmpl w:val="F416735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44FB2427"/>
    <w:multiLevelType w:val="multilevel"/>
    <w:tmpl w:val="A2D68C5E"/>
    <w:lvl w:ilvl="0">
      <w:start w:val="9"/>
      <w:numFmt w:val="upperRoman"/>
      <w:lvlText w:val="%1."/>
      <w:lvlJc w:val="right"/>
      <w:pPr>
        <w:tabs>
          <w:tab w:val="num" w:pos="360"/>
        </w:tabs>
        <w:ind w:left="360" w:hanging="360"/>
      </w:pPr>
      <w:rPr>
        <w:b/>
        <w:bCs/>
      </w:r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42" w15:restartNumberingAfterBreak="0">
    <w:nsid w:val="45DF43E9"/>
    <w:multiLevelType w:val="multilevel"/>
    <w:tmpl w:val="285E1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E05C33"/>
    <w:multiLevelType w:val="multilevel"/>
    <w:tmpl w:val="AF7A4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72E6E4B"/>
    <w:multiLevelType w:val="multilevel"/>
    <w:tmpl w:val="34C01AE8"/>
    <w:lvl w:ilvl="0">
      <w:start w:val="8"/>
      <w:numFmt w:val="upperRoman"/>
      <w:lvlText w:val="%1."/>
      <w:lvlJc w:val="right"/>
      <w:pPr>
        <w:tabs>
          <w:tab w:val="num" w:pos="360"/>
        </w:tabs>
        <w:ind w:left="360" w:hanging="360"/>
      </w:pPr>
      <w:rPr>
        <w:b/>
        <w:bCs/>
      </w:rPr>
    </w:lvl>
    <w:lvl w:ilvl="1">
      <w:start w:val="1"/>
      <w:numFmt w:val="upperLetter"/>
      <w:lvlText w:val="%2."/>
      <w:lvlJc w:val="left"/>
      <w:pPr>
        <w:ind w:left="1080" w:hanging="360"/>
      </w:pPr>
      <w:rPr>
        <w:rFonts w:hint="default"/>
      </w:r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45" w15:restartNumberingAfterBreak="0">
    <w:nsid w:val="48F222AB"/>
    <w:multiLevelType w:val="multilevel"/>
    <w:tmpl w:val="441EAD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9C14837"/>
    <w:multiLevelType w:val="multilevel"/>
    <w:tmpl w:val="37F8722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7" w15:restartNumberingAfterBreak="0">
    <w:nsid w:val="49DA7ED6"/>
    <w:multiLevelType w:val="multilevel"/>
    <w:tmpl w:val="5C2C7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BBD4C86"/>
    <w:multiLevelType w:val="multilevel"/>
    <w:tmpl w:val="D7FA4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9" w15:restartNumberingAfterBreak="0">
    <w:nsid w:val="4E1E2740"/>
    <w:multiLevelType w:val="multilevel"/>
    <w:tmpl w:val="F2460C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EFB4413"/>
    <w:multiLevelType w:val="multilevel"/>
    <w:tmpl w:val="A16C499E"/>
    <w:lvl w:ilvl="0">
      <w:start w:val="2"/>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1" w15:restartNumberingAfterBreak="0">
    <w:nsid w:val="51E341F1"/>
    <w:multiLevelType w:val="multilevel"/>
    <w:tmpl w:val="DE0E3A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4C66639"/>
    <w:multiLevelType w:val="multilevel"/>
    <w:tmpl w:val="B8EE27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805FF4"/>
    <w:multiLevelType w:val="multilevel"/>
    <w:tmpl w:val="829623DC"/>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570B01E5"/>
    <w:multiLevelType w:val="multilevel"/>
    <w:tmpl w:val="A36E3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7680C14"/>
    <w:multiLevelType w:val="multilevel"/>
    <w:tmpl w:val="111EFCA0"/>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6" w15:restartNumberingAfterBreak="0">
    <w:nsid w:val="5BE356A6"/>
    <w:multiLevelType w:val="multilevel"/>
    <w:tmpl w:val="8E62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903EBD"/>
    <w:multiLevelType w:val="multilevel"/>
    <w:tmpl w:val="24A8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CF857D6"/>
    <w:multiLevelType w:val="hybridMultilevel"/>
    <w:tmpl w:val="5506561C"/>
    <w:lvl w:ilvl="0" w:tplc="5ED0E2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15:restartNumberingAfterBreak="0">
    <w:nsid w:val="5DDD3709"/>
    <w:multiLevelType w:val="multilevel"/>
    <w:tmpl w:val="E5209D06"/>
    <w:lvl w:ilvl="0">
      <w:start w:val="1"/>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0" w15:restartNumberingAfterBreak="0">
    <w:nsid w:val="5DEA2214"/>
    <w:multiLevelType w:val="multilevel"/>
    <w:tmpl w:val="1D3251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645C72"/>
    <w:multiLevelType w:val="multilevel"/>
    <w:tmpl w:val="6E9A6566"/>
    <w:lvl w:ilvl="0">
      <w:start w:val="2"/>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2" w15:restartNumberingAfterBreak="0">
    <w:nsid w:val="63207CC5"/>
    <w:multiLevelType w:val="multilevel"/>
    <w:tmpl w:val="ACEC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4153BF0"/>
    <w:multiLevelType w:val="multilevel"/>
    <w:tmpl w:val="26EC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74691A"/>
    <w:multiLevelType w:val="multilevel"/>
    <w:tmpl w:val="D2908638"/>
    <w:lvl w:ilvl="0">
      <w:start w:val="3"/>
      <w:numFmt w:val="upperLetter"/>
      <w:lvlText w:val="%1."/>
      <w:lvlJc w:val="left"/>
      <w:pPr>
        <w:tabs>
          <w:tab w:val="num" w:pos="360"/>
        </w:tabs>
        <w:ind w:left="360" w:hanging="360"/>
      </w:pPr>
      <w:rPr>
        <w:b/>
        <w:bCs/>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5" w15:restartNumberingAfterBreak="0">
    <w:nsid w:val="65C34741"/>
    <w:multiLevelType w:val="hybridMultilevel"/>
    <w:tmpl w:val="A77817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6A212E8"/>
    <w:multiLevelType w:val="multilevel"/>
    <w:tmpl w:val="087C00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6EC4AF8"/>
    <w:multiLevelType w:val="multilevel"/>
    <w:tmpl w:val="98B83F7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8" w15:restartNumberingAfterBreak="0">
    <w:nsid w:val="6A7138B6"/>
    <w:multiLevelType w:val="multilevel"/>
    <w:tmpl w:val="771008D6"/>
    <w:lvl w:ilvl="0">
      <w:start w:val="1"/>
      <w:numFmt w:val="upperLetter"/>
      <w:lvlText w:val="%1."/>
      <w:lvlJc w:val="left"/>
      <w:pPr>
        <w:tabs>
          <w:tab w:val="num" w:pos="900"/>
        </w:tabs>
        <w:ind w:left="900" w:hanging="360"/>
      </w:pPr>
      <w:rPr>
        <w:b/>
        <w:bCs/>
      </w:r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9" w15:restartNumberingAfterBreak="0">
    <w:nsid w:val="6E9506D7"/>
    <w:multiLevelType w:val="multilevel"/>
    <w:tmpl w:val="295E845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203313B"/>
    <w:multiLevelType w:val="hybridMultilevel"/>
    <w:tmpl w:val="A656B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783152"/>
    <w:multiLevelType w:val="multilevel"/>
    <w:tmpl w:val="81E22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6C0662"/>
    <w:multiLevelType w:val="multilevel"/>
    <w:tmpl w:val="2FECE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AE4DFA"/>
    <w:multiLevelType w:val="multilevel"/>
    <w:tmpl w:val="5C94133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688259813">
    <w:abstractNumId w:val="62"/>
  </w:num>
  <w:num w:numId="2" w16cid:durableId="1226450966">
    <w:abstractNumId w:val="35"/>
  </w:num>
  <w:num w:numId="3" w16cid:durableId="463819167">
    <w:abstractNumId w:val="8"/>
  </w:num>
  <w:num w:numId="4" w16cid:durableId="205677625">
    <w:abstractNumId w:val="10"/>
  </w:num>
  <w:num w:numId="5" w16cid:durableId="88089853">
    <w:abstractNumId w:val="31"/>
  </w:num>
  <w:num w:numId="6" w16cid:durableId="945506806">
    <w:abstractNumId w:val="26"/>
  </w:num>
  <w:num w:numId="7" w16cid:durableId="1071736228">
    <w:abstractNumId w:val="4"/>
  </w:num>
  <w:num w:numId="8" w16cid:durableId="1274090516">
    <w:abstractNumId w:val="50"/>
  </w:num>
  <w:num w:numId="9" w16cid:durableId="414742407">
    <w:abstractNumId w:val="64"/>
  </w:num>
  <w:num w:numId="10" w16cid:durableId="1377050184">
    <w:abstractNumId w:val="53"/>
  </w:num>
  <w:num w:numId="11" w16cid:durableId="958997972">
    <w:abstractNumId w:val="68"/>
  </w:num>
  <w:num w:numId="12" w16cid:durableId="304701407">
    <w:abstractNumId w:val="71"/>
  </w:num>
  <w:num w:numId="13" w16cid:durableId="995187461">
    <w:abstractNumId w:val="46"/>
  </w:num>
  <w:num w:numId="14" w16cid:durableId="539048908">
    <w:abstractNumId w:val="16"/>
  </w:num>
  <w:num w:numId="15" w16cid:durableId="1866599618">
    <w:abstractNumId w:val="38"/>
  </w:num>
  <w:num w:numId="16" w16cid:durableId="1824345896">
    <w:abstractNumId w:val="52"/>
  </w:num>
  <w:num w:numId="17" w16cid:durableId="757336234">
    <w:abstractNumId w:val="5"/>
  </w:num>
  <w:num w:numId="18" w16cid:durableId="329456231">
    <w:abstractNumId w:val="3"/>
  </w:num>
  <w:num w:numId="19" w16cid:durableId="248776085">
    <w:abstractNumId w:val="19"/>
  </w:num>
  <w:num w:numId="20" w16cid:durableId="1050230416">
    <w:abstractNumId w:val="59"/>
  </w:num>
  <w:num w:numId="21" w16cid:durableId="1939869715">
    <w:abstractNumId w:val="66"/>
  </w:num>
  <w:num w:numId="22" w16cid:durableId="9069080">
    <w:abstractNumId w:val="54"/>
  </w:num>
  <w:num w:numId="23" w16cid:durableId="1544711465">
    <w:abstractNumId w:val="6"/>
  </w:num>
  <w:num w:numId="24" w16cid:durableId="158816896">
    <w:abstractNumId w:val="18"/>
  </w:num>
  <w:num w:numId="25" w16cid:durableId="421528801">
    <w:abstractNumId w:val="32"/>
  </w:num>
  <w:num w:numId="26" w16cid:durableId="1772357322">
    <w:abstractNumId w:val="69"/>
  </w:num>
  <w:num w:numId="27" w16cid:durableId="2052028985">
    <w:abstractNumId w:val="28"/>
  </w:num>
  <w:num w:numId="28" w16cid:durableId="1815171678">
    <w:abstractNumId w:val="33"/>
  </w:num>
  <w:num w:numId="29" w16cid:durableId="1734505512">
    <w:abstractNumId w:val="24"/>
  </w:num>
  <w:num w:numId="30" w16cid:durableId="2121758707">
    <w:abstractNumId w:val="39"/>
  </w:num>
  <w:num w:numId="31" w16cid:durableId="940257238">
    <w:abstractNumId w:val="47"/>
  </w:num>
  <w:num w:numId="32" w16cid:durableId="1718318117">
    <w:abstractNumId w:val="63"/>
  </w:num>
  <w:num w:numId="33" w16cid:durableId="1305162071">
    <w:abstractNumId w:val="2"/>
  </w:num>
  <w:num w:numId="34" w16cid:durableId="109782274">
    <w:abstractNumId w:val="9"/>
  </w:num>
  <w:num w:numId="35" w16cid:durableId="1406419811">
    <w:abstractNumId w:val="73"/>
  </w:num>
  <w:num w:numId="36" w16cid:durableId="2039116226">
    <w:abstractNumId w:val="67"/>
  </w:num>
  <w:num w:numId="37" w16cid:durableId="867598022">
    <w:abstractNumId w:val="0"/>
  </w:num>
  <w:num w:numId="38" w16cid:durableId="1374230202">
    <w:abstractNumId w:val="48"/>
  </w:num>
  <w:num w:numId="39" w16cid:durableId="1604604950">
    <w:abstractNumId w:val="34"/>
  </w:num>
  <w:num w:numId="40" w16cid:durableId="1022560361">
    <w:abstractNumId w:val="15"/>
  </w:num>
  <w:num w:numId="41" w16cid:durableId="1350793851">
    <w:abstractNumId w:val="43"/>
  </w:num>
  <w:num w:numId="42" w16cid:durableId="2143112515">
    <w:abstractNumId w:val="27"/>
  </w:num>
  <w:num w:numId="43" w16cid:durableId="1760901722">
    <w:abstractNumId w:val="51"/>
  </w:num>
  <w:num w:numId="44" w16cid:durableId="1414622724">
    <w:abstractNumId w:val="57"/>
  </w:num>
  <w:num w:numId="45" w16cid:durableId="1605649260">
    <w:abstractNumId w:val="49"/>
  </w:num>
  <w:num w:numId="46" w16cid:durableId="103809092">
    <w:abstractNumId w:val="45"/>
  </w:num>
  <w:num w:numId="47" w16cid:durableId="882132970">
    <w:abstractNumId w:val="60"/>
  </w:num>
  <w:num w:numId="48" w16cid:durableId="1131554719">
    <w:abstractNumId w:val="36"/>
  </w:num>
  <w:num w:numId="49" w16cid:durableId="1039278332">
    <w:abstractNumId w:val="37"/>
  </w:num>
  <w:num w:numId="50" w16cid:durableId="758065621">
    <w:abstractNumId w:val="23"/>
  </w:num>
  <w:num w:numId="51" w16cid:durableId="1126318692">
    <w:abstractNumId w:val="17"/>
  </w:num>
  <w:num w:numId="52" w16cid:durableId="1164591473">
    <w:abstractNumId w:val="30"/>
  </w:num>
  <w:num w:numId="53" w16cid:durableId="229930223">
    <w:abstractNumId w:val="55"/>
  </w:num>
  <w:num w:numId="54" w16cid:durableId="1771118757">
    <w:abstractNumId w:val="56"/>
  </w:num>
  <w:num w:numId="55" w16cid:durableId="76095721">
    <w:abstractNumId w:val="11"/>
  </w:num>
  <w:num w:numId="56" w16cid:durableId="955449958">
    <w:abstractNumId w:val="42"/>
  </w:num>
  <w:num w:numId="57" w16cid:durableId="131779">
    <w:abstractNumId w:val="25"/>
  </w:num>
  <w:num w:numId="58" w16cid:durableId="113720443">
    <w:abstractNumId w:val="22"/>
  </w:num>
  <w:num w:numId="59" w16cid:durableId="443841277">
    <w:abstractNumId w:val="72"/>
  </w:num>
  <w:num w:numId="60" w16cid:durableId="864446296">
    <w:abstractNumId w:val="44"/>
  </w:num>
  <w:num w:numId="61" w16cid:durableId="1124273963">
    <w:abstractNumId w:val="40"/>
  </w:num>
  <w:num w:numId="62" w16cid:durableId="2063750658">
    <w:abstractNumId w:val="14"/>
  </w:num>
  <w:num w:numId="63" w16cid:durableId="1148017234">
    <w:abstractNumId w:val="41"/>
  </w:num>
  <w:num w:numId="64" w16cid:durableId="1684824337">
    <w:abstractNumId w:val="21"/>
  </w:num>
  <w:num w:numId="65" w16cid:durableId="1473864202">
    <w:abstractNumId w:val="13"/>
  </w:num>
  <w:num w:numId="66" w16cid:durableId="886916078">
    <w:abstractNumId w:val="7"/>
  </w:num>
  <w:num w:numId="67" w16cid:durableId="373891418">
    <w:abstractNumId w:val="58"/>
  </w:num>
  <w:num w:numId="68" w16cid:durableId="644285897">
    <w:abstractNumId w:val="1"/>
  </w:num>
  <w:num w:numId="69" w16cid:durableId="1181823731">
    <w:abstractNumId w:val="29"/>
  </w:num>
  <w:num w:numId="70" w16cid:durableId="1413353503">
    <w:abstractNumId w:val="61"/>
  </w:num>
  <w:num w:numId="71" w16cid:durableId="820537150">
    <w:abstractNumId w:val="12"/>
  </w:num>
  <w:num w:numId="72" w16cid:durableId="1375228361">
    <w:abstractNumId w:val="65"/>
  </w:num>
  <w:num w:numId="73" w16cid:durableId="13459721">
    <w:abstractNumId w:val="70"/>
  </w:num>
  <w:num w:numId="74" w16cid:durableId="1852406228">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C4"/>
    <w:rsid w:val="00000E31"/>
    <w:rsid w:val="00006CD8"/>
    <w:rsid w:val="0002211A"/>
    <w:rsid w:val="0002456F"/>
    <w:rsid w:val="00044714"/>
    <w:rsid w:val="000452F1"/>
    <w:rsid w:val="00046BE8"/>
    <w:rsid w:val="00050136"/>
    <w:rsid w:val="00053225"/>
    <w:rsid w:val="00055F0D"/>
    <w:rsid w:val="00061550"/>
    <w:rsid w:val="000721B1"/>
    <w:rsid w:val="00083E85"/>
    <w:rsid w:val="000866A0"/>
    <w:rsid w:val="00096C97"/>
    <w:rsid w:val="000A28EE"/>
    <w:rsid w:val="000B1BC1"/>
    <w:rsid w:val="000C20EF"/>
    <w:rsid w:val="000F0F2F"/>
    <w:rsid w:val="000F5C15"/>
    <w:rsid w:val="001013DB"/>
    <w:rsid w:val="00120D4A"/>
    <w:rsid w:val="00140290"/>
    <w:rsid w:val="0016532B"/>
    <w:rsid w:val="00165DB1"/>
    <w:rsid w:val="00167CC4"/>
    <w:rsid w:val="00171127"/>
    <w:rsid w:val="00172827"/>
    <w:rsid w:val="001731C5"/>
    <w:rsid w:val="00186050"/>
    <w:rsid w:val="0019103B"/>
    <w:rsid w:val="001935CD"/>
    <w:rsid w:val="001C0F87"/>
    <w:rsid w:val="001D1AD8"/>
    <w:rsid w:val="001E1E56"/>
    <w:rsid w:val="001E4908"/>
    <w:rsid w:val="001F328D"/>
    <w:rsid w:val="001F7BA8"/>
    <w:rsid w:val="0020382F"/>
    <w:rsid w:val="002043A0"/>
    <w:rsid w:val="00205AFE"/>
    <w:rsid w:val="0021216F"/>
    <w:rsid w:val="00230937"/>
    <w:rsid w:val="002325E7"/>
    <w:rsid w:val="00236BA7"/>
    <w:rsid w:val="00237CDF"/>
    <w:rsid w:val="00245251"/>
    <w:rsid w:val="00246416"/>
    <w:rsid w:val="00251DFE"/>
    <w:rsid w:val="00262FCD"/>
    <w:rsid w:val="0026463F"/>
    <w:rsid w:val="00276044"/>
    <w:rsid w:val="00277907"/>
    <w:rsid w:val="00284D85"/>
    <w:rsid w:val="002A15D8"/>
    <w:rsid w:val="002B4061"/>
    <w:rsid w:val="002C0F39"/>
    <w:rsid w:val="002C2420"/>
    <w:rsid w:val="002D1097"/>
    <w:rsid w:val="002D16BF"/>
    <w:rsid w:val="002D6AF6"/>
    <w:rsid w:val="002E4FF7"/>
    <w:rsid w:val="002E7670"/>
    <w:rsid w:val="002F3359"/>
    <w:rsid w:val="002F7403"/>
    <w:rsid w:val="002F7AF9"/>
    <w:rsid w:val="003076FD"/>
    <w:rsid w:val="003209B2"/>
    <w:rsid w:val="00323504"/>
    <w:rsid w:val="00326083"/>
    <w:rsid w:val="00331244"/>
    <w:rsid w:val="003353ED"/>
    <w:rsid w:val="00336EE6"/>
    <w:rsid w:val="00345CEE"/>
    <w:rsid w:val="0035521C"/>
    <w:rsid w:val="0035688F"/>
    <w:rsid w:val="00360947"/>
    <w:rsid w:val="003622C5"/>
    <w:rsid w:val="00376F7A"/>
    <w:rsid w:val="00380C4D"/>
    <w:rsid w:val="003865AB"/>
    <w:rsid w:val="00386CA1"/>
    <w:rsid w:val="00387398"/>
    <w:rsid w:val="00393C94"/>
    <w:rsid w:val="003B0424"/>
    <w:rsid w:val="003B7D4B"/>
    <w:rsid w:val="003D101A"/>
    <w:rsid w:val="003E2EA3"/>
    <w:rsid w:val="003F0767"/>
    <w:rsid w:val="003F1F57"/>
    <w:rsid w:val="004023F7"/>
    <w:rsid w:val="00404151"/>
    <w:rsid w:val="00410480"/>
    <w:rsid w:val="004152BF"/>
    <w:rsid w:val="004173F5"/>
    <w:rsid w:val="00424292"/>
    <w:rsid w:val="00424F64"/>
    <w:rsid w:val="0043396F"/>
    <w:rsid w:val="00434004"/>
    <w:rsid w:val="00446437"/>
    <w:rsid w:val="0046448C"/>
    <w:rsid w:val="00464F78"/>
    <w:rsid w:val="00470587"/>
    <w:rsid w:val="00486007"/>
    <w:rsid w:val="00487485"/>
    <w:rsid w:val="004A6E04"/>
    <w:rsid w:val="004B2E00"/>
    <w:rsid w:val="004D7543"/>
    <w:rsid w:val="004E2376"/>
    <w:rsid w:val="004E4A66"/>
    <w:rsid w:val="004E5CD8"/>
    <w:rsid w:val="004F444C"/>
    <w:rsid w:val="00501A2B"/>
    <w:rsid w:val="005025C6"/>
    <w:rsid w:val="00512E0E"/>
    <w:rsid w:val="00513AC5"/>
    <w:rsid w:val="0051454F"/>
    <w:rsid w:val="00531126"/>
    <w:rsid w:val="00541790"/>
    <w:rsid w:val="00545DE2"/>
    <w:rsid w:val="00546489"/>
    <w:rsid w:val="005543F3"/>
    <w:rsid w:val="005550A6"/>
    <w:rsid w:val="00560D32"/>
    <w:rsid w:val="00566680"/>
    <w:rsid w:val="0058124D"/>
    <w:rsid w:val="00594E93"/>
    <w:rsid w:val="00595858"/>
    <w:rsid w:val="00597A96"/>
    <w:rsid w:val="005A3118"/>
    <w:rsid w:val="005A5EF2"/>
    <w:rsid w:val="005A6621"/>
    <w:rsid w:val="005B41B8"/>
    <w:rsid w:val="005C659A"/>
    <w:rsid w:val="005D1BF5"/>
    <w:rsid w:val="005E6A42"/>
    <w:rsid w:val="005F46F8"/>
    <w:rsid w:val="005F4A89"/>
    <w:rsid w:val="00604BD6"/>
    <w:rsid w:val="00623D7E"/>
    <w:rsid w:val="00634D14"/>
    <w:rsid w:val="00634DE4"/>
    <w:rsid w:val="00640E37"/>
    <w:rsid w:val="0064550A"/>
    <w:rsid w:val="0064563C"/>
    <w:rsid w:val="00653FF3"/>
    <w:rsid w:val="0066247E"/>
    <w:rsid w:val="00662EC8"/>
    <w:rsid w:val="00666B7A"/>
    <w:rsid w:val="0068395C"/>
    <w:rsid w:val="00692C64"/>
    <w:rsid w:val="00694DB8"/>
    <w:rsid w:val="006951D0"/>
    <w:rsid w:val="006B389A"/>
    <w:rsid w:val="006C3FA9"/>
    <w:rsid w:val="006C45E4"/>
    <w:rsid w:val="006C5CCD"/>
    <w:rsid w:val="006E5413"/>
    <w:rsid w:val="00702712"/>
    <w:rsid w:val="00706BE2"/>
    <w:rsid w:val="00706C9D"/>
    <w:rsid w:val="00706E29"/>
    <w:rsid w:val="00712191"/>
    <w:rsid w:val="00717720"/>
    <w:rsid w:val="00725D5B"/>
    <w:rsid w:val="00735232"/>
    <w:rsid w:val="007405FB"/>
    <w:rsid w:val="007429D5"/>
    <w:rsid w:val="0074310B"/>
    <w:rsid w:val="007517FD"/>
    <w:rsid w:val="0076063E"/>
    <w:rsid w:val="00767753"/>
    <w:rsid w:val="00774E4E"/>
    <w:rsid w:val="007B055B"/>
    <w:rsid w:val="007B3F24"/>
    <w:rsid w:val="007B4D03"/>
    <w:rsid w:val="007B64EE"/>
    <w:rsid w:val="007C3540"/>
    <w:rsid w:val="007D79F4"/>
    <w:rsid w:val="007E3BD5"/>
    <w:rsid w:val="007F46ED"/>
    <w:rsid w:val="007F4AF5"/>
    <w:rsid w:val="007F593A"/>
    <w:rsid w:val="0080334B"/>
    <w:rsid w:val="008075AC"/>
    <w:rsid w:val="00814675"/>
    <w:rsid w:val="0082189B"/>
    <w:rsid w:val="00835BA9"/>
    <w:rsid w:val="00836E73"/>
    <w:rsid w:val="00855AAD"/>
    <w:rsid w:val="00857BAF"/>
    <w:rsid w:val="00876DA8"/>
    <w:rsid w:val="0088107C"/>
    <w:rsid w:val="00885C85"/>
    <w:rsid w:val="00890301"/>
    <w:rsid w:val="008910DC"/>
    <w:rsid w:val="00896D63"/>
    <w:rsid w:val="008A6479"/>
    <w:rsid w:val="008B079D"/>
    <w:rsid w:val="008C1DA3"/>
    <w:rsid w:val="008C38A3"/>
    <w:rsid w:val="008C4741"/>
    <w:rsid w:val="008C6BF8"/>
    <w:rsid w:val="008D059C"/>
    <w:rsid w:val="008D124F"/>
    <w:rsid w:val="008E029B"/>
    <w:rsid w:val="009035B3"/>
    <w:rsid w:val="009134E3"/>
    <w:rsid w:val="009177C5"/>
    <w:rsid w:val="0092014E"/>
    <w:rsid w:val="0093121D"/>
    <w:rsid w:val="00933758"/>
    <w:rsid w:val="0094390E"/>
    <w:rsid w:val="009566E5"/>
    <w:rsid w:val="009578D4"/>
    <w:rsid w:val="009803D8"/>
    <w:rsid w:val="00983107"/>
    <w:rsid w:val="00984383"/>
    <w:rsid w:val="0099045D"/>
    <w:rsid w:val="0099064A"/>
    <w:rsid w:val="0099237E"/>
    <w:rsid w:val="009A0E1D"/>
    <w:rsid w:val="009A5DD3"/>
    <w:rsid w:val="009B4DFD"/>
    <w:rsid w:val="009B67A4"/>
    <w:rsid w:val="009C4CBC"/>
    <w:rsid w:val="009C6AAF"/>
    <w:rsid w:val="009D33C3"/>
    <w:rsid w:val="009E0364"/>
    <w:rsid w:val="009E3552"/>
    <w:rsid w:val="009F0ED9"/>
    <w:rsid w:val="00A06837"/>
    <w:rsid w:val="00A374C6"/>
    <w:rsid w:val="00A51CC4"/>
    <w:rsid w:val="00A528FC"/>
    <w:rsid w:val="00A5526F"/>
    <w:rsid w:val="00A605F7"/>
    <w:rsid w:val="00A734D7"/>
    <w:rsid w:val="00A754B9"/>
    <w:rsid w:val="00A8145B"/>
    <w:rsid w:val="00A861C5"/>
    <w:rsid w:val="00A929AE"/>
    <w:rsid w:val="00A92AC6"/>
    <w:rsid w:val="00AA7A41"/>
    <w:rsid w:val="00AB2BEC"/>
    <w:rsid w:val="00AB569B"/>
    <w:rsid w:val="00AC11F6"/>
    <w:rsid w:val="00AC1AA9"/>
    <w:rsid w:val="00AC28E1"/>
    <w:rsid w:val="00AC359C"/>
    <w:rsid w:val="00AC4305"/>
    <w:rsid w:val="00AD14B0"/>
    <w:rsid w:val="00AD357E"/>
    <w:rsid w:val="00AD37CB"/>
    <w:rsid w:val="00AD5BC2"/>
    <w:rsid w:val="00AE6384"/>
    <w:rsid w:val="00AE64CF"/>
    <w:rsid w:val="00B06535"/>
    <w:rsid w:val="00B1059D"/>
    <w:rsid w:val="00B203AB"/>
    <w:rsid w:val="00B22563"/>
    <w:rsid w:val="00B271FC"/>
    <w:rsid w:val="00B277D1"/>
    <w:rsid w:val="00B33126"/>
    <w:rsid w:val="00B35B86"/>
    <w:rsid w:val="00B376D8"/>
    <w:rsid w:val="00B45092"/>
    <w:rsid w:val="00B46519"/>
    <w:rsid w:val="00B77ECB"/>
    <w:rsid w:val="00B805E9"/>
    <w:rsid w:val="00B92123"/>
    <w:rsid w:val="00BA303E"/>
    <w:rsid w:val="00BA33D8"/>
    <w:rsid w:val="00BA7764"/>
    <w:rsid w:val="00BC188F"/>
    <w:rsid w:val="00BD301C"/>
    <w:rsid w:val="00BD3503"/>
    <w:rsid w:val="00BE1A88"/>
    <w:rsid w:val="00BE6558"/>
    <w:rsid w:val="00BF52A6"/>
    <w:rsid w:val="00C10B32"/>
    <w:rsid w:val="00C25CC9"/>
    <w:rsid w:val="00C46B29"/>
    <w:rsid w:val="00C55473"/>
    <w:rsid w:val="00C70BD0"/>
    <w:rsid w:val="00C80F25"/>
    <w:rsid w:val="00C83458"/>
    <w:rsid w:val="00C96FA5"/>
    <w:rsid w:val="00CA14B1"/>
    <w:rsid w:val="00CA1CEB"/>
    <w:rsid w:val="00CA7564"/>
    <w:rsid w:val="00CC394E"/>
    <w:rsid w:val="00CE1AE8"/>
    <w:rsid w:val="00CE607A"/>
    <w:rsid w:val="00CF3453"/>
    <w:rsid w:val="00CF7CF5"/>
    <w:rsid w:val="00D05FA3"/>
    <w:rsid w:val="00D0650D"/>
    <w:rsid w:val="00D13829"/>
    <w:rsid w:val="00D24F51"/>
    <w:rsid w:val="00D2782A"/>
    <w:rsid w:val="00D325F6"/>
    <w:rsid w:val="00D36141"/>
    <w:rsid w:val="00D55CC4"/>
    <w:rsid w:val="00D649F4"/>
    <w:rsid w:val="00D65BC5"/>
    <w:rsid w:val="00D66ADA"/>
    <w:rsid w:val="00D67072"/>
    <w:rsid w:val="00D754DB"/>
    <w:rsid w:val="00D867A0"/>
    <w:rsid w:val="00D9510D"/>
    <w:rsid w:val="00D964CC"/>
    <w:rsid w:val="00DA54AD"/>
    <w:rsid w:val="00DA6CA2"/>
    <w:rsid w:val="00DA7C71"/>
    <w:rsid w:val="00DB4E1C"/>
    <w:rsid w:val="00DC28FE"/>
    <w:rsid w:val="00DD1295"/>
    <w:rsid w:val="00DD42E3"/>
    <w:rsid w:val="00DD7CB9"/>
    <w:rsid w:val="00DE3244"/>
    <w:rsid w:val="00DE459F"/>
    <w:rsid w:val="00DF766C"/>
    <w:rsid w:val="00E03E4F"/>
    <w:rsid w:val="00E051C7"/>
    <w:rsid w:val="00E0710A"/>
    <w:rsid w:val="00E15F08"/>
    <w:rsid w:val="00E212F5"/>
    <w:rsid w:val="00E238F6"/>
    <w:rsid w:val="00E35850"/>
    <w:rsid w:val="00E47A78"/>
    <w:rsid w:val="00E51294"/>
    <w:rsid w:val="00E512B4"/>
    <w:rsid w:val="00E6165E"/>
    <w:rsid w:val="00E61FC1"/>
    <w:rsid w:val="00E62B3D"/>
    <w:rsid w:val="00E649EF"/>
    <w:rsid w:val="00E82611"/>
    <w:rsid w:val="00E904EE"/>
    <w:rsid w:val="00E978F2"/>
    <w:rsid w:val="00EA136A"/>
    <w:rsid w:val="00EA3EB5"/>
    <w:rsid w:val="00EB204B"/>
    <w:rsid w:val="00EB2E90"/>
    <w:rsid w:val="00EB39F6"/>
    <w:rsid w:val="00EC19D2"/>
    <w:rsid w:val="00ED034E"/>
    <w:rsid w:val="00ED15CC"/>
    <w:rsid w:val="00ED253B"/>
    <w:rsid w:val="00ED7A68"/>
    <w:rsid w:val="00EE5C05"/>
    <w:rsid w:val="00EF49A3"/>
    <w:rsid w:val="00F059B1"/>
    <w:rsid w:val="00F07842"/>
    <w:rsid w:val="00F11FE7"/>
    <w:rsid w:val="00F12406"/>
    <w:rsid w:val="00F14223"/>
    <w:rsid w:val="00F16197"/>
    <w:rsid w:val="00F16CC2"/>
    <w:rsid w:val="00F2221D"/>
    <w:rsid w:val="00F24DCB"/>
    <w:rsid w:val="00F2625E"/>
    <w:rsid w:val="00F3088B"/>
    <w:rsid w:val="00F31C90"/>
    <w:rsid w:val="00F36F71"/>
    <w:rsid w:val="00F40D26"/>
    <w:rsid w:val="00F43527"/>
    <w:rsid w:val="00F6110D"/>
    <w:rsid w:val="00F622B9"/>
    <w:rsid w:val="00F657C7"/>
    <w:rsid w:val="00F6638B"/>
    <w:rsid w:val="00F71484"/>
    <w:rsid w:val="00F73FE8"/>
    <w:rsid w:val="00F83F79"/>
    <w:rsid w:val="00F95320"/>
    <w:rsid w:val="00F969BF"/>
    <w:rsid w:val="00FB4077"/>
    <w:rsid w:val="00FB74EE"/>
    <w:rsid w:val="00FB7C96"/>
    <w:rsid w:val="00FC5CC1"/>
    <w:rsid w:val="00FD028E"/>
    <w:rsid w:val="00FF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CC26D"/>
  <w15:chartTrackingRefBased/>
  <w15:docId w15:val="{263CD6F7-B7B1-4D55-AF6C-CEE9AAD1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CC4"/>
    <w:rPr>
      <w:rFonts w:eastAsiaTheme="majorEastAsia" w:cstheme="majorBidi"/>
      <w:color w:val="272727" w:themeColor="text1" w:themeTint="D8"/>
    </w:rPr>
  </w:style>
  <w:style w:type="paragraph" w:styleId="Title">
    <w:name w:val="Title"/>
    <w:basedOn w:val="Normal"/>
    <w:next w:val="Normal"/>
    <w:link w:val="TitleChar"/>
    <w:uiPriority w:val="10"/>
    <w:qFormat/>
    <w:rsid w:val="00A51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CC4"/>
    <w:pPr>
      <w:spacing w:before="160"/>
      <w:jc w:val="center"/>
    </w:pPr>
    <w:rPr>
      <w:i/>
      <w:iCs/>
      <w:color w:val="404040" w:themeColor="text1" w:themeTint="BF"/>
    </w:rPr>
  </w:style>
  <w:style w:type="character" w:customStyle="1" w:styleId="QuoteChar">
    <w:name w:val="Quote Char"/>
    <w:basedOn w:val="DefaultParagraphFont"/>
    <w:link w:val="Quote"/>
    <w:uiPriority w:val="29"/>
    <w:rsid w:val="00A51CC4"/>
    <w:rPr>
      <w:i/>
      <w:iCs/>
      <w:color w:val="404040" w:themeColor="text1" w:themeTint="BF"/>
    </w:rPr>
  </w:style>
  <w:style w:type="paragraph" w:styleId="ListParagraph">
    <w:name w:val="List Paragraph"/>
    <w:basedOn w:val="Normal"/>
    <w:uiPriority w:val="34"/>
    <w:qFormat/>
    <w:rsid w:val="00A51CC4"/>
    <w:pPr>
      <w:ind w:left="720"/>
      <w:contextualSpacing/>
    </w:pPr>
  </w:style>
  <w:style w:type="character" w:styleId="IntenseEmphasis">
    <w:name w:val="Intense Emphasis"/>
    <w:basedOn w:val="DefaultParagraphFont"/>
    <w:uiPriority w:val="21"/>
    <w:qFormat/>
    <w:rsid w:val="00A51CC4"/>
    <w:rPr>
      <w:i/>
      <w:iCs/>
      <w:color w:val="0F4761" w:themeColor="accent1" w:themeShade="BF"/>
    </w:rPr>
  </w:style>
  <w:style w:type="paragraph" w:styleId="IntenseQuote">
    <w:name w:val="Intense Quote"/>
    <w:basedOn w:val="Normal"/>
    <w:next w:val="Normal"/>
    <w:link w:val="IntenseQuoteChar"/>
    <w:uiPriority w:val="30"/>
    <w:qFormat/>
    <w:rsid w:val="00A5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CC4"/>
    <w:rPr>
      <w:i/>
      <w:iCs/>
      <w:color w:val="0F4761" w:themeColor="accent1" w:themeShade="BF"/>
    </w:rPr>
  </w:style>
  <w:style w:type="character" w:styleId="IntenseReference">
    <w:name w:val="Intense Reference"/>
    <w:basedOn w:val="DefaultParagraphFont"/>
    <w:uiPriority w:val="32"/>
    <w:qFormat/>
    <w:rsid w:val="00A51CC4"/>
    <w:rPr>
      <w:b/>
      <w:bCs/>
      <w:smallCaps/>
      <w:color w:val="0F4761" w:themeColor="accent1" w:themeShade="BF"/>
      <w:spacing w:val="5"/>
    </w:rPr>
  </w:style>
  <w:style w:type="paragraph" w:styleId="Header">
    <w:name w:val="header"/>
    <w:basedOn w:val="Normal"/>
    <w:link w:val="HeaderChar"/>
    <w:uiPriority w:val="99"/>
    <w:unhideWhenUsed/>
    <w:rsid w:val="00A51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C4"/>
  </w:style>
  <w:style w:type="paragraph" w:styleId="Footer">
    <w:name w:val="footer"/>
    <w:basedOn w:val="Normal"/>
    <w:link w:val="FooterChar"/>
    <w:uiPriority w:val="99"/>
    <w:unhideWhenUsed/>
    <w:rsid w:val="00A5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C4"/>
  </w:style>
  <w:style w:type="paragraph" w:styleId="BodyText">
    <w:name w:val="Body Text"/>
    <w:basedOn w:val="Normal"/>
    <w:link w:val="BodyTextChar"/>
    <w:rsid w:val="00717720"/>
    <w:pPr>
      <w:spacing w:after="0" w:line="480" w:lineRule="atLeast"/>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717720"/>
    <w:rPr>
      <w:rFonts w:ascii="Times New Roman" w:eastAsia="Times New Roman" w:hAnsi="Times New Roman" w:cs="Times New Roman"/>
      <w:kern w:val="0"/>
      <w:szCs w:val="20"/>
      <w14:ligatures w14:val="none"/>
    </w:rPr>
  </w:style>
  <w:style w:type="paragraph" w:styleId="Revision">
    <w:name w:val="Revision"/>
    <w:hidden/>
    <w:uiPriority w:val="99"/>
    <w:semiHidden/>
    <w:rsid w:val="00096C97"/>
    <w:pPr>
      <w:spacing w:after="0" w:line="240" w:lineRule="auto"/>
    </w:pPr>
  </w:style>
  <w:style w:type="character" w:styleId="CommentReference">
    <w:name w:val="annotation reference"/>
    <w:basedOn w:val="DefaultParagraphFont"/>
    <w:uiPriority w:val="99"/>
    <w:semiHidden/>
    <w:unhideWhenUsed/>
    <w:rsid w:val="00050136"/>
    <w:rPr>
      <w:sz w:val="16"/>
      <w:szCs w:val="16"/>
    </w:rPr>
  </w:style>
  <w:style w:type="paragraph" w:styleId="CommentText">
    <w:name w:val="annotation text"/>
    <w:basedOn w:val="Normal"/>
    <w:link w:val="CommentTextChar"/>
    <w:uiPriority w:val="99"/>
    <w:unhideWhenUsed/>
    <w:rsid w:val="00050136"/>
    <w:pPr>
      <w:spacing w:line="240" w:lineRule="auto"/>
    </w:pPr>
    <w:rPr>
      <w:sz w:val="20"/>
      <w:szCs w:val="20"/>
    </w:rPr>
  </w:style>
  <w:style w:type="character" w:customStyle="1" w:styleId="CommentTextChar">
    <w:name w:val="Comment Text Char"/>
    <w:basedOn w:val="DefaultParagraphFont"/>
    <w:link w:val="CommentText"/>
    <w:uiPriority w:val="99"/>
    <w:rsid w:val="00050136"/>
    <w:rPr>
      <w:sz w:val="20"/>
      <w:szCs w:val="20"/>
    </w:rPr>
  </w:style>
  <w:style w:type="paragraph" w:styleId="CommentSubject">
    <w:name w:val="annotation subject"/>
    <w:basedOn w:val="CommentText"/>
    <w:next w:val="CommentText"/>
    <w:link w:val="CommentSubjectChar"/>
    <w:uiPriority w:val="99"/>
    <w:semiHidden/>
    <w:unhideWhenUsed/>
    <w:rsid w:val="00050136"/>
    <w:rPr>
      <w:b/>
      <w:bCs/>
    </w:rPr>
  </w:style>
  <w:style w:type="character" w:customStyle="1" w:styleId="CommentSubjectChar">
    <w:name w:val="Comment Subject Char"/>
    <w:basedOn w:val="CommentTextChar"/>
    <w:link w:val="CommentSubject"/>
    <w:uiPriority w:val="99"/>
    <w:semiHidden/>
    <w:rsid w:val="00050136"/>
    <w:rPr>
      <w:b/>
      <w:bCs/>
      <w:sz w:val="20"/>
      <w:szCs w:val="20"/>
    </w:rPr>
  </w:style>
  <w:style w:type="character" w:styleId="Hyperlink">
    <w:name w:val="Hyperlink"/>
    <w:basedOn w:val="DefaultParagraphFont"/>
    <w:uiPriority w:val="99"/>
    <w:unhideWhenUsed/>
    <w:rsid w:val="00545DE2"/>
    <w:rPr>
      <w:color w:val="467886" w:themeColor="hyperlink"/>
      <w:u w:val="single"/>
    </w:rPr>
  </w:style>
  <w:style w:type="character" w:styleId="UnresolvedMention">
    <w:name w:val="Unresolved Mention"/>
    <w:basedOn w:val="DefaultParagraphFont"/>
    <w:uiPriority w:val="99"/>
    <w:semiHidden/>
    <w:unhideWhenUsed/>
    <w:rsid w:val="00545DE2"/>
    <w:rPr>
      <w:color w:val="605E5C"/>
      <w:shd w:val="clear" w:color="auto" w:fill="E1DFDD"/>
    </w:rPr>
  </w:style>
  <w:style w:type="character" w:styleId="FollowedHyperlink">
    <w:name w:val="FollowedHyperlink"/>
    <w:basedOn w:val="DefaultParagraphFont"/>
    <w:uiPriority w:val="99"/>
    <w:semiHidden/>
    <w:unhideWhenUsed/>
    <w:rsid w:val="00545D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ent.naic.org/sites/default/files/inline-files/NAIC%20Model%20Review%20Manual__%20adopted%20by%20CASTF%2011.04.25_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ent.naic.org/sites/default/files/2023-12-4%252520Model%252520Bulletin_Adopted_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naic.org/sites/default/files/committee_related_documents/AI%2520principles%2520as%2520Adopted%2520by%2520the%2520TF_080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lcf76f155ced4ddcb4097134ff3c332f xmlns="55eb7663-75cc-4f64-9609-52561375e7a6">
      <Terms xmlns="http://schemas.microsoft.com/office/infopath/2007/PartnerControls"/>
    </lcf76f155ced4ddcb4097134ff3c332f>
    <TaxCatchAll xmlns="3c9e15a3-223f-4584-afb1-1dbe0b3878fa" xsi:nil="true"/>
    <Date xmlns="55eb7663-75cc-4f64-9609-52561375e7a6" xsi:nil="true"/>
    <Meeting_x0020_Type xmlns="734dc620-9a3c-4363-b6b2-552d0a5c0ad8">Summer National</Meeting_x0020_Type>
    <StartDate xmlns="http://schemas.microsoft.com/sharepoint/v3">2026-08-11T05:00:00+00:00</StartDate>
    <_EndDate xmlns="http://schemas.microsoft.com/sharepoint/v3/fields">2026-08-14T05:00:00+00:00</_EndDate>
    <Location xmlns="http://schemas.microsoft.com/sharepoint/v3/fields">Columbus, Ohio</Location>
  </documentManagement>
</p:properties>
</file>

<file path=customXml/itemProps1.xml><?xml version="1.0" encoding="utf-8"?>
<ds:datastoreItem xmlns:ds="http://schemas.openxmlformats.org/officeDocument/2006/customXml" ds:itemID="{ED4EA447-1733-4A23-BED5-1743ED285CDD}">
  <ds:schemaRefs>
    <ds:schemaRef ds:uri="http://schemas.openxmlformats.org/officeDocument/2006/bibliography"/>
  </ds:schemaRefs>
</ds:datastoreItem>
</file>

<file path=customXml/itemProps2.xml><?xml version="1.0" encoding="utf-8"?>
<ds:datastoreItem xmlns:ds="http://schemas.openxmlformats.org/officeDocument/2006/customXml" ds:itemID="{A219095C-DF13-4D0D-A78F-E3AB9F43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2B8BA-E24E-401D-BFE5-4064B962B6DD}">
  <ds:schemaRefs>
    <ds:schemaRef ds:uri="http://schemas.microsoft.com/sharepoint/v3/contenttype/forms"/>
  </ds:schemaRefs>
</ds:datastoreItem>
</file>

<file path=customXml/itemProps4.xml><?xml version="1.0" encoding="utf-8"?>
<ds:datastoreItem xmlns:ds="http://schemas.openxmlformats.org/officeDocument/2006/customXml" ds:itemID="{5ECDFBFF-F2FA-495A-81AB-57EF1792974A}">
  <ds:schemaRefs>
    <ds:schemaRef ds:uri="http://schemas.microsoft.com/office/2006/metadata/properties"/>
    <ds:schemaRef ds:uri="http://schemas.microsoft.com/office/infopath/2007/PartnerControls"/>
    <ds:schemaRef ds:uri="http://schemas.microsoft.com/sharepoint/v3"/>
    <ds:schemaRef ds:uri="55eb7663-75cc-4f64-9609-52561375e7a6"/>
    <ds:schemaRef ds:uri="3c9e15a3-223f-4584-afb1-1dbe0b3878fa"/>
    <ds:schemaRef ds:uri="734dc620-9a3c-4363-b6b2-552d0a5c0ad8"/>
    <ds:schemaRef ds:uri="http://schemas.microsoft.com/sharepoint/v3/field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6</Pages>
  <Words>1761</Words>
  <Characters>10268</Characters>
  <Application>Microsoft Office Word</Application>
  <DocSecurity>0</DocSecurity>
  <Lines>855</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DeFrain, Kris</dc:creator>
  <cp:keywords/>
  <dc:description/>
  <cp:lastModifiedBy>DeFrain, Kris</cp:lastModifiedBy>
  <cp:revision>3</cp:revision>
  <dcterms:created xsi:type="dcterms:W3CDTF">2026-07-07T21:03:00Z</dcterms:created>
  <dcterms:modified xsi:type="dcterms:W3CDTF">2026-07-08T20:18:00Z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0x010100376674D47D81254AAE898D727025BAAD</vt:lpwstr>
  </property>
  <property fmtid="{D5CDD505-2E9C-101B-9397-08002B2CF9AE}" pid="4" name="docLang">
    <vt:lpwstr>en</vt:lpwstr>
  </property>
</Properties>
</file>