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34C7" w14:textId="77777777" w:rsidR="46201873" w:rsidRDefault="46201873" w:rsidP="46201873">
      <w:pPr>
        <w:rPr>
          <w:b/>
          <w:bCs/>
          <w:sz w:val="22"/>
          <w:szCs w:val="22"/>
        </w:rPr>
      </w:pPr>
    </w:p>
    <w:p w14:paraId="5E3E5BA4" w14:textId="61B7379C" w:rsidR="50EF6944" w:rsidRDefault="50EF6944">
      <w:r w:rsidRPr="46201873">
        <w:rPr>
          <w:rFonts w:ascii="Calibri" w:eastAsia="Calibri" w:hAnsi="Calibri" w:cs="Calibri"/>
          <w:sz w:val="22"/>
          <w:szCs w:val="22"/>
        </w:rPr>
        <w:t>Date: 8/11/22</w:t>
      </w:r>
    </w:p>
    <w:p w14:paraId="4834EADF" w14:textId="5E5BB0F3" w:rsidR="46201873" w:rsidRDefault="46201873" w:rsidP="46201873">
      <w:pPr>
        <w:rPr>
          <w:i/>
          <w:iCs/>
          <w:sz w:val="22"/>
          <w:szCs w:val="22"/>
        </w:rPr>
      </w:pPr>
    </w:p>
    <w:p w14:paraId="2EAC4EC3" w14:textId="56A393A5" w:rsidR="00CD1B47" w:rsidRDefault="00CD1B47" w:rsidP="07CB8ACA">
      <w:pPr>
        <w:rPr>
          <w:i/>
          <w:iCs/>
          <w:sz w:val="22"/>
          <w:szCs w:val="22"/>
        </w:rPr>
      </w:pPr>
      <w:r w:rsidRPr="07CB8ACA">
        <w:rPr>
          <w:i/>
          <w:iCs/>
          <w:sz w:val="22"/>
          <w:szCs w:val="22"/>
        </w:rPr>
        <w:t>2022 Summer National Meeting</w:t>
      </w:r>
    </w:p>
    <w:p w14:paraId="23564803" w14:textId="134945A1" w:rsidR="00CD1B47" w:rsidRDefault="00A307FE" w:rsidP="00CD1B47">
      <w:pPr>
        <w:rPr>
          <w:i/>
          <w:iCs/>
          <w:sz w:val="22"/>
          <w:szCs w:val="22"/>
        </w:rPr>
      </w:pPr>
      <w:r w:rsidRPr="46201873">
        <w:rPr>
          <w:i/>
          <w:iCs/>
          <w:sz w:val="22"/>
          <w:szCs w:val="22"/>
        </w:rPr>
        <w:t>Portland, Oregon</w:t>
      </w:r>
    </w:p>
    <w:p w14:paraId="3D0E52AD" w14:textId="77777777" w:rsidR="00C45D23" w:rsidRDefault="00C45D23" w:rsidP="00C45D23">
      <w:pPr>
        <w:rPr>
          <w:rFonts w:cstheme="minorHAnsi"/>
          <w:b/>
          <w:bCs/>
          <w:sz w:val="22"/>
          <w:szCs w:val="22"/>
        </w:rPr>
      </w:pPr>
    </w:p>
    <w:p w14:paraId="69869687" w14:textId="12E6583D" w:rsidR="00C45D23" w:rsidRDefault="00C45D23" w:rsidP="00C45D23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LIFE INSURANCE AND ANNUITIES (A) COMMITTEE</w:t>
      </w:r>
    </w:p>
    <w:p w14:paraId="6B49B785" w14:textId="29D3D568" w:rsidR="00C45D23" w:rsidRDefault="00C45D23" w:rsidP="00C45D2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Thursday, August 11, 2022</w:t>
      </w:r>
    </w:p>
    <w:p w14:paraId="650A4F2B" w14:textId="7AC79BE5" w:rsidR="50EF6944" w:rsidRDefault="00C45D23">
      <w:r>
        <w:rPr>
          <w:bCs/>
          <w:sz w:val="22"/>
          <w:szCs w:val="22"/>
        </w:rPr>
        <w:t xml:space="preserve">2:15 – 3:30 p.m. </w:t>
      </w:r>
    </w:p>
    <w:p w14:paraId="2D5B1B33" w14:textId="5D9F4871" w:rsidR="50EF6944" w:rsidRDefault="00DA00FC">
      <w:r>
        <w:rPr>
          <w:rFonts w:ascii="Calibri" w:eastAsia="Calibri" w:hAnsi="Calibri" w:cs="Calibri"/>
          <w:b/>
          <w:bCs/>
          <w:sz w:val="22"/>
          <w:szCs w:val="22"/>
        </w:rPr>
        <w:t xml:space="preserve">Meeting </w:t>
      </w:r>
      <w:r w:rsidR="50EF6944" w:rsidRPr="37D6DA32">
        <w:rPr>
          <w:rFonts w:ascii="Calibri" w:eastAsia="Calibri" w:hAnsi="Calibri" w:cs="Calibri"/>
          <w:b/>
          <w:bCs/>
          <w:sz w:val="22"/>
          <w:szCs w:val="22"/>
        </w:rPr>
        <w:t xml:space="preserve">Summary Report </w:t>
      </w:r>
    </w:p>
    <w:p w14:paraId="0B43B76C" w14:textId="663E9A6F" w:rsidR="50EF6944" w:rsidRDefault="50EF6944">
      <w:r w:rsidRPr="50EF694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625C3F12" w14:textId="156A4422" w:rsidR="50EF6944" w:rsidRDefault="50EF6944" w:rsidP="00DA00FC">
      <w:pPr>
        <w:jc w:val="both"/>
      </w:pPr>
      <w:r w:rsidRPr="50EF6944">
        <w:rPr>
          <w:rFonts w:ascii="Calibri" w:eastAsia="Calibri" w:hAnsi="Calibri" w:cs="Calibri"/>
          <w:sz w:val="22"/>
          <w:szCs w:val="22"/>
        </w:rPr>
        <w:t>The Life Insurance and Annuities (A) Committee met Aug. 11, 2022. During this meeting, the Committee:</w:t>
      </w:r>
    </w:p>
    <w:p w14:paraId="5CE536FC" w14:textId="12A4535D" w:rsidR="50EF6944" w:rsidRDefault="50EF6944" w:rsidP="00DA00F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1A7138E" w14:textId="01B6DB6F" w:rsidR="50EF6944" w:rsidRDefault="50EF6944" w:rsidP="00903AF0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50EF6944">
        <w:rPr>
          <w:rFonts w:ascii="Calibri" w:eastAsia="Calibri" w:hAnsi="Calibri" w:cs="Calibri"/>
          <w:sz w:val="22"/>
          <w:szCs w:val="22"/>
        </w:rPr>
        <w:t>Adopted its July 20 minutes, which included the following action:</w:t>
      </w:r>
    </w:p>
    <w:p w14:paraId="71BCCB20" w14:textId="558C02EF" w:rsidR="50EF6944" w:rsidRDefault="50EF6944" w:rsidP="00DA00FC">
      <w:pPr>
        <w:jc w:val="both"/>
        <w:rPr>
          <w:rFonts w:ascii="Calibri" w:eastAsia="Calibri" w:hAnsi="Calibri" w:cs="Calibri"/>
          <w:sz w:val="22"/>
          <w:szCs w:val="22"/>
        </w:rPr>
      </w:pPr>
      <w:r w:rsidRPr="50EF6944">
        <w:rPr>
          <w:rFonts w:ascii="Calibri" w:eastAsia="Calibri" w:hAnsi="Calibri" w:cs="Calibri"/>
          <w:sz w:val="22"/>
          <w:szCs w:val="22"/>
        </w:rPr>
        <w:t xml:space="preserve">       A.</w:t>
      </w:r>
      <w:r>
        <w:tab/>
      </w:r>
      <w:r w:rsidRPr="50EF6944">
        <w:rPr>
          <w:rFonts w:ascii="Calibri" w:eastAsia="Calibri" w:hAnsi="Calibri" w:cs="Calibri"/>
          <w:sz w:val="22"/>
          <w:szCs w:val="22"/>
        </w:rPr>
        <w:t xml:space="preserve">Adopted nine </w:t>
      </w:r>
      <w:r w:rsidRPr="50EF6944">
        <w:rPr>
          <w:rFonts w:ascii="Calibri" w:eastAsia="Calibri" w:hAnsi="Calibri" w:cs="Calibri"/>
          <w:i/>
          <w:iCs/>
          <w:sz w:val="22"/>
          <w:szCs w:val="22"/>
        </w:rPr>
        <w:t>Valuation Manual</w:t>
      </w:r>
      <w:r w:rsidRPr="50EF6944">
        <w:rPr>
          <w:rFonts w:ascii="Calibri" w:eastAsia="Calibri" w:hAnsi="Calibri" w:cs="Calibri"/>
          <w:sz w:val="22"/>
          <w:szCs w:val="22"/>
        </w:rPr>
        <w:t xml:space="preserve"> </w:t>
      </w:r>
      <w:r w:rsidR="00DA00FC">
        <w:rPr>
          <w:rFonts w:ascii="Calibri" w:eastAsia="Calibri" w:hAnsi="Calibri" w:cs="Calibri"/>
          <w:sz w:val="22"/>
          <w:szCs w:val="22"/>
        </w:rPr>
        <w:t>a</w:t>
      </w:r>
      <w:r w:rsidRPr="50EF6944">
        <w:rPr>
          <w:rFonts w:ascii="Calibri" w:eastAsia="Calibri" w:hAnsi="Calibri" w:cs="Calibri"/>
          <w:sz w:val="22"/>
          <w:szCs w:val="22"/>
        </w:rPr>
        <w:t>mendments.</w:t>
      </w:r>
    </w:p>
    <w:p w14:paraId="5F9388EF" w14:textId="4BCFFBB9" w:rsidR="50EF6944" w:rsidRDefault="50EF6944" w:rsidP="00903AF0">
      <w:pPr>
        <w:ind w:left="720" w:hanging="720"/>
        <w:jc w:val="both"/>
        <w:rPr>
          <w:rFonts w:ascii="Calibri" w:eastAsia="Calibri" w:hAnsi="Calibri" w:cs="Calibri"/>
          <w:sz w:val="22"/>
          <w:szCs w:val="22"/>
        </w:rPr>
      </w:pPr>
      <w:r w:rsidRPr="50EF6944">
        <w:rPr>
          <w:rFonts w:ascii="Calibri" w:eastAsia="Calibri" w:hAnsi="Calibri" w:cs="Calibri"/>
          <w:sz w:val="22"/>
          <w:szCs w:val="22"/>
        </w:rPr>
        <w:t xml:space="preserve">       B.</w:t>
      </w:r>
      <w:r>
        <w:tab/>
      </w:r>
      <w:r w:rsidRPr="50EF6944">
        <w:rPr>
          <w:rFonts w:ascii="Calibri" w:eastAsia="Calibri" w:hAnsi="Calibri" w:cs="Calibri"/>
          <w:sz w:val="22"/>
          <w:szCs w:val="22"/>
        </w:rPr>
        <w:t xml:space="preserve">Adopted </w:t>
      </w:r>
      <w:r w:rsidR="00DA00FC" w:rsidRPr="00903AF0">
        <w:rPr>
          <w:rFonts w:ascii="Calibri" w:eastAsia="Calibri" w:hAnsi="Calibri" w:cs="Calibri"/>
          <w:i/>
          <w:sz w:val="22"/>
          <w:szCs w:val="22"/>
        </w:rPr>
        <w:t>Actuarial Guideline LI—The Application of Asset Adequacy Testing to Long-Term Care Insurance Reserves</w:t>
      </w:r>
      <w:r w:rsidR="00DA00FC" w:rsidRPr="00DA00FC">
        <w:rPr>
          <w:rFonts w:ascii="Calibri" w:eastAsia="Calibri" w:hAnsi="Calibri" w:cs="Calibri"/>
          <w:sz w:val="22"/>
          <w:szCs w:val="22"/>
        </w:rPr>
        <w:t xml:space="preserve"> </w:t>
      </w:r>
      <w:r w:rsidRPr="50EF6944">
        <w:rPr>
          <w:rFonts w:ascii="Calibri" w:eastAsia="Calibri" w:hAnsi="Calibri" w:cs="Calibri"/>
          <w:sz w:val="22"/>
          <w:szCs w:val="22"/>
        </w:rPr>
        <w:t>(AG 51).</w:t>
      </w:r>
    </w:p>
    <w:p w14:paraId="3BD76D43" w14:textId="566CB33D" w:rsidR="50EF6944" w:rsidRDefault="50EF6944" w:rsidP="00DA00F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EC4B1D5" w14:textId="3FB37AE9" w:rsidR="50EF6944" w:rsidRDefault="008223DA" w:rsidP="00903AF0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Received</w:t>
      </w:r>
      <w:r w:rsidRPr="37D6DA32">
        <w:rPr>
          <w:rFonts w:ascii="Calibri" w:eastAsia="Calibri" w:hAnsi="Calibri" w:cs="Calibri"/>
          <w:sz w:val="22"/>
          <w:szCs w:val="22"/>
        </w:rPr>
        <w:t xml:space="preserve"> </w:t>
      </w:r>
      <w:r w:rsidR="50EF6944" w:rsidRPr="37D6DA32">
        <w:rPr>
          <w:rFonts w:ascii="Calibri" w:eastAsia="Calibri" w:hAnsi="Calibri" w:cs="Calibri"/>
          <w:sz w:val="22"/>
          <w:szCs w:val="22"/>
        </w:rPr>
        <w:t>an update from the Accelerated Underwriting (A) Working Group.</w:t>
      </w:r>
      <w:r w:rsidR="00147488" w:rsidRPr="37D6DA32">
        <w:rPr>
          <w:rFonts w:ascii="Calibri" w:eastAsia="Calibri" w:hAnsi="Calibri" w:cs="Calibri"/>
          <w:sz w:val="22"/>
          <w:szCs w:val="22"/>
        </w:rPr>
        <w:t xml:space="preserve"> The </w:t>
      </w:r>
      <w:r w:rsidR="008F7B49" w:rsidRPr="37D6DA32">
        <w:rPr>
          <w:rFonts w:ascii="Calibri" w:eastAsia="Calibri" w:hAnsi="Calibri" w:cs="Calibri"/>
          <w:sz w:val="22"/>
          <w:szCs w:val="22"/>
        </w:rPr>
        <w:t xml:space="preserve">Working Group </w:t>
      </w:r>
      <w:r w:rsidR="37D6DA32" w:rsidRPr="37D6DA32">
        <w:rPr>
          <w:rFonts w:ascii="Calibri" w:eastAsia="Calibri" w:hAnsi="Calibri" w:cs="Calibri"/>
          <w:sz w:val="22"/>
          <w:szCs w:val="22"/>
        </w:rPr>
        <w:t xml:space="preserve">continues to collaborate with other NAIC groups as it works on developing regulatory guidance for state insurance regulators related to accelerated underwriting </w:t>
      </w:r>
      <w:r w:rsidR="003819FE">
        <w:rPr>
          <w:rFonts w:ascii="Calibri" w:eastAsia="Calibri" w:hAnsi="Calibri" w:cs="Calibri"/>
          <w:sz w:val="22"/>
          <w:szCs w:val="22"/>
        </w:rPr>
        <w:t xml:space="preserve">(AU) </w:t>
      </w:r>
      <w:r w:rsidR="37D6DA32" w:rsidRPr="37D6DA32">
        <w:rPr>
          <w:rFonts w:ascii="Calibri" w:eastAsia="Calibri" w:hAnsi="Calibri" w:cs="Calibri"/>
          <w:sz w:val="22"/>
          <w:szCs w:val="22"/>
        </w:rPr>
        <w:t>in life insurance</w:t>
      </w:r>
      <w:r w:rsidR="00F3122A">
        <w:rPr>
          <w:rFonts w:ascii="Calibri" w:eastAsia="Calibri" w:hAnsi="Calibri" w:cs="Calibri"/>
          <w:sz w:val="22"/>
          <w:szCs w:val="22"/>
        </w:rPr>
        <w:t>,</w:t>
      </w:r>
      <w:r w:rsidR="37D6DA32" w:rsidRPr="37D6DA32">
        <w:rPr>
          <w:sz w:val="22"/>
          <w:szCs w:val="22"/>
        </w:rPr>
        <w:t xml:space="preserve"> </w:t>
      </w:r>
      <w:r w:rsidR="0047291D" w:rsidRPr="37D6DA32">
        <w:rPr>
          <w:rFonts w:ascii="Calibri" w:eastAsia="Calibri" w:hAnsi="Calibri" w:cs="Calibri"/>
          <w:sz w:val="22"/>
          <w:szCs w:val="22"/>
        </w:rPr>
        <w:t xml:space="preserve">and </w:t>
      </w:r>
      <w:r w:rsidR="00F3122A">
        <w:rPr>
          <w:rFonts w:ascii="Calibri" w:eastAsia="Calibri" w:hAnsi="Calibri" w:cs="Calibri"/>
          <w:sz w:val="22"/>
          <w:szCs w:val="22"/>
        </w:rPr>
        <w:t xml:space="preserve">it </w:t>
      </w:r>
      <w:r w:rsidR="0047291D" w:rsidRPr="37D6DA32">
        <w:rPr>
          <w:rFonts w:ascii="Calibri" w:eastAsia="Calibri" w:hAnsi="Calibri" w:cs="Calibri"/>
          <w:sz w:val="22"/>
          <w:szCs w:val="22"/>
        </w:rPr>
        <w:t>plans to meet in October</w:t>
      </w:r>
      <w:r w:rsidR="00F3122A">
        <w:rPr>
          <w:rFonts w:ascii="Calibri" w:eastAsia="Calibri" w:hAnsi="Calibri" w:cs="Calibri"/>
          <w:sz w:val="22"/>
          <w:szCs w:val="22"/>
        </w:rPr>
        <w:t xml:space="preserve"> to continue work on its goals</w:t>
      </w:r>
      <w:r w:rsidR="0047291D" w:rsidRPr="37D6DA32">
        <w:rPr>
          <w:rFonts w:ascii="Calibri" w:eastAsia="Calibri" w:hAnsi="Calibri" w:cs="Calibri"/>
          <w:sz w:val="22"/>
          <w:szCs w:val="22"/>
        </w:rPr>
        <w:t xml:space="preserve">. </w:t>
      </w:r>
    </w:p>
    <w:p w14:paraId="41EC230B" w14:textId="3C311BDB" w:rsidR="50EF6944" w:rsidRDefault="50EF6944" w:rsidP="00DA00FC">
      <w:pPr>
        <w:jc w:val="both"/>
        <w:rPr>
          <w:rFonts w:ascii="Calibri" w:eastAsia="Calibri" w:hAnsi="Calibri" w:cs="Calibri"/>
          <w:sz w:val="22"/>
          <w:szCs w:val="22"/>
        </w:rPr>
      </w:pPr>
      <w:r w:rsidRPr="37D6DA32">
        <w:rPr>
          <w:rFonts w:ascii="Calibri" w:eastAsia="Calibri" w:hAnsi="Calibri" w:cs="Calibri"/>
          <w:sz w:val="22"/>
          <w:szCs w:val="22"/>
        </w:rPr>
        <w:t xml:space="preserve">  </w:t>
      </w:r>
    </w:p>
    <w:p w14:paraId="712FC23F" w14:textId="1216F2C3" w:rsidR="50EF6944" w:rsidRDefault="50EF6944" w:rsidP="00DA00FC">
      <w:pPr>
        <w:ind w:left="360" w:hanging="360"/>
        <w:jc w:val="both"/>
      </w:pPr>
      <w:r w:rsidRPr="37D6DA32">
        <w:rPr>
          <w:rFonts w:ascii="Calibri" w:eastAsia="Calibri" w:hAnsi="Calibri" w:cs="Calibri"/>
          <w:sz w:val="22"/>
          <w:szCs w:val="22"/>
        </w:rPr>
        <w:t>3.</w:t>
      </w:r>
      <w:r>
        <w:tab/>
      </w:r>
      <w:r w:rsidRPr="37D6DA32">
        <w:rPr>
          <w:rFonts w:ascii="Calibri" w:eastAsia="Calibri" w:hAnsi="Calibri" w:cs="Calibri"/>
          <w:sz w:val="22"/>
          <w:szCs w:val="22"/>
        </w:rPr>
        <w:t>Adopted the report of the Annuity Suitability (A) Working Group</w:t>
      </w:r>
      <w:r w:rsidR="00BE3058" w:rsidRPr="37D6DA32">
        <w:rPr>
          <w:rFonts w:ascii="Calibri" w:eastAsia="Calibri" w:hAnsi="Calibri" w:cs="Calibri"/>
          <w:sz w:val="22"/>
          <w:szCs w:val="22"/>
        </w:rPr>
        <w:t>, including its July 2</w:t>
      </w:r>
      <w:r w:rsidR="00E94737" w:rsidRPr="37D6DA32">
        <w:rPr>
          <w:rFonts w:ascii="Calibri" w:eastAsia="Calibri" w:hAnsi="Calibri" w:cs="Calibri"/>
          <w:sz w:val="22"/>
          <w:szCs w:val="22"/>
        </w:rPr>
        <w:t xml:space="preserve">5 minutes. The Working Group continues to work on </w:t>
      </w:r>
      <w:r w:rsidR="37D6DA32" w:rsidRPr="37D6DA3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frequently asked questions (FAQ) on the safe harbor/comparable standards provision in the revised </w:t>
      </w:r>
      <w:r w:rsidR="37D6DA32" w:rsidRPr="37D6DA3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Suitability in Annuity Transactions Model Regulation</w:t>
      </w:r>
      <w:r w:rsidR="37D6DA32" w:rsidRPr="37D6DA3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(#275), which added a best interest standard of conduct for insurers and producers. </w:t>
      </w:r>
      <w:r w:rsidR="37D6DA32" w:rsidRPr="37D6DA32">
        <w:rPr>
          <w:rFonts w:ascii="Calibri" w:eastAsia="Calibri" w:hAnsi="Calibri" w:cs="Calibri"/>
          <w:sz w:val="22"/>
          <w:szCs w:val="22"/>
        </w:rPr>
        <w:t xml:space="preserve"> </w:t>
      </w:r>
    </w:p>
    <w:p w14:paraId="061FD145" w14:textId="5069CD89" w:rsidR="50EF6944" w:rsidRDefault="50EF6944">
      <w:pPr>
        <w:tabs>
          <w:tab w:val="left" w:pos="360"/>
        </w:tabs>
        <w:ind w:left="360" w:hanging="360"/>
        <w:jc w:val="both"/>
      </w:pPr>
      <w:r w:rsidRPr="50EF6944">
        <w:rPr>
          <w:rFonts w:ascii="Calibri" w:eastAsia="Calibri" w:hAnsi="Calibri" w:cs="Calibri"/>
          <w:sz w:val="22"/>
          <w:szCs w:val="22"/>
        </w:rPr>
        <w:t xml:space="preserve"> </w:t>
      </w:r>
    </w:p>
    <w:p w14:paraId="1489A89C" w14:textId="5A581DAD" w:rsidR="50EF6944" w:rsidRDefault="50EF6944" w:rsidP="00903AF0">
      <w:pPr>
        <w:ind w:left="360" w:hanging="360"/>
        <w:jc w:val="both"/>
      </w:pPr>
      <w:r w:rsidRPr="37D6DA32">
        <w:rPr>
          <w:rFonts w:ascii="Calibri" w:eastAsia="Calibri" w:hAnsi="Calibri" w:cs="Calibri"/>
          <w:sz w:val="22"/>
          <w:szCs w:val="22"/>
        </w:rPr>
        <w:t>4.</w:t>
      </w:r>
      <w:r>
        <w:tab/>
      </w:r>
      <w:r w:rsidRPr="37D6DA32">
        <w:rPr>
          <w:rFonts w:ascii="Calibri" w:eastAsia="Calibri" w:hAnsi="Calibri" w:cs="Calibri"/>
          <w:sz w:val="22"/>
          <w:szCs w:val="22"/>
        </w:rPr>
        <w:t>Adopted the report of the Life Actuarial (A) Task Force.</w:t>
      </w:r>
      <w:r w:rsidR="00F759E7" w:rsidRPr="37D6DA32">
        <w:rPr>
          <w:rFonts w:ascii="Calibri" w:eastAsia="Calibri" w:hAnsi="Calibri" w:cs="Calibri"/>
          <w:sz w:val="22"/>
          <w:szCs w:val="22"/>
        </w:rPr>
        <w:t xml:space="preserve"> </w:t>
      </w:r>
      <w:r w:rsidR="00506049" w:rsidRPr="37D6DA32">
        <w:rPr>
          <w:rFonts w:ascii="Calibri" w:eastAsia="Calibri" w:hAnsi="Calibri" w:cs="Calibri"/>
          <w:sz w:val="22"/>
          <w:szCs w:val="22"/>
        </w:rPr>
        <w:t>In particular, the Task Force</w:t>
      </w:r>
      <w:r w:rsidR="000A278E" w:rsidRPr="37D6DA32">
        <w:rPr>
          <w:rFonts w:ascii="Calibri" w:eastAsia="Calibri" w:hAnsi="Calibri" w:cs="Calibri"/>
          <w:sz w:val="22"/>
          <w:szCs w:val="22"/>
        </w:rPr>
        <w:t xml:space="preserve"> is considering asking the </w:t>
      </w:r>
      <w:r w:rsidR="00303D7E" w:rsidRPr="37D6DA32">
        <w:rPr>
          <w:sz w:val="22"/>
          <w:szCs w:val="22"/>
        </w:rPr>
        <w:t>C</w:t>
      </w:r>
      <w:r w:rsidR="00225095" w:rsidRPr="37D6DA32">
        <w:rPr>
          <w:sz w:val="22"/>
          <w:szCs w:val="22"/>
        </w:rPr>
        <w:t xml:space="preserve">ommittee to consider limited, targeted revisions to the </w:t>
      </w:r>
      <w:r w:rsidR="00225095" w:rsidRPr="37D6DA32">
        <w:rPr>
          <w:i/>
          <w:iCs/>
          <w:sz w:val="22"/>
          <w:szCs w:val="22"/>
        </w:rPr>
        <w:t>Life Insurance Illustrations Model Regulation</w:t>
      </w:r>
      <w:r w:rsidR="007B7C24" w:rsidRPr="37D6DA32">
        <w:rPr>
          <w:i/>
          <w:iCs/>
          <w:sz w:val="22"/>
          <w:szCs w:val="22"/>
        </w:rPr>
        <w:t xml:space="preserve"> </w:t>
      </w:r>
      <w:r w:rsidR="007B7C24" w:rsidRPr="37D6DA32">
        <w:rPr>
          <w:sz w:val="22"/>
          <w:szCs w:val="22"/>
        </w:rPr>
        <w:t>(#</w:t>
      </w:r>
      <w:r w:rsidR="00225095" w:rsidRPr="37D6DA32">
        <w:rPr>
          <w:sz w:val="22"/>
          <w:szCs w:val="22"/>
        </w:rPr>
        <w:t>582</w:t>
      </w:r>
      <w:r w:rsidR="007B7C24" w:rsidRPr="37D6DA32">
        <w:rPr>
          <w:sz w:val="22"/>
          <w:szCs w:val="22"/>
        </w:rPr>
        <w:t>)</w:t>
      </w:r>
      <w:r w:rsidR="00CC111E" w:rsidRPr="37D6DA32">
        <w:rPr>
          <w:sz w:val="22"/>
          <w:szCs w:val="22"/>
        </w:rPr>
        <w:t xml:space="preserve"> to </w:t>
      </w:r>
      <w:r w:rsidR="00523DBC" w:rsidRPr="37D6DA32">
        <w:rPr>
          <w:sz w:val="22"/>
          <w:szCs w:val="22"/>
        </w:rPr>
        <w:t>ad</w:t>
      </w:r>
      <w:r w:rsidR="000477F3" w:rsidRPr="37D6DA32">
        <w:rPr>
          <w:sz w:val="22"/>
          <w:szCs w:val="22"/>
        </w:rPr>
        <w:t>d</w:t>
      </w:r>
      <w:r w:rsidR="00523DBC" w:rsidRPr="37D6DA32">
        <w:rPr>
          <w:sz w:val="22"/>
          <w:szCs w:val="22"/>
        </w:rPr>
        <w:t>ress</w:t>
      </w:r>
      <w:r w:rsidR="001A705D" w:rsidRPr="37D6DA32">
        <w:rPr>
          <w:sz w:val="22"/>
          <w:szCs w:val="22"/>
        </w:rPr>
        <w:t xml:space="preserve"> the </w:t>
      </w:r>
      <w:r w:rsidR="008F599F" w:rsidRPr="37D6DA32">
        <w:rPr>
          <w:sz w:val="22"/>
          <w:szCs w:val="22"/>
        </w:rPr>
        <w:t xml:space="preserve">need for the </w:t>
      </w:r>
      <w:r w:rsidR="00A503C8" w:rsidRPr="37D6DA32">
        <w:rPr>
          <w:sz w:val="22"/>
          <w:szCs w:val="22"/>
        </w:rPr>
        <w:t xml:space="preserve">Task Force </w:t>
      </w:r>
      <w:r w:rsidR="008F599F" w:rsidRPr="37D6DA32">
        <w:rPr>
          <w:sz w:val="22"/>
          <w:szCs w:val="22"/>
        </w:rPr>
        <w:t xml:space="preserve">to make </w:t>
      </w:r>
      <w:r w:rsidR="00A503C8" w:rsidRPr="37D6DA32">
        <w:rPr>
          <w:sz w:val="22"/>
          <w:szCs w:val="22"/>
        </w:rPr>
        <w:t xml:space="preserve">continual changes to the </w:t>
      </w:r>
      <w:r w:rsidR="001A705D" w:rsidRPr="37D6DA32">
        <w:rPr>
          <w:sz w:val="22"/>
          <w:szCs w:val="22"/>
        </w:rPr>
        <w:t>i</w:t>
      </w:r>
      <w:r w:rsidR="00AD2D6E" w:rsidRPr="37D6DA32">
        <w:rPr>
          <w:sz w:val="22"/>
          <w:szCs w:val="22"/>
        </w:rPr>
        <w:t xml:space="preserve">ndexed </w:t>
      </w:r>
      <w:r w:rsidR="001A705D" w:rsidRPr="37D6DA32">
        <w:rPr>
          <w:sz w:val="22"/>
          <w:szCs w:val="22"/>
        </w:rPr>
        <w:t>u</w:t>
      </w:r>
      <w:r w:rsidR="00AD2D6E" w:rsidRPr="37D6DA32">
        <w:rPr>
          <w:sz w:val="22"/>
          <w:szCs w:val="22"/>
        </w:rPr>
        <w:t xml:space="preserve">niversal </w:t>
      </w:r>
      <w:r w:rsidR="001A705D" w:rsidRPr="37D6DA32">
        <w:rPr>
          <w:sz w:val="22"/>
          <w:szCs w:val="22"/>
        </w:rPr>
        <w:t>l</w:t>
      </w:r>
      <w:r w:rsidR="00AD2D6E" w:rsidRPr="37D6DA32">
        <w:rPr>
          <w:sz w:val="22"/>
          <w:szCs w:val="22"/>
        </w:rPr>
        <w:t xml:space="preserve">ife </w:t>
      </w:r>
      <w:r w:rsidR="00A503C8" w:rsidRPr="37D6DA32">
        <w:rPr>
          <w:sz w:val="22"/>
          <w:szCs w:val="22"/>
        </w:rPr>
        <w:t>illustration actuarial guideline to address product features causing aggressive illustrations</w:t>
      </w:r>
      <w:r w:rsidR="00CA2DEC" w:rsidRPr="37D6DA32">
        <w:rPr>
          <w:sz w:val="22"/>
          <w:szCs w:val="22"/>
        </w:rPr>
        <w:t>.</w:t>
      </w:r>
      <w:r w:rsidR="00A503C8" w:rsidRPr="37D6DA32">
        <w:rPr>
          <w:sz w:val="22"/>
          <w:szCs w:val="22"/>
        </w:rPr>
        <w:t xml:space="preserve"> </w:t>
      </w:r>
    </w:p>
    <w:p w14:paraId="6AEE0AB4" w14:textId="1BF6CAE9" w:rsidR="50EF6944" w:rsidRDefault="50EF6944" w:rsidP="00DA00FC">
      <w:pPr>
        <w:tabs>
          <w:tab w:val="left" w:pos="360"/>
        </w:tabs>
        <w:ind w:left="360" w:hanging="360"/>
        <w:jc w:val="both"/>
      </w:pPr>
      <w:r w:rsidRPr="50EF6944">
        <w:rPr>
          <w:rFonts w:ascii="Calibri" w:eastAsia="Calibri" w:hAnsi="Calibri" w:cs="Calibri"/>
          <w:sz w:val="22"/>
          <w:szCs w:val="22"/>
        </w:rPr>
        <w:t xml:space="preserve"> </w:t>
      </w:r>
    </w:p>
    <w:p w14:paraId="31CDF577" w14:textId="4313CC6E" w:rsidR="50EF6944" w:rsidRDefault="50EF6944" w:rsidP="00DA00FC">
      <w:pPr>
        <w:tabs>
          <w:tab w:val="left" w:pos="360"/>
        </w:tabs>
        <w:ind w:left="360" w:hanging="360"/>
        <w:jc w:val="both"/>
      </w:pPr>
      <w:r w:rsidRPr="50EF6944">
        <w:rPr>
          <w:rFonts w:ascii="Calibri" w:eastAsia="Calibri" w:hAnsi="Calibri" w:cs="Calibri"/>
          <w:sz w:val="22"/>
          <w:szCs w:val="22"/>
        </w:rPr>
        <w:t>6.</w:t>
      </w:r>
      <w:r>
        <w:tab/>
      </w:r>
      <w:r w:rsidRPr="50EF6944">
        <w:rPr>
          <w:rFonts w:ascii="Calibri" w:eastAsia="Calibri" w:hAnsi="Calibri" w:cs="Calibri"/>
          <w:sz w:val="22"/>
          <w:szCs w:val="22"/>
        </w:rPr>
        <w:t xml:space="preserve">Discussed </w:t>
      </w:r>
      <w:r w:rsidR="00F759E7">
        <w:rPr>
          <w:rFonts w:ascii="Calibri" w:eastAsia="Calibri" w:hAnsi="Calibri" w:cs="Calibri"/>
          <w:sz w:val="22"/>
          <w:szCs w:val="22"/>
        </w:rPr>
        <w:t xml:space="preserve">and agreed to have the </w:t>
      </w:r>
      <w:r w:rsidRPr="50EF6944">
        <w:rPr>
          <w:rFonts w:ascii="Calibri" w:eastAsia="Calibri" w:hAnsi="Calibri" w:cs="Calibri"/>
          <w:sz w:val="22"/>
          <w:szCs w:val="22"/>
        </w:rPr>
        <w:t>Life Insurance Online Guide (A) Working Group focus on updating life insurance information on the NAIC website.</w:t>
      </w:r>
      <w:r w:rsidR="00C16A16">
        <w:rPr>
          <w:rFonts w:ascii="Calibri" w:eastAsia="Calibri" w:hAnsi="Calibri" w:cs="Calibri"/>
          <w:sz w:val="22"/>
          <w:szCs w:val="22"/>
        </w:rPr>
        <w:t xml:space="preserve"> </w:t>
      </w:r>
      <w:r w:rsidR="00F3122A">
        <w:rPr>
          <w:rFonts w:ascii="Calibri" w:eastAsia="Calibri" w:hAnsi="Calibri" w:cs="Calibri"/>
          <w:sz w:val="22"/>
          <w:szCs w:val="22"/>
        </w:rPr>
        <w:t>State insurance r</w:t>
      </w:r>
      <w:r w:rsidR="00C16A16">
        <w:rPr>
          <w:rFonts w:ascii="Calibri" w:eastAsia="Calibri" w:hAnsi="Calibri" w:cs="Calibri"/>
          <w:sz w:val="22"/>
          <w:szCs w:val="22"/>
        </w:rPr>
        <w:t xml:space="preserve">egulators interested in participating </w:t>
      </w:r>
      <w:r w:rsidR="002763A6">
        <w:rPr>
          <w:rFonts w:ascii="Calibri" w:eastAsia="Calibri" w:hAnsi="Calibri" w:cs="Calibri"/>
          <w:sz w:val="22"/>
          <w:szCs w:val="22"/>
        </w:rPr>
        <w:t xml:space="preserve">in the Working Group </w:t>
      </w:r>
      <w:r w:rsidR="003A7915">
        <w:rPr>
          <w:rFonts w:ascii="Calibri" w:eastAsia="Calibri" w:hAnsi="Calibri" w:cs="Calibri"/>
          <w:sz w:val="22"/>
          <w:szCs w:val="22"/>
        </w:rPr>
        <w:t>can contact Jennifer Cook (NAIC)</w:t>
      </w:r>
      <w:r w:rsidR="002763A6">
        <w:rPr>
          <w:rFonts w:ascii="Calibri" w:eastAsia="Calibri" w:hAnsi="Calibri" w:cs="Calibri"/>
          <w:sz w:val="22"/>
          <w:szCs w:val="22"/>
        </w:rPr>
        <w:t>.</w:t>
      </w:r>
    </w:p>
    <w:p w14:paraId="17E8CE63" w14:textId="78F84C0C" w:rsidR="50EF6944" w:rsidRDefault="50EF6944">
      <w:pPr>
        <w:tabs>
          <w:tab w:val="left" w:pos="360"/>
        </w:tabs>
        <w:ind w:left="360" w:hanging="360"/>
        <w:jc w:val="both"/>
      </w:pPr>
      <w:r w:rsidRPr="50EF6944">
        <w:rPr>
          <w:rFonts w:ascii="Calibri" w:eastAsia="Calibri" w:hAnsi="Calibri" w:cs="Calibri"/>
          <w:sz w:val="22"/>
          <w:szCs w:val="22"/>
        </w:rPr>
        <w:t xml:space="preserve"> </w:t>
      </w:r>
    </w:p>
    <w:p w14:paraId="719068FF" w14:textId="56511649" w:rsidR="50EF6944" w:rsidRDefault="50EF6944">
      <w:pPr>
        <w:tabs>
          <w:tab w:val="left" w:pos="360"/>
        </w:tabs>
        <w:ind w:left="360" w:hanging="360"/>
        <w:jc w:val="both"/>
      </w:pPr>
      <w:r w:rsidRPr="50EF6944">
        <w:rPr>
          <w:rFonts w:ascii="Calibri" w:eastAsia="Calibri" w:hAnsi="Calibri" w:cs="Calibri"/>
          <w:sz w:val="22"/>
          <w:szCs w:val="22"/>
        </w:rPr>
        <w:t>7.</w:t>
      </w:r>
      <w:r>
        <w:tab/>
      </w:r>
      <w:r w:rsidR="00F3122A">
        <w:rPr>
          <w:rFonts w:ascii="Calibri" w:eastAsia="Calibri" w:hAnsi="Calibri" w:cs="Calibri"/>
          <w:sz w:val="22"/>
          <w:szCs w:val="22"/>
        </w:rPr>
        <w:t>Received</w:t>
      </w:r>
      <w:r w:rsidR="00F3122A" w:rsidRPr="50EF6944">
        <w:rPr>
          <w:rFonts w:ascii="Calibri" w:eastAsia="Calibri" w:hAnsi="Calibri" w:cs="Calibri"/>
          <w:sz w:val="22"/>
          <w:szCs w:val="22"/>
        </w:rPr>
        <w:t xml:space="preserve"> </w:t>
      </w:r>
      <w:r w:rsidRPr="50EF6944">
        <w:rPr>
          <w:rFonts w:ascii="Calibri" w:eastAsia="Calibri" w:hAnsi="Calibri" w:cs="Calibri"/>
          <w:sz w:val="22"/>
          <w:szCs w:val="22"/>
        </w:rPr>
        <w:t>an update from Workstream Four of the Special (EX) Committee on Race and Insurance</w:t>
      </w:r>
      <w:r w:rsidR="00F3122A">
        <w:rPr>
          <w:rFonts w:ascii="Calibri" w:eastAsia="Calibri" w:hAnsi="Calibri" w:cs="Calibri"/>
          <w:sz w:val="22"/>
          <w:szCs w:val="22"/>
        </w:rPr>
        <w:t>. The Workstream</w:t>
      </w:r>
      <w:r w:rsidRPr="50EF6944">
        <w:rPr>
          <w:rFonts w:ascii="Calibri" w:eastAsia="Calibri" w:hAnsi="Calibri" w:cs="Calibri"/>
          <w:sz w:val="22"/>
          <w:szCs w:val="22"/>
        </w:rPr>
        <w:t xml:space="preserve"> plans to schedule future presentations to hear about marketing and distribution in underserved communities from the agent perspective.</w:t>
      </w:r>
      <w:r w:rsidRPr="50EF6944">
        <w:rPr>
          <w:b/>
          <w:bCs/>
          <w:sz w:val="22"/>
          <w:szCs w:val="22"/>
        </w:rPr>
        <w:t xml:space="preserve"> </w:t>
      </w:r>
    </w:p>
    <w:p w14:paraId="23D82E93" w14:textId="416CA708" w:rsidR="50EF6944" w:rsidRDefault="50EF6944" w:rsidP="50EF6944">
      <w:pPr>
        <w:tabs>
          <w:tab w:val="left" w:pos="360"/>
        </w:tabs>
        <w:ind w:left="360" w:hanging="360"/>
        <w:jc w:val="both"/>
        <w:rPr>
          <w:b/>
          <w:bCs/>
          <w:sz w:val="22"/>
          <w:szCs w:val="22"/>
        </w:rPr>
      </w:pPr>
    </w:p>
    <w:p w14:paraId="108FB1E2" w14:textId="4326E082" w:rsidR="00A35A1A" w:rsidRPr="00CD1B47" w:rsidRDefault="00A35A1A" w:rsidP="00CD1B47"/>
    <w:sectPr w:rsidR="00A35A1A" w:rsidRPr="00CD1B47" w:rsidSect="00FA5D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59" w:right="1440" w:bottom="1440" w:left="1440" w:header="720" w:footer="7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696E" w14:textId="77777777" w:rsidR="00653E5C" w:rsidRDefault="00653E5C" w:rsidP="00C66EDC">
      <w:r>
        <w:separator/>
      </w:r>
    </w:p>
  </w:endnote>
  <w:endnote w:type="continuationSeparator" w:id="0">
    <w:p w14:paraId="62527EDC" w14:textId="77777777" w:rsidR="00653E5C" w:rsidRDefault="00653E5C" w:rsidP="00C66EDC">
      <w:r>
        <w:continuationSeparator/>
      </w:r>
    </w:p>
  </w:endnote>
  <w:endnote w:type="continuationNotice" w:id="1">
    <w:p w14:paraId="65073558" w14:textId="77777777" w:rsidR="00653E5C" w:rsidRDefault="00653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70" w14:textId="271F43A2" w:rsidR="00511F4E" w:rsidRDefault="00511F4E" w:rsidP="00D504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0" behindDoc="1" locked="0" layoutInCell="1" allowOverlap="1" wp14:anchorId="0F7139BB" wp14:editId="7D1F30FF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92B0" w14:textId="77777777" w:rsidR="009972C5" w:rsidRPr="00511F4E" w:rsidRDefault="009972C5" w:rsidP="009972C5">
    <w:pPr>
      <w:pStyle w:val="Footer"/>
      <w:framePr w:w="301" w:wrap="notBeside" w:vAnchor="page" w:hAnchor="page" w:x="11079" w:y="14977" w:anchorLock="1"/>
      <w:jc w:val="right"/>
      <w:rPr>
        <w:rStyle w:val="PageNumber"/>
        <w:rFonts w:ascii="Arial" w:hAnsi="Arial" w:cs="Arial"/>
        <w:color w:val="929292"/>
        <w:sz w:val="18"/>
        <w:szCs w:val="18"/>
      </w:rPr>
    </w:pPr>
    <w:r w:rsidRPr="00511F4E">
      <w:rPr>
        <w:rStyle w:val="PageNumber"/>
        <w:rFonts w:ascii="Arial" w:hAnsi="Arial" w:cs="Arial"/>
        <w:color w:val="929292"/>
        <w:sz w:val="18"/>
        <w:szCs w:val="18"/>
      </w:rPr>
      <w:fldChar w:fldCharType="begin"/>
    </w:r>
    <w:r w:rsidRPr="00511F4E">
      <w:rPr>
        <w:rStyle w:val="PageNumber"/>
        <w:rFonts w:ascii="Arial" w:hAnsi="Arial" w:cs="Arial"/>
        <w:color w:val="929292"/>
        <w:sz w:val="18"/>
        <w:szCs w:val="18"/>
      </w:rPr>
      <w:instrText xml:space="preserve"> PAGE </w:instrText>
    </w:r>
    <w:r w:rsidRPr="00511F4E">
      <w:rPr>
        <w:rStyle w:val="PageNumber"/>
        <w:rFonts w:ascii="Arial" w:hAnsi="Arial" w:cs="Arial"/>
        <w:color w:val="929292"/>
        <w:sz w:val="18"/>
        <w:szCs w:val="18"/>
      </w:rPr>
      <w:fldChar w:fldCharType="separate"/>
    </w:r>
    <w:r>
      <w:rPr>
        <w:rStyle w:val="PageNumber"/>
        <w:rFonts w:ascii="Arial" w:hAnsi="Arial" w:cs="Arial"/>
        <w:color w:val="929292"/>
        <w:sz w:val="18"/>
        <w:szCs w:val="18"/>
      </w:rPr>
      <w:t>2</w:t>
    </w:r>
    <w:r w:rsidRPr="00511F4E">
      <w:rPr>
        <w:rStyle w:val="PageNumber"/>
        <w:rFonts w:ascii="Arial" w:hAnsi="Arial" w:cs="Arial"/>
        <w:color w:val="929292"/>
        <w:sz w:val="18"/>
        <w:szCs w:val="18"/>
      </w:rPr>
      <w:fldChar w:fldCharType="end"/>
    </w:r>
  </w:p>
  <w:p w14:paraId="379FC0CB" w14:textId="46FC9238" w:rsidR="009972C5" w:rsidRDefault="009972C5">
    <w:pPr>
      <w:pStyle w:val="Footer"/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1" behindDoc="1" locked="0" layoutInCell="1" allowOverlap="1" wp14:anchorId="62825B36" wp14:editId="3C877622">
          <wp:simplePos x="0" y="0"/>
          <wp:positionH relativeFrom="page">
            <wp:posOffset>0</wp:posOffset>
          </wp:positionH>
          <wp:positionV relativeFrom="page">
            <wp:posOffset>9369425</wp:posOffset>
          </wp:positionV>
          <wp:extent cx="73152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1636" w14:textId="77777777" w:rsidR="00653E5C" w:rsidRDefault="00653E5C" w:rsidP="00C66EDC">
      <w:r>
        <w:separator/>
      </w:r>
    </w:p>
  </w:footnote>
  <w:footnote w:type="continuationSeparator" w:id="0">
    <w:p w14:paraId="432058CD" w14:textId="77777777" w:rsidR="00653E5C" w:rsidRDefault="00653E5C" w:rsidP="00C66EDC">
      <w:r>
        <w:continuationSeparator/>
      </w:r>
    </w:p>
  </w:footnote>
  <w:footnote w:type="continuationNotice" w:id="1">
    <w:p w14:paraId="2BFC3302" w14:textId="77777777" w:rsidR="00653E5C" w:rsidRDefault="00653E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4C7E" w14:textId="77777777" w:rsidR="003551C5" w:rsidRDefault="00355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B971" w14:textId="39570DA7" w:rsidR="009972C5" w:rsidRDefault="009972C5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9FD93BA" wp14:editId="266493DD">
          <wp:simplePos x="0" y="0"/>
          <wp:positionH relativeFrom="page">
            <wp:posOffset>5945559</wp:posOffset>
          </wp:positionH>
          <wp:positionV relativeFrom="page">
            <wp:posOffset>0</wp:posOffset>
          </wp:positionV>
          <wp:extent cx="1834025" cy="10698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025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54C9" w14:textId="40F467A6" w:rsidR="009972C5" w:rsidRDefault="00C646EE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2812ED9B" wp14:editId="064F5D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45152" cy="1069848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5152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53825"/>
    <w:multiLevelType w:val="hybridMultilevel"/>
    <w:tmpl w:val="6436E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D90BC16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5" w15:restartNumberingAfterBreak="0">
    <w:nsid w:val="5828EE7C"/>
    <w:multiLevelType w:val="hybridMultilevel"/>
    <w:tmpl w:val="8FC051E4"/>
    <w:lvl w:ilvl="0" w:tplc="0964B74C">
      <w:start w:val="1"/>
      <w:numFmt w:val="decimal"/>
      <w:lvlText w:val="%1."/>
      <w:lvlJc w:val="left"/>
      <w:pPr>
        <w:ind w:left="360" w:hanging="360"/>
      </w:pPr>
    </w:lvl>
    <w:lvl w:ilvl="1" w:tplc="74A8E2A2">
      <w:start w:val="1"/>
      <w:numFmt w:val="lowerLetter"/>
      <w:lvlText w:val="%2."/>
      <w:lvlJc w:val="left"/>
      <w:pPr>
        <w:ind w:left="1080" w:hanging="360"/>
      </w:pPr>
    </w:lvl>
    <w:lvl w:ilvl="2" w:tplc="E23492E2">
      <w:start w:val="1"/>
      <w:numFmt w:val="lowerRoman"/>
      <w:lvlText w:val="%3."/>
      <w:lvlJc w:val="right"/>
      <w:pPr>
        <w:ind w:left="1800" w:hanging="180"/>
      </w:pPr>
    </w:lvl>
    <w:lvl w:ilvl="3" w:tplc="7E702A5E">
      <w:start w:val="1"/>
      <w:numFmt w:val="decimal"/>
      <w:lvlText w:val="%4."/>
      <w:lvlJc w:val="left"/>
      <w:pPr>
        <w:ind w:left="2520" w:hanging="360"/>
      </w:pPr>
    </w:lvl>
    <w:lvl w:ilvl="4" w:tplc="DC4CFFC2">
      <w:start w:val="1"/>
      <w:numFmt w:val="lowerLetter"/>
      <w:lvlText w:val="%5."/>
      <w:lvlJc w:val="left"/>
      <w:pPr>
        <w:ind w:left="3240" w:hanging="360"/>
      </w:pPr>
    </w:lvl>
    <w:lvl w:ilvl="5" w:tplc="58D41BE2">
      <w:start w:val="1"/>
      <w:numFmt w:val="lowerRoman"/>
      <w:lvlText w:val="%6."/>
      <w:lvlJc w:val="right"/>
      <w:pPr>
        <w:ind w:left="3960" w:hanging="180"/>
      </w:pPr>
    </w:lvl>
    <w:lvl w:ilvl="6" w:tplc="002CDEC6">
      <w:start w:val="1"/>
      <w:numFmt w:val="decimal"/>
      <w:lvlText w:val="%7."/>
      <w:lvlJc w:val="left"/>
      <w:pPr>
        <w:ind w:left="4680" w:hanging="360"/>
      </w:pPr>
    </w:lvl>
    <w:lvl w:ilvl="7" w:tplc="F1422ED6">
      <w:start w:val="1"/>
      <w:numFmt w:val="lowerLetter"/>
      <w:lvlText w:val="%8."/>
      <w:lvlJc w:val="left"/>
      <w:pPr>
        <w:ind w:left="5400" w:hanging="360"/>
      </w:pPr>
    </w:lvl>
    <w:lvl w:ilvl="8" w:tplc="4EEAF6C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2C0AFD"/>
    <w:multiLevelType w:val="hybridMultilevel"/>
    <w:tmpl w:val="82A8FF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10643"/>
    <w:multiLevelType w:val="hybridMultilevel"/>
    <w:tmpl w:val="C4184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F12C0"/>
    <w:multiLevelType w:val="hybridMultilevel"/>
    <w:tmpl w:val="1714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F7A7E"/>
    <w:multiLevelType w:val="hybridMultilevel"/>
    <w:tmpl w:val="FC1A0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8858747">
    <w:abstractNumId w:val="5"/>
  </w:num>
  <w:num w:numId="2" w16cid:durableId="2061439799">
    <w:abstractNumId w:val="3"/>
  </w:num>
  <w:num w:numId="3" w16cid:durableId="537469846">
    <w:abstractNumId w:val="4"/>
  </w:num>
  <w:num w:numId="4" w16cid:durableId="1170756380">
    <w:abstractNumId w:val="14"/>
  </w:num>
  <w:num w:numId="5" w16cid:durableId="1539733606">
    <w:abstractNumId w:val="11"/>
  </w:num>
  <w:num w:numId="6" w16cid:durableId="1170800730">
    <w:abstractNumId w:val="8"/>
  </w:num>
  <w:num w:numId="7" w16cid:durableId="2042902725">
    <w:abstractNumId w:val="7"/>
  </w:num>
  <w:num w:numId="8" w16cid:durableId="1674380621">
    <w:abstractNumId w:val="13"/>
  </w:num>
  <w:num w:numId="9" w16cid:durableId="1408385568">
    <w:abstractNumId w:val="2"/>
  </w:num>
  <w:num w:numId="10" w16cid:durableId="1939631929">
    <w:abstractNumId w:val="0"/>
  </w:num>
  <w:num w:numId="11" w16cid:durableId="11078446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22104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8663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34336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3828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3013C"/>
    <w:rsid w:val="00045304"/>
    <w:rsid w:val="000477F3"/>
    <w:rsid w:val="00051BC8"/>
    <w:rsid w:val="00057158"/>
    <w:rsid w:val="00064C47"/>
    <w:rsid w:val="00094FF4"/>
    <w:rsid w:val="00096737"/>
    <w:rsid w:val="000A278E"/>
    <w:rsid w:val="000B5135"/>
    <w:rsid w:val="000D1D4B"/>
    <w:rsid w:val="000D2EE3"/>
    <w:rsid w:val="000D4163"/>
    <w:rsid w:val="000F727A"/>
    <w:rsid w:val="00121A50"/>
    <w:rsid w:val="00123C05"/>
    <w:rsid w:val="00123DF3"/>
    <w:rsid w:val="00130295"/>
    <w:rsid w:val="00135A8F"/>
    <w:rsid w:val="00136C34"/>
    <w:rsid w:val="001423C0"/>
    <w:rsid w:val="00147488"/>
    <w:rsid w:val="00152205"/>
    <w:rsid w:val="0015390E"/>
    <w:rsid w:val="001568A3"/>
    <w:rsid w:val="0016109D"/>
    <w:rsid w:val="00196E87"/>
    <w:rsid w:val="001A705D"/>
    <w:rsid w:val="001B1102"/>
    <w:rsid w:val="001B2FF8"/>
    <w:rsid w:val="001C4466"/>
    <w:rsid w:val="001D3091"/>
    <w:rsid w:val="001D4424"/>
    <w:rsid w:val="00202E9C"/>
    <w:rsid w:val="002074A8"/>
    <w:rsid w:val="00217281"/>
    <w:rsid w:val="00225095"/>
    <w:rsid w:val="002354F8"/>
    <w:rsid w:val="00236F94"/>
    <w:rsid w:val="00250745"/>
    <w:rsid w:val="00256BB9"/>
    <w:rsid w:val="00264BCC"/>
    <w:rsid w:val="00267535"/>
    <w:rsid w:val="002763A6"/>
    <w:rsid w:val="002808B1"/>
    <w:rsid w:val="0028799C"/>
    <w:rsid w:val="002A5310"/>
    <w:rsid w:val="002C536F"/>
    <w:rsid w:val="002C7D24"/>
    <w:rsid w:val="002D69A9"/>
    <w:rsid w:val="002F53B6"/>
    <w:rsid w:val="002F6413"/>
    <w:rsid w:val="00303D7E"/>
    <w:rsid w:val="00306349"/>
    <w:rsid w:val="00332B4F"/>
    <w:rsid w:val="00335DC7"/>
    <w:rsid w:val="003551C5"/>
    <w:rsid w:val="003553EB"/>
    <w:rsid w:val="00363AE4"/>
    <w:rsid w:val="00363BD9"/>
    <w:rsid w:val="003809F1"/>
    <w:rsid w:val="003819FE"/>
    <w:rsid w:val="00384BF8"/>
    <w:rsid w:val="003A5541"/>
    <w:rsid w:val="003A7915"/>
    <w:rsid w:val="003C24F0"/>
    <w:rsid w:val="003E18F6"/>
    <w:rsid w:val="003F1480"/>
    <w:rsid w:val="003F2683"/>
    <w:rsid w:val="00410D7B"/>
    <w:rsid w:val="004157AA"/>
    <w:rsid w:val="00416003"/>
    <w:rsid w:val="00422952"/>
    <w:rsid w:val="00424EFE"/>
    <w:rsid w:val="004468A0"/>
    <w:rsid w:val="0047291D"/>
    <w:rsid w:val="00475834"/>
    <w:rsid w:val="0047799C"/>
    <w:rsid w:val="00493CFB"/>
    <w:rsid w:val="004958D6"/>
    <w:rsid w:val="004B094A"/>
    <w:rsid w:val="004B097A"/>
    <w:rsid w:val="004B0B7B"/>
    <w:rsid w:val="004C3BE9"/>
    <w:rsid w:val="004C3CC9"/>
    <w:rsid w:val="004D1D90"/>
    <w:rsid w:val="004D4D55"/>
    <w:rsid w:val="004D7E1D"/>
    <w:rsid w:val="004E0DC7"/>
    <w:rsid w:val="004F11FF"/>
    <w:rsid w:val="00506049"/>
    <w:rsid w:val="00511F4E"/>
    <w:rsid w:val="00517539"/>
    <w:rsid w:val="00520B37"/>
    <w:rsid w:val="005216F6"/>
    <w:rsid w:val="00523DBC"/>
    <w:rsid w:val="00525A9C"/>
    <w:rsid w:val="0054122E"/>
    <w:rsid w:val="00541558"/>
    <w:rsid w:val="00547D79"/>
    <w:rsid w:val="00554BB8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265"/>
    <w:rsid w:val="005E3BA4"/>
    <w:rsid w:val="005E5C0E"/>
    <w:rsid w:val="005F6569"/>
    <w:rsid w:val="006004FB"/>
    <w:rsid w:val="00600D08"/>
    <w:rsid w:val="006045B2"/>
    <w:rsid w:val="00621C1A"/>
    <w:rsid w:val="006220B4"/>
    <w:rsid w:val="00637CFD"/>
    <w:rsid w:val="00640FF3"/>
    <w:rsid w:val="00650EC1"/>
    <w:rsid w:val="00652C69"/>
    <w:rsid w:val="00653E5C"/>
    <w:rsid w:val="006639AA"/>
    <w:rsid w:val="00673D3F"/>
    <w:rsid w:val="0068630B"/>
    <w:rsid w:val="0069132E"/>
    <w:rsid w:val="00696FE8"/>
    <w:rsid w:val="006A2F99"/>
    <w:rsid w:val="006A68B5"/>
    <w:rsid w:val="006B7673"/>
    <w:rsid w:val="006C04A8"/>
    <w:rsid w:val="006C6ED7"/>
    <w:rsid w:val="006D6261"/>
    <w:rsid w:val="006F3808"/>
    <w:rsid w:val="006F5CF2"/>
    <w:rsid w:val="006F6819"/>
    <w:rsid w:val="006F70A1"/>
    <w:rsid w:val="007071DC"/>
    <w:rsid w:val="00711FC1"/>
    <w:rsid w:val="00731BA4"/>
    <w:rsid w:val="00737E01"/>
    <w:rsid w:val="00742D22"/>
    <w:rsid w:val="00751BC4"/>
    <w:rsid w:val="007574A2"/>
    <w:rsid w:val="007A7738"/>
    <w:rsid w:val="007B3CC1"/>
    <w:rsid w:val="007B7C24"/>
    <w:rsid w:val="007C3224"/>
    <w:rsid w:val="007C78E5"/>
    <w:rsid w:val="007D4BB4"/>
    <w:rsid w:val="007E4010"/>
    <w:rsid w:val="007F2528"/>
    <w:rsid w:val="007F4D07"/>
    <w:rsid w:val="00813ABF"/>
    <w:rsid w:val="00814416"/>
    <w:rsid w:val="008152A5"/>
    <w:rsid w:val="008223DA"/>
    <w:rsid w:val="00846403"/>
    <w:rsid w:val="008467E6"/>
    <w:rsid w:val="00863D34"/>
    <w:rsid w:val="00875DE2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D0F9D"/>
    <w:rsid w:val="008F4B6B"/>
    <w:rsid w:val="008F599F"/>
    <w:rsid w:val="008F7B49"/>
    <w:rsid w:val="00902015"/>
    <w:rsid w:val="00903AF0"/>
    <w:rsid w:val="00917514"/>
    <w:rsid w:val="009210CE"/>
    <w:rsid w:val="009510CB"/>
    <w:rsid w:val="00963579"/>
    <w:rsid w:val="00973475"/>
    <w:rsid w:val="00982F01"/>
    <w:rsid w:val="009972C5"/>
    <w:rsid w:val="009A11EB"/>
    <w:rsid w:val="009A3F06"/>
    <w:rsid w:val="009A5345"/>
    <w:rsid w:val="009B21AD"/>
    <w:rsid w:val="009D7AB6"/>
    <w:rsid w:val="009E6961"/>
    <w:rsid w:val="009E7978"/>
    <w:rsid w:val="009F28DD"/>
    <w:rsid w:val="00A01411"/>
    <w:rsid w:val="00A02629"/>
    <w:rsid w:val="00A035AB"/>
    <w:rsid w:val="00A04428"/>
    <w:rsid w:val="00A12670"/>
    <w:rsid w:val="00A307FE"/>
    <w:rsid w:val="00A35543"/>
    <w:rsid w:val="00A35A1A"/>
    <w:rsid w:val="00A503C8"/>
    <w:rsid w:val="00A87CF1"/>
    <w:rsid w:val="00A91CB1"/>
    <w:rsid w:val="00A961FC"/>
    <w:rsid w:val="00AA2382"/>
    <w:rsid w:val="00AA5D9A"/>
    <w:rsid w:val="00AA697D"/>
    <w:rsid w:val="00AC6448"/>
    <w:rsid w:val="00AD139E"/>
    <w:rsid w:val="00AD2D6E"/>
    <w:rsid w:val="00AD53C3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7330D"/>
    <w:rsid w:val="00B773C5"/>
    <w:rsid w:val="00B8235A"/>
    <w:rsid w:val="00B91EEA"/>
    <w:rsid w:val="00B95BE8"/>
    <w:rsid w:val="00BA329D"/>
    <w:rsid w:val="00BA4ED6"/>
    <w:rsid w:val="00BA545F"/>
    <w:rsid w:val="00BB484D"/>
    <w:rsid w:val="00BC1A12"/>
    <w:rsid w:val="00BC312B"/>
    <w:rsid w:val="00BD05AA"/>
    <w:rsid w:val="00BE3058"/>
    <w:rsid w:val="00C05737"/>
    <w:rsid w:val="00C06394"/>
    <w:rsid w:val="00C07F2D"/>
    <w:rsid w:val="00C16A16"/>
    <w:rsid w:val="00C16AD6"/>
    <w:rsid w:val="00C223E2"/>
    <w:rsid w:val="00C22FB3"/>
    <w:rsid w:val="00C3481C"/>
    <w:rsid w:val="00C36A82"/>
    <w:rsid w:val="00C40D21"/>
    <w:rsid w:val="00C45D23"/>
    <w:rsid w:val="00C465D0"/>
    <w:rsid w:val="00C56F59"/>
    <w:rsid w:val="00C64618"/>
    <w:rsid w:val="00C646EE"/>
    <w:rsid w:val="00C66EDC"/>
    <w:rsid w:val="00C72EC3"/>
    <w:rsid w:val="00C856A5"/>
    <w:rsid w:val="00C8784E"/>
    <w:rsid w:val="00CA2DEC"/>
    <w:rsid w:val="00CC111E"/>
    <w:rsid w:val="00CC445D"/>
    <w:rsid w:val="00CC452D"/>
    <w:rsid w:val="00CD1B47"/>
    <w:rsid w:val="00CD4E7E"/>
    <w:rsid w:val="00CE2873"/>
    <w:rsid w:val="00CE6078"/>
    <w:rsid w:val="00CE7CB7"/>
    <w:rsid w:val="00CF6EF4"/>
    <w:rsid w:val="00D05D11"/>
    <w:rsid w:val="00D170B7"/>
    <w:rsid w:val="00D33D1D"/>
    <w:rsid w:val="00D42C2E"/>
    <w:rsid w:val="00D430D2"/>
    <w:rsid w:val="00D522D3"/>
    <w:rsid w:val="00D93FA5"/>
    <w:rsid w:val="00D96538"/>
    <w:rsid w:val="00DA00FC"/>
    <w:rsid w:val="00DA24D0"/>
    <w:rsid w:val="00DB6869"/>
    <w:rsid w:val="00DB73F0"/>
    <w:rsid w:val="00DD3E91"/>
    <w:rsid w:val="00DE2014"/>
    <w:rsid w:val="00DE2D7E"/>
    <w:rsid w:val="00DE37F5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2ACD"/>
    <w:rsid w:val="00E61622"/>
    <w:rsid w:val="00E71DC9"/>
    <w:rsid w:val="00E84384"/>
    <w:rsid w:val="00E87036"/>
    <w:rsid w:val="00E87F56"/>
    <w:rsid w:val="00E94737"/>
    <w:rsid w:val="00EA17A3"/>
    <w:rsid w:val="00EA6AAC"/>
    <w:rsid w:val="00EB40FD"/>
    <w:rsid w:val="00EC0A63"/>
    <w:rsid w:val="00ED05CD"/>
    <w:rsid w:val="00ED6417"/>
    <w:rsid w:val="00EF123F"/>
    <w:rsid w:val="00EF190A"/>
    <w:rsid w:val="00EF2754"/>
    <w:rsid w:val="00F04F13"/>
    <w:rsid w:val="00F222C9"/>
    <w:rsid w:val="00F23C38"/>
    <w:rsid w:val="00F3122A"/>
    <w:rsid w:val="00F33D46"/>
    <w:rsid w:val="00F37932"/>
    <w:rsid w:val="00F37F36"/>
    <w:rsid w:val="00F412A0"/>
    <w:rsid w:val="00F4205F"/>
    <w:rsid w:val="00F43036"/>
    <w:rsid w:val="00F64009"/>
    <w:rsid w:val="00F7404D"/>
    <w:rsid w:val="00F759E7"/>
    <w:rsid w:val="00F8571B"/>
    <w:rsid w:val="00FA247B"/>
    <w:rsid w:val="00FA5D9D"/>
    <w:rsid w:val="00FB4DEC"/>
    <w:rsid w:val="00FC7BF9"/>
    <w:rsid w:val="00FD2273"/>
    <w:rsid w:val="00FE0EB5"/>
    <w:rsid w:val="00FE2C06"/>
    <w:rsid w:val="00FE7A98"/>
    <w:rsid w:val="00FF337A"/>
    <w:rsid w:val="00FF53AD"/>
    <w:rsid w:val="038C4B16"/>
    <w:rsid w:val="07CB8ACA"/>
    <w:rsid w:val="0EBD9015"/>
    <w:rsid w:val="1C42BFC5"/>
    <w:rsid w:val="1DDE9026"/>
    <w:rsid w:val="1E287F46"/>
    <w:rsid w:val="349CA9BD"/>
    <w:rsid w:val="35887F2A"/>
    <w:rsid w:val="37D6DA32"/>
    <w:rsid w:val="3E46B32E"/>
    <w:rsid w:val="40D31F57"/>
    <w:rsid w:val="40F26DD7"/>
    <w:rsid w:val="41001CD9"/>
    <w:rsid w:val="45A6907A"/>
    <w:rsid w:val="46201873"/>
    <w:rsid w:val="48DE313C"/>
    <w:rsid w:val="4B4CAEAD"/>
    <w:rsid w:val="4DB7C882"/>
    <w:rsid w:val="50EF6944"/>
    <w:rsid w:val="58DE53D4"/>
    <w:rsid w:val="5A9E3910"/>
    <w:rsid w:val="5C3A0971"/>
    <w:rsid w:val="5D25DEDE"/>
    <w:rsid w:val="5F71AA33"/>
    <w:rsid w:val="6D82BFFC"/>
    <w:rsid w:val="76D1AA17"/>
    <w:rsid w:val="7D219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rtLink1">
    <w:name w:val="SmartLink1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2022-05-17T05:00:00+00:00</_EndDate>
    <StartDate xmlns="http://schemas.microsoft.com/sharepoint/v3">2022-05-17T05:00:00+00:00</StartDate>
    <Location xmlns="http://schemas.microsoft.com/sharepoint/v3/fields" xsi:nil="true"/>
    <Meeting_x0020_Type xmlns="734dc620-9a3c-4363-b6b2-552d0a5c0ad8">Summer National</Meeting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7520B-951E-4480-867B-781294D0D2F0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61cd0a6-3540-476f-bf37-77e64978123e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B6ECA7-35FE-4637-A428-65608DB4E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Cook, Jennifer R.</cp:lastModifiedBy>
  <cp:revision>2</cp:revision>
  <cp:lastPrinted>2022-02-18T19:56:00Z</cp:lastPrinted>
  <dcterms:created xsi:type="dcterms:W3CDTF">2022-08-12T03:06:00Z</dcterms:created>
  <dcterms:modified xsi:type="dcterms:W3CDTF">2022-08-12T03:06:00Z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</Properties>
</file>