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11F2D" w14:textId="0E4FB634" w:rsidR="00A66DA9" w:rsidRPr="005D286F" w:rsidRDefault="00A66DA9" w:rsidP="004223D9">
      <w:pPr>
        <w:pStyle w:val="Heading5"/>
        <w:jc w:val="center"/>
        <w:rPr>
          <w:bCs/>
          <w:sz w:val="22"/>
          <w:szCs w:val="22"/>
        </w:rPr>
      </w:pPr>
      <w:r w:rsidRPr="005D286F">
        <w:rPr>
          <w:bCs/>
          <w:sz w:val="22"/>
          <w:szCs w:val="22"/>
        </w:rPr>
        <w:t xml:space="preserve">Statutory Accounting Principles </w:t>
      </w:r>
      <w:r w:rsidR="00447F20" w:rsidRPr="005D286F">
        <w:rPr>
          <w:bCs/>
          <w:sz w:val="22"/>
          <w:szCs w:val="22"/>
        </w:rPr>
        <w:t xml:space="preserve">(E) </w:t>
      </w:r>
      <w:r w:rsidRPr="005D286F">
        <w:rPr>
          <w:bCs/>
          <w:sz w:val="22"/>
          <w:szCs w:val="22"/>
        </w:rPr>
        <w:t>Working Group</w:t>
      </w:r>
    </w:p>
    <w:p w14:paraId="2865CB61" w14:textId="5DF9115B" w:rsidR="0070244F" w:rsidRPr="00E40278" w:rsidRDefault="0070244F" w:rsidP="004C0F15">
      <w:pPr>
        <w:pStyle w:val="Heading5"/>
        <w:tabs>
          <w:tab w:val="left" w:pos="7200"/>
        </w:tabs>
        <w:jc w:val="center"/>
        <w:rPr>
          <w:bCs/>
          <w:sz w:val="22"/>
          <w:szCs w:val="22"/>
        </w:rPr>
      </w:pPr>
      <w:r w:rsidRPr="00E40278">
        <w:rPr>
          <w:bCs/>
          <w:sz w:val="22"/>
          <w:szCs w:val="22"/>
        </w:rPr>
        <w:t>Hearing Agenda</w:t>
      </w:r>
      <w:r w:rsidR="00D321EB" w:rsidRPr="00E40278">
        <w:rPr>
          <w:bCs/>
          <w:sz w:val="22"/>
          <w:szCs w:val="22"/>
        </w:rPr>
        <w:t xml:space="preserve"> </w:t>
      </w:r>
    </w:p>
    <w:p w14:paraId="64380D65" w14:textId="6901141F" w:rsidR="00422A26" w:rsidRPr="00E40278" w:rsidRDefault="004C0871" w:rsidP="004C0F15">
      <w:pPr>
        <w:pStyle w:val="Heading5"/>
        <w:tabs>
          <w:tab w:val="left" w:pos="7200"/>
        </w:tabs>
        <w:jc w:val="center"/>
        <w:rPr>
          <w:bCs/>
          <w:sz w:val="22"/>
          <w:szCs w:val="22"/>
        </w:rPr>
      </w:pPr>
      <w:r w:rsidRPr="00E40278">
        <w:rPr>
          <w:bCs/>
          <w:sz w:val="22"/>
          <w:szCs w:val="22"/>
        </w:rPr>
        <w:t>March</w:t>
      </w:r>
      <w:r w:rsidR="006F54EF" w:rsidRPr="00E40278">
        <w:rPr>
          <w:bCs/>
          <w:sz w:val="22"/>
          <w:szCs w:val="22"/>
        </w:rPr>
        <w:t xml:space="preserve"> </w:t>
      </w:r>
      <w:r w:rsidR="00E40278" w:rsidRPr="00E40278">
        <w:rPr>
          <w:bCs/>
          <w:sz w:val="22"/>
          <w:szCs w:val="22"/>
        </w:rPr>
        <w:t>22</w:t>
      </w:r>
      <w:r w:rsidR="00EE57AC" w:rsidRPr="00E40278">
        <w:rPr>
          <w:bCs/>
          <w:sz w:val="22"/>
          <w:szCs w:val="22"/>
        </w:rPr>
        <w:t>, 2</w:t>
      </w:r>
      <w:r w:rsidR="002D715D" w:rsidRPr="00E40278">
        <w:rPr>
          <w:bCs/>
          <w:sz w:val="22"/>
          <w:szCs w:val="22"/>
        </w:rPr>
        <w:t>0</w:t>
      </w:r>
      <w:r w:rsidR="00974554" w:rsidRPr="00E40278">
        <w:rPr>
          <w:bCs/>
          <w:sz w:val="22"/>
          <w:szCs w:val="22"/>
        </w:rPr>
        <w:t>23</w:t>
      </w:r>
    </w:p>
    <w:p w14:paraId="0E085A41" w14:textId="1737BA2F" w:rsidR="00907A9E" w:rsidRPr="00716810" w:rsidRDefault="0099009E" w:rsidP="00907A9E">
      <w:pPr>
        <w:jc w:val="center"/>
        <w:rPr>
          <w:b/>
          <w:sz w:val="22"/>
          <w:szCs w:val="22"/>
        </w:rPr>
      </w:pPr>
      <w:r w:rsidRPr="00716810">
        <w:rPr>
          <w:b/>
          <w:sz w:val="22"/>
          <w:szCs w:val="22"/>
        </w:rPr>
        <w:t>10</w:t>
      </w:r>
      <w:r w:rsidR="00010A6F" w:rsidRPr="00716810">
        <w:rPr>
          <w:b/>
          <w:sz w:val="22"/>
          <w:szCs w:val="22"/>
        </w:rPr>
        <w:t>:00</w:t>
      </w:r>
      <w:r w:rsidR="00680BB0" w:rsidRPr="00716810">
        <w:rPr>
          <w:b/>
          <w:sz w:val="22"/>
          <w:szCs w:val="22"/>
        </w:rPr>
        <w:t xml:space="preserve"> a.m</w:t>
      </w:r>
      <w:r w:rsidR="00777808" w:rsidRPr="00716810">
        <w:rPr>
          <w:b/>
          <w:sz w:val="22"/>
          <w:szCs w:val="22"/>
        </w:rPr>
        <w:t>.</w:t>
      </w:r>
      <w:r w:rsidR="008E7C1A" w:rsidRPr="00716810">
        <w:rPr>
          <w:b/>
          <w:sz w:val="22"/>
          <w:szCs w:val="22"/>
        </w:rPr>
        <w:t xml:space="preserve"> – </w:t>
      </w:r>
      <w:r w:rsidR="00B1129A" w:rsidRPr="00716810">
        <w:rPr>
          <w:b/>
          <w:sz w:val="22"/>
          <w:szCs w:val="22"/>
        </w:rPr>
        <w:t>12:00 p.m.</w:t>
      </w:r>
      <w:r w:rsidR="008E7C1A" w:rsidRPr="00716810">
        <w:rPr>
          <w:b/>
          <w:sz w:val="22"/>
          <w:szCs w:val="22"/>
        </w:rPr>
        <w:t xml:space="preserve"> (</w:t>
      </w:r>
      <w:r w:rsidR="00F43BF9" w:rsidRPr="00716810">
        <w:rPr>
          <w:b/>
          <w:sz w:val="22"/>
          <w:szCs w:val="22"/>
        </w:rPr>
        <w:t>E</w:t>
      </w:r>
      <w:r w:rsidR="00B1129A" w:rsidRPr="00716810">
        <w:rPr>
          <w:b/>
          <w:sz w:val="22"/>
          <w:szCs w:val="22"/>
        </w:rPr>
        <w:t>T</w:t>
      </w:r>
      <w:r w:rsidR="008E7C1A" w:rsidRPr="00716810">
        <w:rPr>
          <w:b/>
          <w:sz w:val="22"/>
          <w:szCs w:val="22"/>
        </w:rPr>
        <w:t>)</w:t>
      </w:r>
    </w:p>
    <w:p w14:paraId="5566CEA1" w14:textId="77777777" w:rsidR="006D5A9F" w:rsidRPr="005D286F" w:rsidRDefault="006D5A9F" w:rsidP="002B15DA">
      <w:pPr>
        <w:jc w:val="both"/>
        <w:rPr>
          <w:sz w:val="22"/>
          <w:szCs w:val="22"/>
        </w:rPr>
      </w:pPr>
    </w:p>
    <w:p w14:paraId="6411E8C1" w14:textId="77777777" w:rsidR="006D5A9F" w:rsidRPr="005D286F" w:rsidRDefault="002C5827" w:rsidP="004A3FAE">
      <w:pPr>
        <w:jc w:val="center"/>
        <w:rPr>
          <w:b/>
          <w:bCs/>
          <w:sz w:val="22"/>
          <w:szCs w:val="22"/>
          <w:u w:val="single"/>
        </w:rPr>
      </w:pPr>
      <w:r w:rsidRPr="005D286F">
        <w:rPr>
          <w:b/>
          <w:bCs/>
          <w:sz w:val="22"/>
          <w:szCs w:val="22"/>
          <w:u w:val="single"/>
        </w:rPr>
        <w:t>ROLL CALL</w:t>
      </w:r>
    </w:p>
    <w:p w14:paraId="4FED92CE" w14:textId="77777777" w:rsidR="00B45965" w:rsidRPr="005D286F" w:rsidRDefault="00B45965" w:rsidP="002B15DA">
      <w:pPr>
        <w:jc w:val="both"/>
        <w:rPr>
          <w:b/>
          <w:bCs/>
          <w:sz w:val="22"/>
          <w:szCs w:val="22"/>
        </w:rPr>
      </w:pPr>
    </w:p>
    <w:tbl>
      <w:tblPr>
        <w:tblW w:w="10307" w:type="dxa"/>
        <w:tblLayout w:type="fixed"/>
        <w:tblLook w:val="01E0" w:firstRow="1" w:lastRow="1" w:firstColumn="1" w:lastColumn="1" w:noHBand="0" w:noVBand="0"/>
      </w:tblPr>
      <w:tblGrid>
        <w:gridCol w:w="4050"/>
        <w:gridCol w:w="1440"/>
        <w:gridCol w:w="3150"/>
        <w:gridCol w:w="1667"/>
      </w:tblGrid>
      <w:tr w:rsidR="00B45965" w:rsidRPr="005D286F" w14:paraId="40DFD5EF" w14:textId="77777777" w:rsidTr="00EA6E42">
        <w:tc>
          <w:tcPr>
            <w:tcW w:w="4050" w:type="dxa"/>
            <w:shd w:val="clear" w:color="auto" w:fill="auto"/>
            <w:tcMar>
              <w:left w:w="43" w:type="dxa"/>
              <w:right w:w="43" w:type="dxa"/>
            </w:tcMar>
          </w:tcPr>
          <w:p w14:paraId="6825D6FA" w14:textId="77777777" w:rsidR="00B45965" w:rsidRPr="005D286F" w:rsidRDefault="00B45965" w:rsidP="002B15DA">
            <w:pPr>
              <w:keepLines/>
              <w:jc w:val="both"/>
              <w:rPr>
                <w:sz w:val="22"/>
                <w:szCs w:val="22"/>
              </w:rPr>
            </w:pPr>
            <w:r w:rsidRPr="005D286F">
              <w:rPr>
                <w:sz w:val="22"/>
                <w:szCs w:val="22"/>
              </w:rPr>
              <w:t>Dale Bruggeman, Chair</w:t>
            </w:r>
          </w:p>
        </w:tc>
        <w:tc>
          <w:tcPr>
            <w:tcW w:w="1440" w:type="dxa"/>
            <w:shd w:val="clear" w:color="auto" w:fill="auto"/>
            <w:tcMar>
              <w:left w:w="43" w:type="dxa"/>
              <w:right w:w="43" w:type="dxa"/>
            </w:tcMar>
          </w:tcPr>
          <w:p w14:paraId="0EB5357A" w14:textId="77777777" w:rsidR="00B45965" w:rsidRPr="005D286F" w:rsidRDefault="00B45965" w:rsidP="002B15DA">
            <w:pPr>
              <w:keepLines/>
              <w:jc w:val="both"/>
              <w:rPr>
                <w:sz w:val="22"/>
                <w:szCs w:val="22"/>
              </w:rPr>
            </w:pPr>
            <w:r w:rsidRPr="005D286F">
              <w:rPr>
                <w:sz w:val="22"/>
                <w:szCs w:val="22"/>
              </w:rPr>
              <w:t>Ohio</w:t>
            </w:r>
          </w:p>
        </w:tc>
        <w:tc>
          <w:tcPr>
            <w:tcW w:w="3150" w:type="dxa"/>
            <w:shd w:val="clear" w:color="auto" w:fill="auto"/>
            <w:tcMar>
              <w:left w:w="43" w:type="dxa"/>
              <w:right w:w="43" w:type="dxa"/>
            </w:tcMar>
          </w:tcPr>
          <w:p w14:paraId="58D13813" w14:textId="77777777" w:rsidR="00B45965" w:rsidRPr="005D286F" w:rsidRDefault="00B45965" w:rsidP="002B15DA">
            <w:pPr>
              <w:keepLines/>
              <w:jc w:val="both"/>
              <w:rPr>
                <w:sz w:val="22"/>
                <w:szCs w:val="22"/>
              </w:rPr>
            </w:pPr>
            <w:r w:rsidRPr="005D286F">
              <w:rPr>
                <w:sz w:val="22"/>
                <w:szCs w:val="22"/>
              </w:rPr>
              <w:t>Judy Weaver</w:t>
            </w:r>
          </w:p>
        </w:tc>
        <w:tc>
          <w:tcPr>
            <w:tcW w:w="1667" w:type="dxa"/>
            <w:shd w:val="clear" w:color="auto" w:fill="auto"/>
            <w:tcMar>
              <w:left w:w="43" w:type="dxa"/>
              <w:right w:w="43" w:type="dxa"/>
            </w:tcMar>
          </w:tcPr>
          <w:p w14:paraId="6D6117ED" w14:textId="77777777" w:rsidR="00B45965" w:rsidRPr="005D286F" w:rsidRDefault="00B45965" w:rsidP="002B15DA">
            <w:pPr>
              <w:keepLines/>
              <w:jc w:val="both"/>
              <w:rPr>
                <w:sz w:val="22"/>
                <w:szCs w:val="22"/>
              </w:rPr>
            </w:pPr>
            <w:r w:rsidRPr="005D286F">
              <w:rPr>
                <w:sz w:val="22"/>
                <w:szCs w:val="22"/>
              </w:rPr>
              <w:t>Michigan</w:t>
            </w:r>
            <w:r w:rsidRPr="005D286F" w:rsidDel="00FB154B">
              <w:rPr>
                <w:sz w:val="22"/>
                <w:szCs w:val="22"/>
              </w:rPr>
              <w:t xml:space="preserve"> </w:t>
            </w:r>
          </w:p>
        </w:tc>
      </w:tr>
      <w:tr w:rsidR="00B45965" w:rsidRPr="005D286F" w14:paraId="5B433EB9" w14:textId="77777777" w:rsidTr="00EA6E42">
        <w:tc>
          <w:tcPr>
            <w:tcW w:w="4050" w:type="dxa"/>
            <w:shd w:val="clear" w:color="auto" w:fill="auto"/>
            <w:tcMar>
              <w:left w:w="43" w:type="dxa"/>
              <w:right w:w="43" w:type="dxa"/>
            </w:tcMar>
          </w:tcPr>
          <w:p w14:paraId="661F0EF5" w14:textId="1DDCC296" w:rsidR="00B45965" w:rsidRPr="005D286F" w:rsidRDefault="00B6295A" w:rsidP="00EA6E42">
            <w:pPr>
              <w:keepLines/>
              <w:ind w:right="-90"/>
              <w:jc w:val="both"/>
              <w:rPr>
                <w:sz w:val="22"/>
                <w:szCs w:val="22"/>
              </w:rPr>
            </w:pPr>
            <w:r w:rsidRPr="005D286F">
              <w:rPr>
                <w:sz w:val="22"/>
                <w:szCs w:val="22"/>
              </w:rPr>
              <w:t>Kevin Clark</w:t>
            </w:r>
            <w:r w:rsidR="00B45965" w:rsidRPr="005D286F">
              <w:rPr>
                <w:sz w:val="22"/>
                <w:szCs w:val="22"/>
              </w:rPr>
              <w:t>, Vice Chair</w:t>
            </w:r>
          </w:p>
        </w:tc>
        <w:tc>
          <w:tcPr>
            <w:tcW w:w="1440" w:type="dxa"/>
            <w:shd w:val="clear" w:color="auto" w:fill="auto"/>
            <w:tcMar>
              <w:left w:w="43" w:type="dxa"/>
              <w:right w:w="43" w:type="dxa"/>
            </w:tcMar>
          </w:tcPr>
          <w:p w14:paraId="508DC4BD" w14:textId="77777777" w:rsidR="00B45965" w:rsidRPr="005D286F" w:rsidRDefault="00B45965" w:rsidP="002B15DA">
            <w:pPr>
              <w:keepLines/>
              <w:jc w:val="both"/>
              <w:rPr>
                <w:sz w:val="22"/>
                <w:szCs w:val="22"/>
              </w:rPr>
            </w:pPr>
            <w:r w:rsidRPr="005D286F">
              <w:rPr>
                <w:sz w:val="22"/>
                <w:szCs w:val="22"/>
              </w:rPr>
              <w:t>Iowa</w:t>
            </w:r>
          </w:p>
        </w:tc>
        <w:tc>
          <w:tcPr>
            <w:tcW w:w="3150" w:type="dxa"/>
            <w:shd w:val="clear" w:color="auto" w:fill="auto"/>
            <w:tcMar>
              <w:left w:w="43" w:type="dxa"/>
              <w:right w:w="43" w:type="dxa"/>
            </w:tcMar>
          </w:tcPr>
          <w:p w14:paraId="69C16A8A" w14:textId="4F6E062E" w:rsidR="00B45965" w:rsidRPr="005D286F" w:rsidRDefault="00B45965" w:rsidP="002B15DA">
            <w:pPr>
              <w:jc w:val="both"/>
              <w:rPr>
                <w:sz w:val="22"/>
                <w:szCs w:val="22"/>
              </w:rPr>
            </w:pPr>
            <w:r w:rsidRPr="005D286F">
              <w:rPr>
                <w:sz w:val="22"/>
                <w:szCs w:val="22"/>
              </w:rPr>
              <w:t>Doug Bartlett</w:t>
            </w:r>
          </w:p>
        </w:tc>
        <w:tc>
          <w:tcPr>
            <w:tcW w:w="1667" w:type="dxa"/>
            <w:shd w:val="clear" w:color="auto" w:fill="auto"/>
            <w:tcMar>
              <w:left w:w="43" w:type="dxa"/>
              <w:right w:w="43" w:type="dxa"/>
            </w:tcMar>
          </w:tcPr>
          <w:p w14:paraId="3C210ED8" w14:textId="77777777" w:rsidR="00B45965" w:rsidRPr="005D286F" w:rsidRDefault="00B45965" w:rsidP="002B15DA">
            <w:pPr>
              <w:jc w:val="both"/>
              <w:rPr>
                <w:sz w:val="22"/>
                <w:szCs w:val="22"/>
              </w:rPr>
            </w:pPr>
            <w:r w:rsidRPr="005D286F">
              <w:rPr>
                <w:sz w:val="22"/>
                <w:szCs w:val="22"/>
              </w:rPr>
              <w:t>New Hampshire</w:t>
            </w:r>
          </w:p>
        </w:tc>
      </w:tr>
      <w:tr w:rsidR="00B45965" w:rsidRPr="005D286F" w14:paraId="3DC91B9A" w14:textId="77777777" w:rsidTr="00EA6E42">
        <w:tc>
          <w:tcPr>
            <w:tcW w:w="4050" w:type="dxa"/>
            <w:shd w:val="clear" w:color="auto" w:fill="auto"/>
            <w:tcMar>
              <w:left w:w="43" w:type="dxa"/>
              <w:right w:w="43" w:type="dxa"/>
            </w:tcMar>
          </w:tcPr>
          <w:p w14:paraId="3DCA1945" w14:textId="19C9EFE0" w:rsidR="00B45965" w:rsidRPr="005D286F" w:rsidRDefault="007C3ABA" w:rsidP="00EA6E42">
            <w:pPr>
              <w:keepLines/>
              <w:jc w:val="both"/>
              <w:rPr>
                <w:sz w:val="22"/>
                <w:szCs w:val="22"/>
              </w:rPr>
            </w:pPr>
            <w:r w:rsidRPr="005D286F">
              <w:rPr>
                <w:sz w:val="22"/>
                <w:szCs w:val="22"/>
              </w:rPr>
              <w:t>Sheila Travis</w:t>
            </w:r>
          </w:p>
        </w:tc>
        <w:tc>
          <w:tcPr>
            <w:tcW w:w="1440" w:type="dxa"/>
            <w:shd w:val="clear" w:color="auto" w:fill="auto"/>
            <w:tcMar>
              <w:left w:w="43" w:type="dxa"/>
              <w:right w:w="43" w:type="dxa"/>
            </w:tcMar>
          </w:tcPr>
          <w:p w14:paraId="0D3852A6" w14:textId="77777777" w:rsidR="00B45965" w:rsidRPr="005D286F" w:rsidRDefault="00B45965" w:rsidP="002B15DA">
            <w:pPr>
              <w:keepLines/>
              <w:jc w:val="both"/>
              <w:rPr>
                <w:sz w:val="22"/>
                <w:szCs w:val="22"/>
              </w:rPr>
            </w:pPr>
            <w:r w:rsidRPr="005D286F">
              <w:rPr>
                <w:sz w:val="22"/>
                <w:szCs w:val="22"/>
              </w:rPr>
              <w:t>Alabama</w:t>
            </w:r>
          </w:p>
        </w:tc>
        <w:tc>
          <w:tcPr>
            <w:tcW w:w="3150" w:type="dxa"/>
            <w:shd w:val="clear" w:color="auto" w:fill="auto"/>
            <w:tcMar>
              <w:left w:w="43" w:type="dxa"/>
              <w:right w:w="43" w:type="dxa"/>
            </w:tcMar>
          </w:tcPr>
          <w:p w14:paraId="44C750F8" w14:textId="77777777" w:rsidR="00B45965" w:rsidRPr="005D286F" w:rsidRDefault="00B45965" w:rsidP="002B15DA">
            <w:pPr>
              <w:keepLines/>
              <w:jc w:val="both"/>
              <w:rPr>
                <w:sz w:val="22"/>
                <w:szCs w:val="22"/>
              </w:rPr>
            </w:pPr>
            <w:r w:rsidRPr="005D286F">
              <w:rPr>
                <w:sz w:val="22"/>
                <w:szCs w:val="22"/>
              </w:rPr>
              <w:t>Bob Kasinow</w:t>
            </w:r>
          </w:p>
        </w:tc>
        <w:tc>
          <w:tcPr>
            <w:tcW w:w="1667" w:type="dxa"/>
            <w:shd w:val="clear" w:color="auto" w:fill="auto"/>
            <w:tcMar>
              <w:left w:w="43" w:type="dxa"/>
              <w:right w:w="43" w:type="dxa"/>
            </w:tcMar>
          </w:tcPr>
          <w:p w14:paraId="2D7A0972" w14:textId="77777777" w:rsidR="00B45965" w:rsidRPr="005D286F" w:rsidRDefault="00B45965" w:rsidP="002B15DA">
            <w:pPr>
              <w:keepLines/>
              <w:jc w:val="both"/>
              <w:rPr>
                <w:sz w:val="22"/>
                <w:szCs w:val="22"/>
              </w:rPr>
            </w:pPr>
            <w:r w:rsidRPr="005D286F">
              <w:rPr>
                <w:sz w:val="22"/>
                <w:szCs w:val="22"/>
              </w:rPr>
              <w:t>New York</w:t>
            </w:r>
          </w:p>
        </w:tc>
      </w:tr>
      <w:tr w:rsidR="00B45965" w:rsidRPr="005D286F" w14:paraId="4CC5F4D5" w14:textId="77777777" w:rsidTr="008B2587">
        <w:trPr>
          <w:trHeight w:val="63"/>
        </w:trPr>
        <w:tc>
          <w:tcPr>
            <w:tcW w:w="4050" w:type="dxa"/>
            <w:shd w:val="clear" w:color="auto" w:fill="auto"/>
            <w:tcMar>
              <w:left w:w="43" w:type="dxa"/>
              <w:right w:w="43" w:type="dxa"/>
            </w:tcMar>
          </w:tcPr>
          <w:p w14:paraId="6734BDD5" w14:textId="77777777" w:rsidR="00B45965" w:rsidRPr="005D286F" w:rsidRDefault="00B45965" w:rsidP="00EA6E42">
            <w:pPr>
              <w:keepLines/>
              <w:jc w:val="both"/>
              <w:rPr>
                <w:sz w:val="22"/>
                <w:szCs w:val="22"/>
              </w:rPr>
            </w:pPr>
            <w:r w:rsidRPr="005D286F">
              <w:rPr>
                <w:sz w:val="22"/>
                <w:szCs w:val="22"/>
              </w:rPr>
              <w:t>Kim Hudson</w:t>
            </w:r>
          </w:p>
        </w:tc>
        <w:tc>
          <w:tcPr>
            <w:tcW w:w="1440" w:type="dxa"/>
            <w:shd w:val="clear" w:color="auto" w:fill="auto"/>
            <w:tcMar>
              <w:left w:w="43" w:type="dxa"/>
              <w:right w:w="43" w:type="dxa"/>
            </w:tcMar>
          </w:tcPr>
          <w:p w14:paraId="6D637AE1" w14:textId="77777777" w:rsidR="00B45965" w:rsidRPr="005D286F" w:rsidRDefault="00B45965" w:rsidP="002B15DA">
            <w:pPr>
              <w:keepLines/>
              <w:jc w:val="both"/>
              <w:rPr>
                <w:sz w:val="22"/>
                <w:szCs w:val="22"/>
              </w:rPr>
            </w:pPr>
            <w:r w:rsidRPr="005D286F">
              <w:rPr>
                <w:sz w:val="22"/>
                <w:szCs w:val="22"/>
              </w:rPr>
              <w:t>California</w:t>
            </w:r>
          </w:p>
        </w:tc>
        <w:tc>
          <w:tcPr>
            <w:tcW w:w="3150" w:type="dxa"/>
            <w:shd w:val="clear" w:color="auto" w:fill="auto"/>
            <w:tcMar>
              <w:left w:w="43" w:type="dxa"/>
              <w:right w:w="43" w:type="dxa"/>
            </w:tcMar>
          </w:tcPr>
          <w:p w14:paraId="1C6DF629" w14:textId="6BE055F5" w:rsidR="00B45965" w:rsidRPr="005D286F" w:rsidRDefault="007D5F78" w:rsidP="002B15DA">
            <w:pPr>
              <w:keepLines/>
              <w:jc w:val="both"/>
              <w:rPr>
                <w:sz w:val="22"/>
                <w:szCs w:val="22"/>
              </w:rPr>
            </w:pPr>
            <w:r>
              <w:rPr>
                <w:sz w:val="22"/>
                <w:szCs w:val="22"/>
              </w:rPr>
              <w:t>Diana Sherman</w:t>
            </w:r>
            <w:r w:rsidR="00A10F8B" w:rsidRPr="005D286F">
              <w:rPr>
                <w:sz w:val="22"/>
                <w:szCs w:val="22"/>
              </w:rPr>
              <w:t>/Matt Milford</w:t>
            </w:r>
          </w:p>
        </w:tc>
        <w:tc>
          <w:tcPr>
            <w:tcW w:w="1667" w:type="dxa"/>
            <w:shd w:val="clear" w:color="auto" w:fill="auto"/>
            <w:tcMar>
              <w:left w:w="43" w:type="dxa"/>
              <w:right w:w="43" w:type="dxa"/>
            </w:tcMar>
          </w:tcPr>
          <w:p w14:paraId="41895671" w14:textId="77777777" w:rsidR="00B45965" w:rsidRPr="005D286F" w:rsidRDefault="00B45965" w:rsidP="002B15DA">
            <w:pPr>
              <w:keepLines/>
              <w:jc w:val="both"/>
              <w:rPr>
                <w:sz w:val="22"/>
                <w:szCs w:val="22"/>
              </w:rPr>
            </w:pPr>
            <w:r w:rsidRPr="005D286F">
              <w:rPr>
                <w:sz w:val="22"/>
                <w:szCs w:val="22"/>
              </w:rPr>
              <w:t>Pennsylvania</w:t>
            </w:r>
          </w:p>
        </w:tc>
      </w:tr>
      <w:tr w:rsidR="00B45965" w:rsidRPr="005D286F" w14:paraId="4872C9A1" w14:textId="77777777" w:rsidTr="00EA6E42">
        <w:tc>
          <w:tcPr>
            <w:tcW w:w="4050" w:type="dxa"/>
            <w:shd w:val="clear" w:color="auto" w:fill="auto"/>
            <w:tcMar>
              <w:left w:w="43" w:type="dxa"/>
              <w:right w:w="43" w:type="dxa"/>
            </w:tcMar>
          </w:tcPr>
          <w:p w14:paraId="614E69AA" w14:textId="57D78F71" w:rsidR="00B45965" w:rsidRPr="005D286F" w:rsidRDefault="00B45965" w:rsidP="00EA6E42">
            <w:pPr>
              <w:keepLines/>
              <w:jc w:val="both"/>
              <w:rPr>
                <w:sz w:val="22"/>
                <w:szCs w:val="22"/>
              </w:rPr>
            </w:pPr>
            <w:r w:rsidRPr="005D286F">
              <w:rPr>
                <w:sz w:val="22"/>
                <w:szCs w:val="22"/>
              </w:rPr>
              <w:t>William Arfanis</w:t>
            </w:r>
            <w:r w:rsidR="00A35799" w:rsidRPr="005D286F">
              <w:rPr>
                <w:sz w:val="22"/>
                <w:szCs w:val="22"/>
              </w:rPr>
              <w:t>/Michael Estabrook</w:t>
            </w:r>
          </w:p>
        </w:tc>
        <w:tc>
          <w:tcPr>
            <w:tcW w:w="1440" w:type="dxa"/>
            <w:shd w:val="clear" w:color="auto" w:fill="auto"/>
            <w:tcMar>
              <w:left w:w="43" w:type="dxa"/>
              <w:right w:w="43" w:type="dxa"/>
            </w:tcMar>
          </w:tcPr>
          <w:p w14:paraId="18389A3E" w14:textId="77777777" w:rsidR="00B45965" w:rsidRPr="005D286F" w:rsidRDefault="00B45965" w:rsidP="002B15DA">
            <w:pPr>
              <w:keepLines/>
              <w:jc w:val="both"/>
              <w:rPr>
                <w:sz w:val="22"/>
                <w:szCs w:val="22"/>
              </w:rPr>
            </w:pPr>
            <w:r w:rsidRPr="005D286F">
              <w:rPr>
                <w:sz w:val="22"/>
                <w:szCs w:val="22"/>
              </w:rPr>
              <w:t>Connecticut</w:t>
            </w:r>
          </w:p>
        </w:tc>
        <w:tc>
          <w:tcPr>
            <w:tcW w:w="3150" w:type="dxa"/>
            <w:shd w:val="clear" w:color="auto" w:fill="auto"/>
            <w:tcMar>
              <w:left w:w="43" w:type="dxa"/>
              <w:right w:w="43" w:type="dxa"/>
            </w:tcMar>
          </w:tcPr>
          <w:p w14:paraId="4E81FD30" w14:textId="77777777" w:rsidR="00B45965" w:rsidRPr="005D286F" w:rsidRDefault="00B45965" w:rsidP="002B15DA">
            <w:pPr>
              <w:keepLines/>
              <w:jc w:val="both"/>
              <w:rPr>
                <w:sz w:val="22"/>
                <w:szCs w:val="22"/>
              </w:rPr>
            </w:pPr>
            <w:r w:rsidRPr="005D286F">
              <w:rPr>
                <w:sz w:val="22"/>
                <w:szCs w:val="22"/>
              </w:rPr>
              <w:t>Jamie Walker</w:t>
            </w:r>
          </w:p>
        </w:tc>
        <w:tc>
          <w:tcPr>
            <w:tcW w:w="1667" w:type="dxa"/>
            <w:shd w:val="clear" w:color="auto" w:fill="auto"/>
            <w:tcMar>
              <w:left w:w="43" w:type="dxa"/>
              <w:right w:w="43" w:type="dxa"/>
            </w:tcMar>
          </w:tcPr>
          <w:p w14:paraId="6BDAEAE8" w14:textId="77777777" w:rsidR="00B45965" w:rsidRPr="005D286F" w:rsidRDefault="00B45965" w:rsidP="002B15DA">
            <w:pPr>
              <w:keepLines/>
              <w:jc w:val="both"/>
              <w:rPr>
                <w:sz w:val="22"/>
                <w:szCs w:val="22"/>
              </w:rPr>
            </w:pPr>
            <w:r w:rsidRPr="005D286F">
              <w:rPr>
                <w:sz w:val="22"/>
                <w:szCs w:val="22"/>
              </w:rPr>
              <w:t>Texas</w:t>
            </w:r>
          </w:p>
        </w:tc>
      </w:tr>
      <w:tr w:rsidR="00B45965" w:rsidRPr="005D286F" w14:paraId="0510973F" w14:textId="77777777" w:rsidTr="00EA6E42">
        <w:tc>
          <w:tcPr>
            <w:tcW w:w="4050" w:type="dxa"/>
            <w:shd w:val="clear" w:color="auto" w:fill="auto"/>
            <w:tcMar>
              <w:left w:w="43" w:type="dxa"/>
              <w:right w:w="43" w:type="dxa"/>
            </w:tcMar>
          </w:tcPr>
          <w:p w14:paraId="76AE0F5C" w14:textId="77777777" w:rsidR="00B45965" w:rsidRPr="005D286F" w:rsidRDefault="00B45965" w:rsidP="002B15DA">
            <w:pPr>
              <w:keepLines/>
              <w:jc w:val="both"/>
              <w:rPr>
                <w:sz w:val="22"/>
                <w:szCs w:val="22"/>
              </w:rPr>
            </w:pPr>
            <w:r w:rsidRPr="005D286F">
              <w:rPr>
                <w:sz w:val="22"/>
                <w:szCs w:val="22"/>
              </w:rPr>
              <w:t>Rylynn Brown</w:t>
            </w:r>
          </w:p>
        </w:tc>
        <w:tc>
          <w:tcPr>
            <w:tcW w:w="1440" w:type="dxa"/>
            <w:shd w:val="clear" w:color="auto" w:fill="auto"/>
            <w:tcMar>
              <w:left w:w="43" w:type="dxa"/>
              <w:right w:w="43" w:type="dxa"/>
            </w:tcMar>
          </w:tcPr>
          <w:p w14:paraId="0E902F84" w14:textId="77777777" w:rsidR="00B45965" w:rsidRPr="005D286F" w:rsidRDefault="00B45965" w:rsidP="002B15DA">
            <w:pPr>
              <w:keepLines/>
              <w:jc w:val="both"/>
              <w:rPr>
                <w:sz w:val="22"/>
                <w:szCs w:val="22"/>
              </w:rPr>
            </w:pPr>
            <w:r w:rsidRPr="005D286F">
              <w:rPr>
                <w:sz w:val="22"/>
                <w:szCs w:val="22"/>
              </w:rPr>
              <w:t>Delaware</w:t>
            </w:r>
          </w:p>
        </w:tc>
        <w:tc>
          <w:tcPr>
            <w:tcW w:w="3150" w:type="dxa"/>
            <w:shd w:val="clear" w:color="auto" w:fill="auto"/>
            <w:tcMar>
              <w:left w:w="43" w:type="dxa"/>
              <w:right w:w="43" w:type="dxa"/>
            </w:tcMar>
          </w:tcPr>
          <w:p w14:paraId="4C7B8E6E" w14:textId="77777777" w:rsidR="00B45965" w:rsidRPr="005D286F" w:rsidRDefault="00B45965" w:rsidP="002B15DA">
            <w:pPr>
              <w:keepLines/>
              <w:jc w:val="both"/>
              <w:rPr>
                <w:sz w:val="22"/>
                <w:szCs w:val="22"/>
              </w:rPr>
            </w:pPr>
            <w:r w:rsidRPr="005D286F">
              <w:rPr>
                <w:sz w:val="22"/>
                <w:szCs w:val="22"/>
              </w:rPr>
              <w:t>Doug Stolte/David Smith</w:t>
            </w:r>
          </w:p>
        </w:tc>
        <w:tc>
          <w:tcPr>
            <w:tcW w:w="1667" w:type="dxa"/>
            <w:shd w:val="clear" w:color="auto" w:fill="auto"/>
            <w:tcMar>
              <w:left w:w="43" w:type="dxa"/>
              <w:right w:w="43" w:type="dxa"/>
            </w:tcMar>
          </w:tcPr>
          <w:p w14:paraId="3B13E3A2" w14:textId="77777777" w:rsidR="00B45965" w:rsidRPr="005D286F" w:rsidRDefault="00B45965" w:rsidP="002B15DA">
            <w:pPr>
              <w:keepLines/>
              <w:jc w:val="both"/>
              <w:rPr>
                <w:sz w:val="22"/>
                <w:szCs w:val="22"/>
              </w:rPr>
            </w:pPr>
            <w:r w:rsidRPr="005D286F">
              <w:rPr>
                <w:sz w:val="22"/>
                <w:szCs w:val="22"/>
              </w:rPr>
              <w:t xml:space="preserve">Virginia </w:t>
            </w:r>
          </w:p>
        </w:tc>
      </w:tr>
      <w:tr w:rsidR="00B45965" w:rsidRPr="005D286F" w14:paraId="1606CE6F" w14:textId="77777777" w:rsidTr="00EA6E42">
        <w:tc>
          <w:tcPr>
            <w:tcW w:w="4050" w:type="dxa"/>
            <w:shd w:val="clear" w:color="auto" w:fill="auto"/>
            <w:tcMar>
              <w:left w:w="43" w:type="dxa"/>
              <w:right w:w="43" w:type="dxa"/>
            </w:tcMar>
          </w:tcPr>
          <w:p w14:paraId="6886F3BF" w14:textId="1CE528D5" w:rsidR="00B45965" w:rsidRPr="005D286F" w:rsidRDefault="00F97C99" w:rsidP="002B15DA">
            <w:pPr>
              <w:keepLines/>
              <w:jc w:val="both"/>
              <w:rPr>
                <w:sz w:val="22"/>
                <w:szCs w:val="22"/>
              </w:rPr>
            </w:pPr>
            <w:r>
              <w:rPr>
                <w:sz w:val="22"/>
                <w:szCs w:val="22"/>
              </w:rPr>
              <w:t>Cindy Anders</w:t>
            </w:r>
            <w:r w:rsidR="00973F71">
              <w:rPr>
                <w:sz w:val="22"/>
                <w:szCs w:val="22"/>
              </w:rPr>
              <w:t>e</w:t>
            </w:r>
            <w:r>
              <w:rPr>
                <w:sz w:val="22"/>
                <w:szCs w:val="22"/>
              </w:rPr>
              <w:t>n</w:t>
            </w:r>
          </w:p>
        </w:tc>
        <w:tc>
          <w:tcPr>
            <w:tcW w:w="1440" w:type="dxa"/>
            <w:shd w:val="clear" w:color="auto" w:fill="auto"/>
            <w:tcMar>
              <w:left w:w="43" w:type="dxa"/>
              <w:right w:w="43" w:type="dxa"/>
            </w:tcMar>
          </w:tcPr>
          <w:p w14:paraId="1C41D881" w14:textId="77777777" w:rsidR="00B45965" w:rsidRPr="005D286F" w:rsidRDefault="00B45965" w:rsidP="002B15DA">
            <w:pPr>
              <w:keepLines/>
              <w:jc w:val="both"/>
              <w:rPr>
                <w:sz w:val="22"/>
                <w:szCs w:val="22"/>
              </w:rPr>
            </w:pPr>
            <w:r w:rsidRPr="005D286F">
              <w:rPr>
                <w:sz w:val="22"/>
                <w:szCs w:val="22"/>
              </w:rPr>
              <w:t>Illinois</w:t>
            </w:r>
          </w:p>
        </w:tc>
        <w:tc>
          <w:tcPr>
            <w:tcW w:w="3150" w:type="dxa"/>
            <w:shd w:val="clear" w:color="auto" w:fill="auto"/>
            <w:tcMar>
              <w:left w:w="43" w:type="dxa"/>
              <w:right w:w="43" w:type="dxa"/>
            </w:tcMar>
          </w:tcPr>
          <w:p w14:paraId="251B98D8" w14:textId="5327B531" w:rsidR="00B45965" w:rsidRPr="005D286F" w:rsidRDefault="00B45965" w:rsidP="002B15DA">
            <w:pPr>
              <w:keepLines/>
              <w:jc w:val="both"/>
              <w:rPr>
                <w:sz w:val="22"/>
                <w:szCs w:val="22"/>
              </w:rPr>
            </w:pPr>
            <w:r w:rsidRPr="005D286F">
              <w:rPr>
                <w:sz w:val="22"/>
                <w:szCs w:val="22"/>
              </w:rPr>
              <w:t>Amy Malm</w:t>
            </w:r>
            <w:r w:rsidR="00FD2AEA" w:rsidRPr="005D286F">
              <w:rPr>
                <w:sz w:val="22"/>
                <w:szCs w:val="22"/>
              </w:rPr>
              <w:t xml:space="preserve">/Elena Vetrina </w:t>
            </w:r>
          </w:p>
        </w:tc>
        <w:tc>
          <w:tcPr>
            <w:tcW w:w="1667" w:type="dxa"/>
            <w:shd w:val="clear" w:color="auto" w:fill="auto"/>
            <w:tcMar>
              <w:left w:w="43" w:type="dxa"/>
              <w:right w:w="43" w:type="dxa"/>
            </w:tcMar>
          </w:tcPr>
          <w:p w14:paraId="2EC350FD" w14:textId="77777777" w:rsidR="00B45965" w:rsidRPr="005D286F" w:rsidRDefault="00B45965" w:rsidP="002B15DA">
            <w:pPr>
              <w:keepLines/>
              <w:jc w:val="both"/>
              <w:rPr>
                <w:sz w:val="22"/>
                <w:szCs w:val="22"/>
              </w:rPr>
            </w:pPr>
            <w:r w:rsidRPr="005D286F">
              <w:rPr>
                <w:sz w:val="22"/>
                <w:szCs w:val="22"/>
              </w:rPr>
              <w:t xml:space="preserve">Wisconsin </w:t>
            </w:r>
          </w:p>
        </w:tc>
      </w:tr>
      <w:tr w:rsidR="00B45965" w:rsidRPr="005D286F" w14:paraId="5D526F65" w14:textId="77777777" w:rsidTr="00EA6E42">
        <w:tc>
          <w:tcPr>
            <w:tcW w:w="4050" w:type="dxa"/>
            <w:shd w:val="clear" w:color="auto" w:fill="auto"/>
            <w:tcMar>
              <w:left w:w="43" w:type="dxa"/>
              <w:right w:w="43" w:type="dxa"/>
            </w:tcMar>
          </w:tcPr>
          <w:p w14:paraId="1E2A279B" w14:textId="168D26A9" w:rsidR="00B45965" w:rsidRPr="005D286F" w:rsidRDefault="00B45965" w:rsidP="002B15DA">
            <w:pPr>
              <w:keepLines/>
              <w:jc w:val="both"/>
              <w:rPr>
                <w:sz w:val="22"/>
                <w:szCs w:val="22"/>
              </w:rPr>
            </w:pPr>
            <w:r w:rsidRPr="005D286F">
              <w:rPr>
                <w:sz w:val="22"/>
                <w:szCs w:val="22"/>
              </w:rPr>
              <w:t>Melissa Gibson</w:t>
            </w:r>
            <w:r w:rsidR="005C43DD" w:rsidRPr="005D286F">
              <w:rPr>
                <w:sz w:val="22"/>
                <w:szCs w:val="22"/>
              </w:rPr>
              <w:t>/Stewart Guerin</w:t>
            </w:r>
          </w:p>
        </w:tc>
        <w:tc>
          <w:tcPr>
            <w:tcW w:w="1440" w:type="dxa"/>
            <w:shd w:val="clear" w:color="auto" w:fill="auto"/>
            <w:tcMar>
              <w:left w:w="43" w:type="dxa"/>
              <w:right w:w="43" w:type="dxa"/>
            </w:tcMar>
          </w:tcPr>
          <w:p w14:paraId="523E3063" w14:textId="77777777" w:rsidR="00B45965" w:rsidRPr="005D286F" w:rsidRDefault="00B45965" w:rsidP="002B15DA">
            <w:pPr>
              <w:keepLines/>
              <w:jc w:val="both"/>
              <w:rPr>
                <w:sz w:val="22"/>
                <w:szCs w:val="22"/>
              </w:rPr>
            </w:pPr>
            <w:r w:rsidRPr="005D286F">
              <w:rPr>
                <w:sz w:val="22"/>
                <w:szCs w:val="22"/>
              </w:rPr>
              <w:t>Louisiana</w:t>
            </w:r>
          </w:p>
        </w:tc>
        <w:tc>
          <w:tcPr>
            <w:tcW w:w="3150" w:type="dxa"/>
            <w:shd w:val="clear" w:color="auto" w:fill="auto"/>
            <w:tcMar>
              <w:left w:w="43" w:type="dxa"/>
              <w:right w:w="43" w:type="dxa"/>
            </w:tcMar>
          </w:tcPr>
          <w:p w14:paraId="36D31FF4" w14:textId="77777777" w:rsidR="00B45965" w:rsidRPr="005D286F" w:rsidRDefault="00B45965" w:rsidP="002B15DA">
            <w:pPr>
              <w:keepLines/>
              <w:jc w:val="both"/>
              <w:rPr>
                <w:sz w:val="22"/>
                <w:szCs w:val="22"/>
              </w:rPr>
            </w:pPr>
          </w:p>
        </w:tc>
        <w:tc>
          <w:tcPr>
            <w:tcW w:w="1667" w:type="dxa"/>
            <w:shd w:val="clear" w:color="auto" w:fill="auto"/>
            <w:tcMar>
              <w:left w:w="43" w:type="dxa"/>
              <w:right w:w="43" w:type="dxa"/>
            </w:tcMar>
          </w:tcPr>
          <w:p w14:paraId="5C7DB33F" w14:textId="77777777" w:rsidR="00B45965" w:rsidRPr="005D286F" w:rsidRDefault="00B45965" w:rsidP="002B15DA">
            <w:pPr>
              <w:keepLines/>
              <w:jc w:val="both"/>
              <w:rPr>
                <w:sz w:val="22"/>
                <w:szCs w:val="22"/>
              </w:rPr>
            </w:pPr>
          </w:p>
        </w:tc>
      </w:tr>
      <w:tr w:rsidR="00B45965" w:rsidRPr="005D286F" w14:paraId="7B31B526" w14:textId="77777777" w:rsidTr="00EA6E42">
        <w:tc>
          <w:tcPr>
            <w:tcW w:w="4050" w:type="dxa"/>
            <w:shd w:val="clear" w:color="auto" w:fill="auto"/>
            <w:tcMar>
              <w:left w:w="43" w:type="dxa"/>
              <w:right w:w="43" w:type="dxa"/>
            </w:tcMar>
          </w:tcPr>
          <w:p w14:paraId="3E886B08" w14:textId="77777777" w:rsidR="00B45965" w:rsidRPr="005D286F" w:rsidRDefault="00B45965" w:rsidP="002B15DA">
            <w:pPr>
              <w:keepLines/>
              <w:jc w:val="both"/>
              <w:rPr>
                <w:sz w:val="22"/>
                <w:szCs w:val="22"/>
              </w:rPr>
            </w:pPr>
          </w:p>
        </w:tc>
        <w:tc>
          <w:tcPr>
            <w:tcW w:w="1440" w:type="dxa"/>
            <w:shd w:val="clear" w:color="auto" w:fill="auto"/>
            <w:tcMar>
              <w:left w:w="43" w:type="dxa"/>
              <w:right w:w="43" w:type="dxa"/>
            </w:tcMar>
          </w:tcPr>
          <w:p w14:paraId="127ED69E" w14:textId="77777777" w:rsidR="00B45965" w:rsidRPr="005D286F" w:rsidRDefault="00B45965" w:rsidP="002B15DA">
            <w:pPr>
              <w:keepLines/>
              <w:jc w:val="both"/>
              <w:rPr>
                <w:sz w:val="22"/>
                <w:szCs w:val="22"/>
              </w:rPr>
            </w:pPr>
          </w:p>
        </w:tc>
        <w:tc>
          <w:tcPr>
            <w:tcW w:w="3150" w:type="dxa"/>
            <w:shd w:val="clear" w:color="auto" w:fill="auto"/>
            <w:tcMar>
              <w:left w:w="43" w:type="dxa"/>
              <w:right w:w="43" w:type="dxa"/>
            </w:tcMar>
          </w:tcPr>
          <w:p w14:paraId="26FC3488" w14:textId="77777777" w:rsidR="00B45965" w:rsidRPr="005D286F" w:rsidRDefault="00B45965" w:rsidP="002B15DA">
            <w:pPr>
              <w:keepLines/>
              <w:jc w:val="both"/>
              <w:rPr>
                <w:sz w:val="22"/>
                <w:szCs w:val="22"/>
              </w:rPr>
            </w:pPr>
          </w:p>
        </w:tc>
        <w:tc>
          <w:tcPr>
            <w:tcW w:w="1667" w:type="dxa"/>
            <w:shd w:val="clear" w:color="auto" w:fill="auto"/>
            <w:tcMar>
              <w:left w:w="43" w:type="dxa"/>
              <w:right w:w="43" w:type="dxa"/>
            </w:tcMar>
          </w:tcPr>
          <w:p w14:paraId="347803AC" w14:textId="77777777" w:rsidR="00B45965" w:rsidRPr="005D286F" w:rsidRDefault="00B45965" w:rsidP="002B15DA">
            <w:pPr>
              <w:keepLines/>
              <w:jc w:val="both"/>
              <w:rPr>
                <w:sz w:val="22"/>
                <w:szCs w:val="22"/>
              </w:rPr>
            </w:pPr>
          </w:p>
        </w:tc>
      </w:tr>
      <w:tr w:rsidR="00B45965" w:rsidRPr="005D286F" w14:paraId="2C28C54A" w14:textId="77777777" w:rsidTr="00EA6E42">
        <w:tc>
          <w:tcPr>
            <w:tcW w:w="10307" w:type="dxa"/>
            <w:gridSpan w:val="4"/>
            <w:shd w:val="clear" w:color="auto" w:fill="auto"/>
            <w:tcMar>
              <w:left w:w="43" w:type="dxa"/>
              <w:right w:w="43" w:type="dxa"/>
            </w:tcMar>
          </w:tcPr>
          <w:p w14:paraId="1455350A" w14:textId="1A0B92D6" w:rsidR="00B45965" w:rsidRPr="005D286F" w:rsidRDefault="00B45965" w:rsidP="002B15DA">
            <w:pPr>
              <w:keepLines/>
              <w:jc w:val="both"/>
              <w:rPr>
                <w:sz w:val="22"/>
                <w:szCs w:val="22"/>
              </w:rPr>
            </w:pPr>
            <w:r w:rsidRPr="005D286F">
              <w:rPr>
                <w:sz w:val="22"/>
                <w:szCs w:val="22"/>
              </w:rPr>
              <w:t>NAIC Support Staff: Julie Gann, Robin Marcotte, Jake Stultz</w:t>
            </w:r>
            <w:r w:rsidR="00B545DD" w:rsidRPr="005D286F">
              <w:rPr>
                <w:sz w:val="22"/>
                <w:szCs w:val="22"/>
              </w:rPr>
              <w:t>, Jason Farr</w:t>
            </w:r>
            <w:r w:rsidR="00C90375">
              <w:rPr>
                <w:sz w:val="22"/>
                <w:szCs w:val="22"/>
              </w:rPr>
              <w:t>, Wil Oden</w:t>
            </w:r>
          </w:p>
          <w:p w14:paraId="42A8BD3D" w14:textId="77777777" w:rsidR="00006E36" w:rsidRPr="005D286F" w:rsidRDefault="00006E36" w:rsidP="002B15DA">
            <w:pPr>
              <w:keepLines/>
              <w:jc w:val="both"/>
              <w:rPr>
                <w:sz w:val="22"/>
                <w:szCs w:val="22"/>
              </w:rPr>
            </w:pPr>
          </w:p>
          <w:p w14:paraId="606149A7" w14:textId="77777777" w:rsidR="008F2360" w:rsidRPr="005D286F" w:rsidRDefault="008F2360" w:rsidP="002B15DA">
            <w:pPr>
              <w:jc w:val="both"/>
              <w:rPr>
                <w:sz w:val="22"/>
                <w:szCs w:val="22"/>
              </w:rPr>
            </w:pPr>
            <w:r w:rsidRPr="005D286F">
              <w:rPr>
                <w:sz w:val="22"/>
                <w:szCs w:val="22"/>
              </w:rPr>
              <w:t xml:space="preserve">Note: This meeting will be recorded for subsequent use. </w:t>
            </w:r>
          </w:p>
          <w:p w14:paraId="7DE851CE" w14:textId="77777777" w:rsidR="00792F72" w:rsidRPr="005D286F" w:rsidRDefault="00792F72" w:rsidP="002B15DA">
            <w:pPr>
              <w:jc w:val="both"/>
              <w:rPr>
                <w:sz w:val="22"/>
                <w:szCs w:val="22"/>
              </w:rPr>
            </w:pPr>
          </w:p>
          <w:p w14:paraId="29DDB800" w14:textId="77777777" w:rsidR="00792F72" w:rsidRPr="005D286F" w:rsidRDefault="00792F72" w:rsidP="00C97D37">
            <w:pPr>
              <w:jc w:val="center"/>
              <w:rPr>
                <w:b/>
                <w:bCs/>
                <w:sz w:val="22"/>
                <w:szCs w:val="22"/>
                <w:u w:val="single"/>
              </w:rPr>
            </w:pPr>
            <w:r w:rsidRPr="005D286F">
              <w:rPr>
                <w:b/>
                <w:bCs/>
                <w:sz w:val="22"/>
                <w:szCs w:val="22"/>
                <w:u w:val="single"/>
              </w:rPr>
              <w:t>REVIEW AND ADOPTION OF MINUTES</w:t>
            </w:r>
          </w:p>
          <w:p w14:paraId="3E47E4B7" w14:textId="77777777" w:rsidR="00792F72" w:rsidRPr="005D286F" w:rsidRDefault="00792F72" w:rsidP="002B15DA">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
              <w:gridCol w:w="3780"/>
              <w:gridCol w:w="6031"/>
            </w:tblGrid>
            <w:tr w:rsidR="004D25D8" w:rsidRPr="005D286F" w14:paraId="0E57526D" w14:textId="77777777" w:rsidTr="0005737A">
              <w:tc>
                <w:tcPr>
                  <w:tcW w:w="400" w:type="dxa"/>
                </w:tcPr>
                <w:p w14:paraId="665DC682" w14:textId="0FC6FC6E" w:rsidR="004D25D8" w:rsidRPr="005D286F" w:rsidRDefault="004D25D8" w:rsidP="002B15DA">
                  <w:pPr>
                    <w:jc w:val="both"/>
                    <w:rPr>
                      <w:sz w:val="22"/>
                      <w:szCs w:val="22"/>
                    </w:rPr>
                  </w:pPr>
                  <w:r w:rsidRPr="005D286F">
                    <w:rPr>
                      <w:sz w:val="22"/>
                      <w:szCs w:val="22"/>
                    </w:rPr>
                    <w:t>1.</w:t>
                  </w:r>
                </w:p>
              </w:tc>
              <w:tc>
                <w:tcPr>
                  <w:tcW w:w="3780" w:type="dxa"/>
                </w:tcPr>
                <w:p w14:paraId="36955E57" w14:textId="3C4C48F5" w:rsidR="004D25D8" w:rsidRPr="005D286F" w:rsidRDefault="00C90375" w:rsidP="002B15DA">
                  <w:pPr>
                    <w:jc w:val="both"/>
                    <w:rPr>
                      <w:sz w:val="22"/>
                      <w:szCs w:val="22"/>
                    </w:rPr>
                  </w:pPr>
                  <w:r>
                    <w:rPr>
                      <w:sz w:val="22"/>
                      <w:szCs w:val="22"/>
                    </w:rPr>
                    <w:t>Fall</w:t>
                  </w:r>
                  <w:r w:rsidR="004D25D8" w:rsidRPr="005D286F">
                    <w:rPr>
                      <w:sz w:val="22"/>
                      <w:szCs w:val="22"/>
                    </w:rPr>
                    <w:t xml:space="preserve"> National Meeting</w:t>
                  </w:r>
                </w:p>
              </w:tc>
              <w:tc>
                <w:tcPr>
                  <w:tcW w:w="6031" w:type="dxa"/>
                </w:tcPr>
                <w:p w14:paraId="1B5105C7" w14:textId="65989E3A" w:rsidR="004D25D8" w:rsidRPr="005D286F" w:rsidRDefault="004D25D8" w:rsidP="002B15DA">
                  <w:pPr>
                    <w:jc w:val="both"/>
                    <w:rPr>
                      <w:b/>
                      <w:bCs/>
                      <w:sz w:val="22"/>
                      <w:szCs w:val="22"/>
                    </w:rPr>
                  </w:pPr>
                  <w:r w:rsidRPr="005D286F">
                    <w:rPr>
                      <w:b/>
                      <w:bCs/>
                      <w:sz w:val="22"/>
                      <w:szCs w:val="22"/>
                    </w:rPr>
                    <w:t>(Attachment 1)</w:t>
                  </w:r>
                </w:p>
              </w:tc>
            </w:tr>
            <w:tr w:rsidR="004D25D8" w:rsidRPr="005D286F" w14:paraId="2C3A9D21" w14:textId="77777777" w:rsidTr="0005737A">
              <w:tc>
                <w:tcPr>
                  <w:tcW w:w="400" w:type="dxa"/>
                </w:tcPr>
                <w:p w14:paraId="4701DCBD" w14:textId="30F57E0A" w:rsidR="004D25D8" w:rsidRPr="005D286F" w:rsidRDefault="004D25D8" w:rsidP="002B15DA">
                  <w:pPr>
                    <w:jc w:val="both"/>
                    <w:rPr>
                      <w:sz w:val="22"/>
                      <w:szCs w:val="22"/>
                    </w:rPr>
                  </w:pPr>
                </w:p>
              </w:tc>
              <w:tc>
                <w:tcPr>
                  <w:tcW w:w="3780" w:type="dxa"/>
                </w:tcPr>
                <w:p w14:paraId="2D7E20E5" w14:textId="6AED6982" w:rsidR="004D25D8" w:rsidRPr="005D286F" w:rsidRDefault="004D25D8" w:rsidP="002B15DA">
                  <w:pPr>
                    <w:jc w:val="both"/>
                    <w:rPr>
                      <w:sz w:val="22"/>
                      <w:szCs w:val="22"/>
                    </w:rPr>
                  </w:pPr>
                </w:p>
              </w:tc>
              <w:tc>
                <w:tcPr>
                  <w:tcW w:w="6031" w:type="dxa"/>
                </w:tcPr>
                <w:p w14:paraId="5AC0A9B0" w14:textId="44C594E2" w:rsidR="004D25D8" w:rsidRPr="005D286F" w:rsidRDefault="004D25D8" w:rsidP="002B15DA">
                  <w:pPr>
                    <w:jc w:val="both"/>
                    <w:rPr>
                      <w:b/>
                      <w:bCs/>
                      <w:sz w:val="22"/>
                      <w:szCs w:val="22"/>
                    </w:rPr>
                  </w:pPr>
                </w:p>
              </w:tc>
            </w:tr>
          </w:tbl>
          <w:p w14:paraId="3CFF6093" w14:textId="4B6FCCFF" w:rsidR="00B45965" w:rsidRPr="005D286F" w:rsidRDefault="00B45965" w:rsidP="00A73B7E">
            <w:pPr>
              <w:jc w:val="both"/>
              <w:rPr>
                <w:sz w:val="22"/>
                <w:szCs w:val="22"/>
              </w:rPr>
            </w:pPr>
          </w:p>
        </w:tc>
      </w:tr>
    </w:tbl>
    <w:p w14:paraId="6032A6D6" w14:textId="5825E63E" w:rsidR="008523AB" w:rsidRPr="005D286F" w:rsidRDefault="008523AB" w:rsidP="008523AB">
      <w:pPr>
        <w:jc w:val="both"/>
        <w:rPr>
          <w:sz w:val="22"/>
          <w:szCs w:val="22"/>
        </w:rPr>
      </w:pPr>
      <w:r w:rsidRPr="005D286F">
        <w:rPr>
          <w:bCs/>
          <w:sz w:val="22"/>
          <w:szCs w:val="22"/>
        </w:rPr>
        <w:t xml:space="preserve">The Statutory Accounting Principles (E) Working Group met in regulator-to-regulator sessions on </w:t>
      </w:r>
      <w:r w:rsidR="002F1F94">
        <w:rPr>
          <w:bCs/>
          <w:sz w:val="22"/>
          <w:szCs w:val="22"/>
        </w:rPr>
        <w:t>January 17, 20 and February 22</w:t>
      </w:r>
      <w:r w:rsidR="004E2665" w:rsidRPr="005D286F">
        <w:rPr>
          <w:bCs/>
          <w:sz w:val="22"/>
          <w:szCs w:val="22"/>
        </w:rPr>
        <w:t xml:space="preserve">. </w:t>
      </w:r>
      <w:r w:rsidRPr="005D286F">
        <w:rPr>
          <w:bCs/>
          <w:sz w:val="22"/>
          <w:szCs w:val="22"/>
        </w:rPr>
        <w:t>Th</w:t>
      </w:r>
      <w:r w:rsidR="002F1F94">
        <w:rPr>
          <w:bCs/>
          <w:sz w:val="22"/>
          <w:szCs w:val="22"/>
        </w:rPr>
        <w:t>ese</w:t>
      </w:r>
      <w:r w:rsidRPr="005D286F">
        <w:rPr>
          <w:bCs/>
          <w:sz w:val="22"/>
          <w:szCs w:val="22"/>
        </w:rPr>
        <w:t xml:space="preserve"> regulator session</w:t>
      </w:r>
      <w:r w:rsidR="002F1F94">
        <w:rPr>
          <w:bCs/>
          <w:sz w:val="22"/>
          <w:szCs w:val="22"/>
        </w:rPr>
        <w:t>s</w:t>
      </w:r>
      <w:r w:rsidRPr="005D286F">
        <w:rPr>
          <w:bCs/>
          <w:sz w:val="22"/>
          <w:szCs w:val="22"/>
        </w:rPr>
        <w:t xml:space="preserve"> w</w:t>
      </w:r>
      <w:r w:rsidR="002F1F94">
        <w:rPr>
          <w:bCs/>
          <w:sz w:val="22"/>
          <w:szCs w:val="22"/>
        </w:rPr>
        <w:t>ere</w:t>
      </w:r>
      <w:r w:rsidRPr="005D286F">
        <w:rPr>
          <w:bCs/>
          <w:sz w:val="22"/>
          <w:szCs w:val="22"/>
        </w:rPr>
        <w:t xml:space="preserve"> pursuant to the NAIC Open Meetings Policy paragraph 3 (discussion of specific companies, </w:t>
      </w:r>
      <w:proofErr w:type="gramStart"/>
      <w:r w:rsidRPr="005D286F">
        <w:rPr>
          <w:bCs/>
          <w:sz w:val="22"/>
          <w:szCs w:val="22"/>
        </w:rPr>
        <w:t>entities</w:t>
      </w:r>
      <w:proofErr w:type="gramEnd"/>
      <w:r w:rsidRPr="005D286F">
        <w:rPr>
          <w:bCs/>
          <w:sz w:val="22"/>
          <w:szCs w:val="22"/>
        </w:rPr>
        <w:t xml:space="preserve"> or individuals) and paragraph 6 (consultations with NAIC staff related to NAIC technical guidance of the </w:t>
      </w:r>
      <w:r w:rsidRPr="005D286F">
        <w:rPr>
          <w:bCs/>
          <w:i/>
          <w:iCs/>
          <w:sz w:val="22"/>
          <w:szCs w:val="22"/>
        </w:rPr>
        <w:t>Accounting Practices and Procedures Manual</w:t>
      </w:r>
      <w:r w:rsidRPr="005D286F">
        <w:rPr>
          <w:bCs/>
          <w:sz w:val="22"/>
          <w:szCs w:val="22"/>
        </w:rPr>
        <w:t xml:space="preserve">). No actions were taken during these meetings as the discussion previewed the </w:t>
      </w:r>
      <w:r w:rsidR="002F1F94">
        <w:rPr>
          <w:bCs/>
          <w:sz w:val="22"/>
          <w:szCs w:val="22"/>
        </w:rPr>
        <w:t>Spring</w:t>
      </w:r>
      <w:r w:rsidRPr="005D286F">
        <w:rPr>
          <w:bCs/>
          <w:sz w:val="22"/>
          <w:szCs w:val="22"/>
        </w:rPr>
        <w:t xml:space="preserve"> National Meeting agendas and discussed other items with NAIC staff pursuant to the NAIC open meeting policy. </w:t>
      </w:r>
    </w:p>
    <w:p w14:paraId="358319B4" w14:textId="77777777" w:rsidR="00DD4677" w:rsidRDefault="00DD4677" w:rsidP="00C97D37">
      <w:pPr>
        <w:jc w:val="center"/>
        <w:rPr>
          <w:b/>
          <w:bCs/>
          <w:sz w:val="22"/>
          <w:szCs w:val="22"/>
          <w:u w:val="single"/>
        </w:rPr>
      </w:pPr>
    </w:p>
    <w:p w14:paraId="60F78167" w14:textId="77777777" w:rsidR="009866EC" w:rsidRPr="005D286F" w:rsidRDefault="009866EC" w:rsidP="00C97D37">
      <w:pPr>
        <w:jc w:val="center"/>
        <w:rPr>
          <w:b/>
          <w:bCs/>
          <w:sz w:val="22"/>
          <w:szCs w:val="22"/>
          <w:u w:val="single"/>
        </w:rPr>
      </w:pPr>
    </w:p>
    <w:p w14:paraId="17DC213A" w14:textId="77777777" w:rsidR="00E84A6F" w:rsidRPr="005D286F" w:rsidRDefault="00E84A6F" w:rsidP="00C97D37">
      <w:pPr>
        <w:jc w:val="center"/>
        <w:rPr>
          <w:b/>
          <w:bCs/>
          <w:sz w:val="22"/>
          <w:szCs w:val="22"/>
          <w:u w:val="single"/>
        </w:rPr>
      </w:pPr>
      <w:r w:rsidRPr="005D286F">
        <w:rPr>
          <w:b/>
          <w:bCs/>
          <w:sz w:val="22"/>
          <w:szCs w:val="22"/>
          <w:u w:val="single"/>
        </w:rPr>
        <w:t>REVIEW AND ADOPTION of NON-CONTESTED POSITIONS</w:t>
      </w:r>
    </w:p>
    <w:p w14:paraId="368ED1FE" w14:textId="77777777" w:rsidR="00E84A6F" w:rsidRDefault="00E84A6F" w:rsidP="002B15DA">
      <w:pPr>
        <w:jc w:val="both"/>
        <w:rPr>
          <w:b/>
          <w:sz w:val="22"/>
          <w:szCs w:val="22"/>
        </w:rPr>
      </w:pPr>
    </w:p>
    <w:p w14:paraId="7D59B062" w14:textId="6D64293C" w:rsidR="00E84A6F" w:rsidRPr="005D286F" w:rsidRDefault="00E84A6F" w:rsidP="002B15DA">
      <w:pPr>
        <w:jc w:val="both"/>
        <w:rPr>
          <w:bCs/>
          <w:sz w:val="22"/>
          <w:szCs w:val="22"/>
        </w:rPr>
      </w:pPr>
      <w:r w:rsidRPr="005D286F">
        <w:rPr>
          <w:bCs/>
          <w:sz w:val="22"/>
          <w:szCs w:val="22"/>
        </w:rPr>
        <w:t xml:space="preserve">The Working Group may individually discuss the following items, or may consider adoption in a single motion: </w:t>
      </w:r>
    </w:p>
    <w:p w14:paraId="5B4C17FA" w14:textId="77777777" w:rsidR="00DD4677" w:rsidRPr="005D286F" w:rsidRDefault="00DD4677" w:rsidP="002B15DA">
      <w:pPr>
        <w:jc w:val="both"/>
        <w:rPr>
          <w:b/>
          <w:bCs/>
          <w:sz w:val="22"/>
          <w:szCs w:val="22"/>
          <w:u w:val="single"/>
        </w:rPr>
      </w:pPr>
    </w:p>
    <w:p w14:paraId="7BFFCAFB" w14:textId="4192304E" w:rsidR="00F32F8E" w:rsidRPr="004E731C" w:rsidRDefault="00F32F8E" w:rsidP="00565D51">
      <w:pPr>
        <w:keepNext/>
        <w:keepLines/>
        <w:numPr>
          <w:ilvl w:val="0"/>
          <w:numId w:val="20"/>
        </w:numPr>
        <w:jc w:val="both"/>
        <w:rPr>
          <w:i/>
          <w:sz w:val="22"/>
          <w:szCs w:val="22"/>
        </w:rPr>
      </w:pPr>
      <w:r w:rsidRPr="004D7179">
        <w:rPr>
          <w:sz w:val="22"/>
          <w:szCs w:val="22"/>
        </w:rPr>
        <w:t>Ref #2</w:t>
      </w:r>
      <w:r w:rsidR="0019391C" w:rsidRPr="004D7179">
        <w:rPr>
          <w:sz w:val="22"/>
          <w:szCs w:val="22"/>
        </w:rPr>
        <w:t>017-33</w:t>
      </w:r>
      <w:r w:rsidRPr="004D7179">
        <w:rPr>
          <w:sz w:val="22"/>
          <w:szCs w:val="22"/>
        </w:rPr>
        <w:t xml:space="preserve">: </w:t>
      </w:r>
      <w:r w:rsidR="0056726E" w:rsidRPr="004E731C">
        <w:rPr>
          <w:i/>
          <w:sz w:val="22"/>
          <w:szCs w:val="22"/>
        </w:rPr>
        <w:t>Issue Paper</w:t>
      </w:r>
      <w:r w:rsidR="00B826D5" w:rsidRPr="004E731C">
        <w:rPr>
          <w:i/>
          <w:sz w:val="22"/>
          <w:szCs w:val="22"/>
        </w:rPr>
        <w:t xml:space="preserve"> No. </w:t>
      </w:r>
      <w:r w:rsidR="000E13E9" w:rsidRPr="004E731C">
        <w:rPr>
          <w:i/>
          <w:sz w:val="22"/>
          <w:szCs w:val="22"/>
        </w:rPr>
        <w:t>16X</w:t>
      </w:r>
      <w:r w:rsidR="00B27043" w:rsidRPr="004E731C">
        <w:rPr>
          <w:i/>
          <w:sz w:val="22"/>
          <w:szCs w:val="22"/>
        </w:rPr>
        <w:t>—Derivatives and Hedging</w:t>
      </w:r>
    </w:p>
    <w:p w14:paraId="6831DCD1" w14:textId="5E6E6282" w:rsidR="00F32F8E" w:rsidRPr="00D60B50" w:rsidRDefault="00F32F8E" w:rsidP="00565D51">
      <w:pPr>
        <w:keepNext/>
        <w:keepLines/>
        <w:numPr>
          <w:ilvl w:val="0"/>
          <w:numId w:val="20"/>
        </w:numPr>
        <w:jc w:val="both"/>
        <w:rPr>
          <w:sz w:val="22"/>
          <w:szCs w:val="22"/>
        </w:rPr>
      </w:pPr>
      <w:r>
        <w:rPr>
          <w:sz w:val="22"/>
          <w:szCs w:val="22"/>
        </w:rPr>
        <w:t>Ref #</w:t>
      </w:r>
      <w:r w:rsidRPr="00D60B50">
        <w:rPr>
          <w:sz w:val="22"/>
          <w:szCs w:val="22"/>
        </w:rPr>
        <w:t xml:space="preserve">2022-15: </w:t>
      </w:r>
      <w:r w:rsidR="00DD582B" w:rsidRPr="004D7179">
        <w:rPr>
          <w:sz w:val="22"/>
          <w:szCs w:val="22"/>
        </w:rPr>
        <w:t xml:space="preserve">SSAP No. 25 – </w:t>
      </w:r>
      <w:r w:rsidRPr="00D60B50">
        <w:rPr>
          <w:sz w:val="22"/>
          <w:szCs w:val="22"/>
        </w:rPr>
        <w:t>Affiliate Reporting Clarification</w:t>
      </w:r>
    </w:p>
    <w:p w14:paraId="5BF11FC8" w14:textId="56937034" w:rsidR="00F32F8E" w:rsidRPr="004D7179" w:rsidRDefault="00F32F8E" w:rsidP="00565D51">
      <w:pPr>
        <w:keepNext/>
        <w:keepLines/>
        <w:numPr>
          <w:ilvl w:val="0"/>
          <w:numId w:val="20"/>
        </w:numPr>
        <w:jc w:val="both"/>
        <w:rPr>
          <w:i/>
          <w:sz w:val="22"/>
          <w:szCs w:val="22"/>
        </w:rPr>
      </w:pPr>
      <w:r w:rsidRPr="004D7179">
        <w:rPr>
          <w:sz w:val="22"/>
          <w:szCs w:val="22"/>
        </w:rPr>
        <w:t>Ref</w:t>
      </w:r>
      <w:r w:rsidR="00EB7A71">
        <w:rPr>
          <w:sz w:val="22"/>
          <w:szCs w:val="22"/>
        </w:rPr>
        <w:t xml:space="preserve"> </w:t>
      </w:r>
      <w:r w:rsidRPr="004D7179">
        <w:rPr>
          <w:sz w:val="22"/>
          <w:szCs w:val="22"/>
        </w:rPr>
        <w:t>#</w:t>
      </w:r>
      <w:r w:rsidR="007351DB" w:rsidRPr="004D7179">
        <w:rPr>
          <w:sz w:val="22"/>
          <w:szCs w:val="22"/>
        </w:rPr>
        <w:t xml:space="preserve">2022-16: </w:t>
      </w:r>
      <w:r w:rsidR="007351DB" w:rsidRPr="004D7179">
        <w:rPr>
          <w:i/>
          <w:iCs/>
          <w:sz w:val="22"/>
          <w:szCs w:val="22"/>
        </w:rPr>
        <w:t xml:space="preserve">ASU 2022-03: Fair Value Measurement of Equity Securities Subject to Contractual Sale </w:t>
      </w:r>
      <w:r w:rsidR="009A1692" w:rsidRPr="004D7179">
        <w:rPr>
          <w:i/>
          <w:iCs/>
          <w:sz w:val="22"/>
          <w:szCs w:val="22"/>
        </w:rPr>
        <w:t>Restrictions</w:t>
      </w:r>
    </w:p>
    <w:p w14:paraId="4C5D1E09" w14:textId="77777777" w:rsidR="00F32F8E" w:rsidRPr="00A4687F" w:rsidRDefault="00F32F8E" w:rsidP="00565D51">
      <w:pPr>
        <w:keepNext/>
        <w:keepLines/>
        <w:numPr>
          <w:ilvl w:val="0"/>
          <w:numId w:val="20"/>
        </w:numPr>
        <w:jc w:val="both"/>
        <w:rPr>
          <w:sz w:val="22"/>
          <w:szCs w:val="22"/>
        </w:rPr>
      </w:pPr>
      <w:r>
        <w:rPr>
          <w:sz w:val="22"/>
          <w:szCs w:val="22"/>
        </w:rPr>
        <w:t>Ref #</w:t>
      </w:r>
      <w:r w:rsidRPr="00D60B50">
        <w:rPr>
          <w:sz w:val="22"/>
          <w:szCs w:val="22"/>
        </w:rPr>
        <w:t xml:space="preserve">2022-18: </w:t>
      </w:r>
      <w:r w:rsidRPr="00D60B50">
        <w:rPr>
          <w:i/>
          <w:iCs/>
          <w:sz w:val="22"/>
          <w:szCs w:val="22"/>
        </w:rPr>
        <w:t>ASU 2022</w:t>
      </w:r>
      <w:r w:rsidRPr="003B5C63">
        <w:rPr>
          <w:i/>
          <w:iCs/>
          <w:sz w:val="22"/>
          <w:szCs w:val="22"/>
        </w:rPr>
        <w:t>-04, Disclosure of Supplier Finance Program Obligations</w:t>
      </w:r>
    </w:p>
    <w:p w14:paraId="3F794382" w14:textId="77777777" w:rsidR="00A4687F" w:rsidRDefault="00A4687F" w:rsidP="00A4687F">
      <w:pPr>
        <w:keepNext/>
        <w:keepLines/>
        <w:jc w:val="both"/>
        <w:rPr>
          <w:i/>
          <w:iCs/>
          <w:sz w:val="22"/>
          <w:szCs w:val="22"/>
        </w:rPr>
      </w:pPr>
    </w:p>
    <w:p w14:paraId="767F8D5E" w14:textId="77777777" w:rsidR="00A4687F" w:rsidRDefault="00A4687F" w:rsidP="00A4687F">
      <w:pPr>
        <w:keepNext/>
        <w:keepLines/>
        <w:jc w:val="both"/>
        <w:rPr>
          <w:i/>
          <w:iCs/>
          <w:sz w:val="22"/>
          <w:szCs w:val="22"/>
        </w:rPr>
      </w:pPr>
    </w:p>
    <w:p w14:paraId="5D916E30" w14:textId="77777777" w:rsidR="00A4687F" w:rsidRDefault="00A4687F" w:rsidP="00A4687F">
      <w:pPr>
        <w:keepNext/>
        <w:keepLines/>
        <w:jc w:val="both"/>
        <w:rPr>
          <w:i/>
          <w:iCs/>
          <w:sz w:val="22"/>
          <w:szCs w:val="22"/>
        </w:rPr>
      </w:pPr>
    </w:p>
    <w:p w14:paraId="142FE5F9" w14:textId="77777777" w:rsidR="009C6181" w:rsidRDefault="009C6181" w:rsidP="00A4687F">
      <w:pPr>
        <w:keepNext/>
        <w:keepLines/>
        <w:jc w:val="both"/>
        <w:rPr>
          <w:i/>
          <w:iCs/>
          <w:sz w:val="22"/>
          <w:szCs w:val="22"/>
        </w:rPr>
      </w:pPr>
    </w:p>
    <w:p w14:paraId="08188504" w14:textId="77777777" w:rsidR="009C6181" w:rsidRDefault="009C6181" w:rsidP="00A4687F">
      <w:pPr>
        <w:keepNext/>
        <w:keepLines/>
        <w:jc w:val="both"/>
        <w:rPr>
          <w:i/>
          <w:iCs/>
          <w:sz w:val="22"/>
          <w:szCs w:val="22"/>
        </w:rPr>
      </w:pPr>
    </w:p>
    <w:p w14:paraId="5A6982B7" w14:textId="77777777" w:rsidR="00F27E6F" w:rsidRDefault="00F27E6F" w:rsidP="00A4687F">
      <w:pPr>
        <w:keepNext/>
        <w:keepLines/>
        <w:jc w:val="both"/>
        <w:rPr>
          <w:i/>
          <w:iCs/>
          <w:sz w:val="22"/>
          <w:szCs w:val="22"/>
        </w:rPr>
      </w:pPr>
    </w:p>
    <w:p w14:paraId="30D20E7C" w14:textId="77777777" w:rsidR="00374A85" w:rsidRDefault="00374A85" w:rsidP="00505E4D">
      <w:pPr>
        <w:jc w:val="both"/>
        <w:rPr>
          <w:b/>
          <w:bCs/>
          <w:sz w:val="22"/>
          <w:szCs w:val="22"/>
          <w:u w:val="single"/>
        </w:rPr>
      </w:pPr>
    </w:p>
    <w:p w14:paraId="47D20974" w14:textId="77777777" w:rsidR="009866EC" w:rsidRPr="005D286F" w:rsidRDefault="009866EC" w:rsidP="00505E4D">
      <w:pPr>
        <w:jc w:val="both"/>
        <w:rPr>
          <w:b/>
          <w:bCs/>
          <w:sz w:val="22"/>
          <w:szCs w:val="22"/>
          <w:u w:val="single"/>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3288"/>
        <w:gridCol w:w="2112"/>
        <w:gridCol w:w="1710"/>
        <w:gridCol w:w="1440"/>
      </w:tblGrid>
      <w:tr w:rsidR="002962F4" w:rsidRPr="005D286F" w14:paraId="460EE903" w14:textId="0E27BCEE" w:rsidTr="00A20C58">
        <w:trPr>
          <w:trHeight w:val="159"/>
          <w:jc w:val="center"/>
        </w:trPr>
        <w:tc>
          <w:tcPr>
            <w:tcW w:w="1525" w:type="dxa"/>
            <w:tcBorders>
              <w:top w:val="nil"/>
              <w:left w:val="single" w:sz="4" w:space="0" w:color="FFFFFF"/>
              <w:bottom w:val="single" w:sz="4" w:space="0" w:color="FFFFFF"/>
              <w:right w:val="single" w:sz="4" w:space="0" w:color="FFFFFF"/>
            </w:tcBorders>
            <w:shd w:val="solid" w:color="auto" w:fill="auto"/>
          </w:tcPr>
          <w:p w14:paraId="05073323" w14:textId="77777777" w:rsidR="002962F4" w:rsidRDefault="002962F4" w:rsidP="002962F4">
            <w:pPr>
              <w:widowControl w:val="0"/>
              <w:jc w:val="center"/>
              <w:rPr>
                <w:b/>
                <w:color w:val="FFFFFF"/>
                <w:sz w:val="22"/>
                <w:szCs w:val="22"/>
              </w:rPr>
            </w:pPr>
          </w:p>
          <w:p w14:paraId="268B295E" w14:textId="5E8DE7EC" w:rsidR="002962F4" w:rsidRPr="005D286F" w:rsidRDefault="002962F4" w:rsidP="002962F4">
            <w:pPr>
              <w:widowControl w:val="0"/>
              <w:jc w:val="center"/>
              <w:rPr>
                <w:b/>
                <w:color w:val="FFFFFF"/>
                <w:sz w:val="22"/>
                <w:szCs w:val="22"/>
              </w:rPr>
            </w:pPr>
            <w:r w:rsidRPr="005D286F">
              <w:rPr>
                <w:b/>
                <w:color w:val="FFFFFF"/>
                <w:sz w:val="22"/>
                <w:szCs w:val="22"/>
              </w:rPr>
              <w:t>Ref #</w:t>
            </w:r>
          </w:p>
        </w:tc>
        <w:tc>
          <w:tcPr>
            <w:tcW w:w="3288" w:type="dxa"/>
            <w:tcBorders>
              <w:top w:val="nil"/>
              <w:left w:val="single" w:sz="4" w:space="0" w:color="FFFFFF"/>
              <w:bottom w:val="single" w:sz="4" w:space="0" w:color="FFFFFF"/>
              <w:right w:val="single" w:sz="4" w:space="0" w:color="FFFFFF"/>
            </w:tcBorders>
            <w:shd w:val="solid" w:color="auto" w:fill="auto"/>
          </w:tcPr>
          <w:p w14:paraId="160B01D2" w14:textId="77777777" w:rsidR="00E07665" w:rsidRDefault="00E07665" w:rsidP="002962F4">
            <w:pPr>
              <w:widowControl w:val="0"/>
              <w:jc w:val="center"/>
              <w:rPr>
                <w:b/>
                <w:color w:val="FFFFFF"/>
                <w:sz w:val="22"/>
                <w:szCs w:val="22"/>
              </w:rPr>
            </w:pPr>
          </w:p>
          <w:p w14:paraId="43BEC434" w14:textId="49C49814" w:rsidR="002962F4" w:rsidRPr="005D286F" w:rsidRDefault="002962F4" w:rsidP="002962F4">
            <w:pPr>
              <w:widowControl w:val="0"/>
              <w:jc w:val="center"/>
              <w:rPr>
                <w:b/>
                <w:color w:val="FFFFFF"/>
                <w:sz w:val="22"/>
                <w:szCs w:val="22"/>
              </w:rPr>
            </w:pPr>
            <w:r w:rsidRPr="005D286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7CCC6ED3" w14:textId="77777777" w:rsidR="00E07665" w:rsidRDefault="00E07665" w:rsidP="002962F4">
            <w:pPr>
              <w:widowControl w:val="0"/>
              <w:jc w:val="center"/>
              <w:rPr>
                <w:b/>
                <w:color w:val="FFFFFF"/>
                <w:sz w:val="22"/>
                <w:szCs w:val="22"/>
              </w:rPr>
            </w:pPr>
          </w:p>
          <w:p w14:paraId="22B96D06" w14:textId="4A3C0D06" w:rsidR="002962F4" w:rsidRPr="00E07665" w:rsidRDefault="002962F4" w:rsidP="002962F4">
            <w:pPr>
              <w:widowControl w:val="0"/>
              <w:jc w:val="center"/>
              <w:rPr>
                <w:b/>
                <w:color w:val="FFFFFF"/>
                <w:sz w:val="22"/>
                <w:szCs w:val="22"/>
              </w:rPr>
            </w:pPr>
            <w:r w:rsidRPr="00E07665">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0CF9D3D" w14:textId="1447DFB1" w:rsidR="002962F4" w:rsidRPr="00E07665" w:rsidRDefault="00E07665" w:rsidP="002962F4">
            <w:pPr>
              <w:widowControl w:val="0"/>
              <w:jc w:val="center"/>
              <w:rPr>
                <w:b/>
                <w:bCs/>
                <w:color w:val="FFFFFF"/>
                <w:sz w:val="22"/>
                <w:szCs w:val="22"/>
              </w:rPr>
            </w:pPr>
            <w:r w:rsidRPr="004D7179">
              <w:rPr>
                <w:b/>
                <w:sz w:val="22"/>
                <w:szCs w:val="22"/>
              </w:rPr>
              <w:t>Agreement with Exposed Document?</w:t>
            </w:r>
            <w:r w:rsidRPr="00E07665">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6A343D43" w14:textId="7C5FE317" w:rsidR="002962F4" w:rsidRPr="00E07665" w:rsidRDefault="00E07665" w:rsidP="002962F4">
            <w:pPr>
              <w:widowControl w:val="0"/>
              <w:jc w:val="center"/>
              <w:rPr>
                <w:b/>
                <w:bCs/>
                <w:color w:val="FFFFFF"/>
                <w:sz w:val="22"/>
                <w:szCs w:val="22"/>
              </w:rPr>
            </w:pPr>
            <w:r w:rsidRPr="004D7179">
              <w:rPr>
                <w:b/>
                <w:sz w:val="22"/>
                <w:szCs w:val="22"/>
              </w:rPr>
              <w:t>Comment Letter Page Number</w:t>
            </w:r>
          </w:p>
        </w:tc>
      </w:tr>
      <w:tr w:rsidR="002962F4" w:rsidRPr="005D286F" w14:paraId="6A701CD2" w14:textId="0E33A80A" w:rsidTr="00AE0AF3">
        <w:trPr>
          <w:trHeight w:val="595"/>
          <w:jc w:val="center"/>
        </w:trPr>
        <w:tc>
          <w:tcPr>
            <w:tcW w:w="1525" w:type="dxa"/>
            <w:tcBorders>
              <w:top w:val="single" w:sz="4" w:space="0" w:color="FFFFFF"/>
            </w:tcBorders>
            <w:shd w:val="clear" w:color="auto" w:fill="F2F2F2"/>
            <w:vAlign w:val="center"/>
          </w:tcPr>
          <w:p w14:paraId="450DDF1F" w14:textId="73796F99" w:rsidR="002962F4" w:rsidRPr="005D286F" w:rsidRDefault="00A20C58" w:rsidP="002962F4">
            <w:pPr>
              <w:widowControl w:val="0"/>
              <w:jc w:val="center"/>
              <w:rPr>
                <w:b/>
                <w:sz w:val="22"/>
                <w:szCs w:val="22"/>
              </w:rPr>
            </w:pPr>
            <w:bookmarkStart w:id="0" w:name="_Hlk128085730"/>
            <w:r w:rsidRPr="004D7179">
              <w:rPr>
                <w:b/>
                <w:sz w:val="22"/>
                <w:szCs w:val="22"/>
              </w:rPr>
              <w:t>2017-33</w:t>
            </w:r>
          </w:p>
          <w:p w14:paraId="60EC642F" w14:textId="77777777" w:rsidR="002962F4" w:rsidRPr="005D286F" w:rsidRDefault="002962F4" w:rsidP="002962F4">
            <w:pPr>
              <w:widowControl w:val="0"/>
              <w:jc w:val="center"/>
              <w:rPr>
                <w:b/>
                <w:sz w:val="22"/>
                <w:szCs w:val="22"/>
              </w:rPr>
            </w:pPr>
            <w:r w:rsidRPr="005D286F">
              <w:rPr>
                <w:b/>
                <w:sz w:val="22"/>
                <w:szCs w:val="22"/>
              </w:rPr>
              <w:t>(Julie)</w:t>
            </w:r>
          </w:p>
        </w:tc>
        <w:tc>
          <w:tcPr>
            <w:tcW w:w="3288" w:type="dxa"/>
            <w:tcBorders>
              <w:top w:val="single" w:sz="4" w:space="0" w:color="FFFFFF"/>
            </w:tcBorders>
            <w:shd w:val="clear" w:color="auto" w:fill="F2F2F2"/>
            <w:vAlign w:val="center"/>
          </w:tcPr>
          <w:p w14:paraId="67CC425A" w14:textId="50FEFE87" w:rsidR="002962F4" w:rsidRPr="004E731C" w:rsidRDefault="00A20C58" w:rsidP="007334B1">
            <w:pPr>
              <w:pStyle w:val="Heading2"/>
              <w:rPr>
                <w:i/>
                <w:sz w:val="22"/>
                <w:szCs w:val="22"/>
              </w:rPr>
            </w:pPr>
            <w:r w:rsidRPr="004E731C">
              <w:rPr>
                <w:i/>
                <w:sz w:val="22"/>
                <w:szCs w:val="22"/>
              </w:rPr>
              <w:t>Issue Paper</w:t>
            </w:r>
            <w:r w:rsidR="00101327" w:rsidRPr="004E731C">
              <w:rPr>
                <w:i/>
                <w:sz w:val="22"/>
                <w:szCs w:val="22"/>
              </w:rPr>
              <w:t xml:space="preserve"> No. 1</w:t>
            </w:r>
            <w:r w:rsidR="000E13E9" w:rsidRPr="004E731C">
              <w:rPr>
                <w:i/>
                <w:sz w:val="22"/>
                <w:szCs w:val="22"/>
              </w:rPr>
              <w:t>6</w:t>
            </w:r>
            <w:r w:rsidR="00101327" w:rsidRPr="004E731C">
              <w:rPr>
                <w:i/>
                <w:sz w:val="22"/>
                <w:szCs w:val="22"/>
              </w:rPr>
              <w:t>X—</w:t>
            </w:r>
            <w:r w:rsidRPr="004E731C">
              <w:rPr>
                <w:i/>
                <w:sz w:val="22"/>
                <w:szCs w:val="22"/>
              </w:rPr>
              <w:t>Derivatives and Hedging</w:t>
            </w:r>
          </w:p>
        </w:tc>
        <w:tc>
          <w:tcPr>
            <w:tcW w:w="2112" w:type="dxa"/>
            <w:tcBorders>
              <w:top w:val="single" w:sz="4" w:space="0" w:color="FFFFFF"/>
            </w:tcBorders>
            <w:shd w:val="clear" w:color="auto" w:fill="F2F2F2"/>
            <w:vAlign w:val="center"/>
          </w:tcPr>
          <w:p w14:paraId="1CFEA8DE" w14:textId="4F67369B" w:rsidR="002962F4" w:rsidRPr="005D286F" w:rsidRDefault="00325D92" w:rsidP="002962F4">
            <w:pPr>
              <w:widowControl w:val="0"/>
              <w:jc w:val="center"/>
              <w:rPr>
                <w:b/>
                <w:sz w:val="22"/>
                <w:szCs w:val="22"/>
              </w:rPr>
            </w:pPr>
            <w:r>
              <w:rPr>
                <w:b/>
                <w:sz w:val="22"/>
                <w:szCs w:val="22"/>
              </w:rPr>
              <w:t>2</w:t>
            </w:r>
            <w:r w:rsidR="002962F4" w:rsidRPr="004D7179">
              <w:rPr>
                <w:b/>
                <w:sz w:val="22"/>
                <w:szCs w:val="22"/>
              </w:rPr>
              <w:t xml:space="preserve"> – </w:t>
            </w:r>
            <w:r w:rsidR="00BA2084" w:rsidRPr="004D7179">
              <w:rPr>
                <w:b/>
                <w:sz w:val="22"/>
                <w:szCs w:val="22"/>
              </w:rPr>
              <w:t>Issue Paper</w:t>
            </w:r>
          </w:p>
        </w:tc>
        <w:tc>
          <w:tcPr>
            <w:tcW w:w="1710" w:type="dxa"/>
            <w:tcBorders>
              <w:top w:val="single" w:sz="4" w:space="0" w:color="FFFFFF"/>
            </w:tcBorders>
            <w:shd w:val="clear" w:color="auto" w:fill="F2F2F2"/>
            <w:vAlign w:val="center"/>
          </w:tcPr>
          <w:p w14:paraId="507C8649" w14:textId="2331EDE6" w:rsidR="002962F4" w:rsidRPr="005D286F" w:rsidRDefault="00A20C58" w:rsidP="002962F4">
            <w:pPr>
              <w:widowControl w:val="0"/>
              <w:jc w:val="center"/>
              <w:rPr>
                <w:b/>
                <w:sz w:val="22"/>
                <w:szCs w:val="22"/>
              </w:rPr>
            </w:pPr>
            <w:r w:rsidRPr="004D7179">
              <w:rPr>
                <w:b/>
                <w:sz w:val="22"/>
                <w:szCs w:val="22"/>
              </w:rPr>
              <w:t>No Comments</w:t>
            </w:r>
          </w:p>
        </w:tc>
        <w:tc>
          <w:tcPr>
            <w:tcW w:w="1440" w:type="dxa"/>
            <w:tcBorders>
              <w:top w:val="single" w:sz="4" w:space="0" w:color="FFFFFF"/>
            </w:tcBorders>
            <w:shd w:val="clear" w:color="auto" w:fill="F2F2F2"/>
            <w:vAlign w:val="center"/>
          </w:tcPr>
          <w:p w14:paraId="2D9AD91D" w14:textId="3B137639" w:rsidR="002962F4" w:rsidRPr="005D286F" w:rsidRDefault="009E2AFC" w:rsidP="002962F4">
            <w:pPr>
              <w:widowControl w:val="0"/>
              <w:jc w:val="center"/>
              <w:rPr>
                <w:b/>
                <w:sz w:val="22"/>
                <w:szCs w:val="22"/>
              </w:rPr>
            </w:pPr>
            <w:r>
              <w:rPr>
                <w:b/>
                <w:sz w:val="22"/>
                <w:szCs w:val="22"/>
              </w:rPr>
              <w:t>IP-</w:t>
            </w:r>
            <w:r w:rsidR="00B902BD">
              <w:rPr>
                <w:b/>
                <w:sz w:val="22"/>
                <w:szCs w:val="22"/>
              </w:rPr>
              <w:t>2</w:t>
            </w:r>
          </w:p>
        </w:tc>
      </w:tr>
      <w:bookmarkEnd w:id="0"/>
    </w:tbl>
    <w:p w14:paraId="6A0EA1B7" w14:textId="77777777" w:rsidR="00505E4D" w:rsidRPr="005D286F" w:rsidRDefault="00505E4D" w:rsidP="00505E4D">
      <w:pPr>
        <w:jc w:val="center"/>
        <w:rPr>
          <w:i/>
          <w:sz w:val="22"/>
          <w:szCs w:val="22"/>
        </w:rPr>
      </w:pPr>
    </w:p>
    <w:p w14:paraId="2246B87B" w14:textId="77777777" w:rsidR="00BD7B83" w:rsidRPr="00A57448" w:rsidRDefault="007619D8" w:rsidP="007619D8">
      <w:pPr>
        <w:pStyle w:val="BodyText2"/>
        <w:jc w:val="both"/>
        <w:rPr>
          <w:iCs/>
          <w:sz w:val="22"/>
          <w:szCs w:val="22"/>
          <w:u w:val="single"/>
        </w:rPr>
      </w:pPr>
      <w:r w:rsidRPr="00A57448">
        <w:rPr>
          <w:i/>
          <w:sz w:val="22"/>
          <w:szCs w:val="22"/>
          <w:u w:val="single"/>
        </w:rPr>
        <w:t>Summary:</w:t>
      </w:r>
      <w:r w:rsidR="00B85A6F" w:rsidRPr="00A57448">
        <w:rPr>
          <w:iCs/>
          <w:sz w:val="22"/>
          <w:szCs w:val="22"/>
          <w:u w:val="single"/>
        </w:rPr>
        <w:t xml:space="preserve"> </w:t>
      </w:r>
    </w:p>
    <w:p w14:paraId="21E24073" w14:textId="381A7DA3" w:rsidR="007619D8" w:rsidRPr="00E75904" w:rsidRDefault="00091851" w:rsidP="007619D8">
      <w:pPr>
        <w:pStyle w:val="BodyText2"/>
        <w:jc w:val="both"/>
        <w:rPr>
          <w:iCs/>
          <w:sz w:val="22"/>
          <w:szCs w:val="22"/>
        </w:rPr>
      </w:pPr>
      <w:r w:rsidRPr="004D7179">
        <w:rPr>
          <w:iCs/>
          <w:sz w:val="22"/>
          <w:szCs w:val="22"/>
        </w:rPr>
        <w:t xml:space="preserve">During the 2022 Fall National Meeting, the Working Group exposed a draft </w:t>
      </w:r>
      <w:r w:rsidR="004E731C" w:rsidRPr="004E731C">
        <w:rPr>
          <w:i/>
          <w:sz w:val="22"/>
          <w:szCs w:val="22"/>
        </w:rPr>
        <w:t>Issue Paper No. 16X—Derivatives and Hedging</w:t>
      </w:r>
      <w:r w:rsidR="004E731C" w:rsidRPr="004D7179" w:rsidDel="004E731C">
        <w:rPr>
          <w:iCs/>
          <w:sz w:val="22"/>
          <w:szCs w:val="22"/>
        </w:rPr>
        <w:t xml:space="preserve"> </w:t>
      </w:r>
      <w:r w:rsidRPr="004D7179">
        <w:rPr>
          <w:iCs/>
          <w:sz w:val="22"/>
          <w:szCs w:val="22"/>
        </w:rPr>
        <w:t xml:space="preserve">to detail revisions previously adopted </w:t>
      </w:r>
      <w:r w:rsidR="00BD7B83" w:rsidRPr="004D7179">
        <w:rPr>
          <w:iCs/>
          <w:sz w:val="22"/>
          <w:szCs w:val="22"/>
        </w:rPr>
        <w:t>from</w:t>
      </w:r>
      <w:r w:rsidRPr="004D7179">
        <w:rPr>
          <w:iCs/>
          <w:sz w:val="22"/>
          <w:szCs w:val="22"/>
        </w:rPr>
        <w:t xml:space="preserve"> </w:t>
      </w:r>
      <w:r w:rsidRPr="004D7179">
        <w:rPr>
          <w:i/>
          <w:sz w:val="22"/>
          <w:szCs w:val="22"/>
        </w:rPr>
        <w:t>ASU 2017-12</w:t>
      </w:r>
      <w:r w:rsidR="00280440" w:rsidRPr="004D7179">
        <w:rPr>
          <w:i/>
          <w:sz w:val="22"/>
          <w:szCs w:val="22"/>
        </w:rPr>
        <w:t>, Derivatives and Hedging</w:t>
      </w:r>
      <w:r w:rsidR="00280440" w:rsidRPr="004D7179">
        <w:rPr>
          <w:iCs/>
          <w:sz w:val="22"/>
          <w:szCs w:val="22"/>
        </w:rPr>
        <w:t xml:space="preserve"> and </w:t>
      </w:r>
      <w:r w:rsidR="00280440" w:rsidRPr="004D7179">
        <w:rPr>
          <w:i/>
          <w:sz w:val="22"/>
          <w:szCs w:val="22"/>
        </w:rPr>
        <w:t>ASU 2022-01, Fair Value Hedging – Portfolio Layer Method</w:t>
      </w:r>
      <w:r w:rsidR="00280440" w:rsidRPr="004D7179">
        <w:rPr>
          <w:iCs/>
          <w:sz w:val="22"/>
          <w:szCs w:val="22"/>
        </w:rPr>
        <w:t xml:space="preserve">. </w:t>
      </w:r>
      <w:r w:rsidR="00590DD7" w:rsidRPr="004D7179">
        <w:rPr>
          <w:iCs/>
          <w:sz w:val="22"/>
          <w:szCs w:val="22"/>
        </w:rPr>
        <w:t xml:space="preserve">This issue paper details, as tracked changes, the revisions adopted in the following agenda items: </w:t>
      </w:r>
    </w:p>
    <w:p w14:paraId="7CE8D45E" w14:textId="77777777" w:rsidR="00C33E72" w:rsidRPr="00E75904" w:rsidRDefault="00C33E72" w:rsidP="007619D8">
      <w:pPr>
        <w:pStyle w:val="BodyText2"/>
        <w:jc w:val="both"/>
        <w:rPr>
          <w:iCs/>
          <w:sz w:val="22"/>
          <w:szCs w:val="22"/>
        </w:rPr>
      </w:pPr>
    </w:p>
    <w:p w14:paraId="42152EAE" w14:textId="5497A148" w:rsidR="0059462B" w:rsidRPr="004D7179" w:rsidRDefault="0059462B" w:rsidP="00EB7A71">
      <w:pPr>
        <w:pStyle w:val="NormalWeb"/>
        <w:numPr>
          <w:ilvl w:val="0"/>
          <w:numId w:val="22"/>
        </w:numPr>
        <w:spacing w:before="0" w:beforeAutospacing="0" w:after="0" w:afterAutospacing="0"/>
        <w:ind w:left="720"/>
        <w:jc w:val="both"/>
        <w:rPr>
          <w:rFonts w:ascii="Times New Roman" w:hAnsi="Times New Roman" w:cs="Times New Roman"/>
          <w:bCs/>
          <w:sz w:val="22"/>
          <w:szCs w:val="22"/>
        </w:rPr>
      </w:pPr>
      <w:r w:rsidRPr="004D7179">
        <w:rPr>
          <w:rFonts w:ascii="Times New Roman" w:eastAsia="Times New Roman" w:hAnsi="Times New Roman" w:cs="Times New Roman"/>
          <w:sz w:val="22"/>
          <w:szCs w:val="22"/>
        </w:rPr>
        <w:t>Ref #2018-30: This agenda item incorporated revisions, effective January 1, 2019, with early application permitted, l</w:t>
      </w:r>
      <w:r w:rsidRPr="004D7179">
        <w:rPr>
          <w:rFonts w:ascii="Times New Roman" w:hAnsi="Times New Roman" w:cs="Times New Roman"/>
          <w:sz w:val="22"/>
          <w:szCs w:val="22"/>
        </w:rPr>
        <w:t xml:space="preserve">imited to specific provisions, and related transition guidance, pertaining to the documentation and assessment of hedge effectiveness: 1) provisions allowing more time to perform the initial qualitative hedge effectiveness assessment; 2) provisions allowing subsequent assessments of hedge effectiveness to be performed qualitatively if certain conditions are met; and 3) revisions regarding use of the critical terms and short-cut method for assessing hedge effectiveness. </w:t>
      </w:r>
    </w:p>
    <w:p w14:paraId="5D9585C7" w14:textId="77777777" w:rsidR="0059462B" w:rsidRPr="004D7179" w:rsidRDefault="0059462B" w:rsidP="00EB7A71">
      <w:pPr>
        <w:pStyle w:val="NormalWeb"/>
        <w:spacing w:before="0" w:beforeAutospacing="0" w:after="0" w:afterAutospacing="0"/>
        <w:ind w:left="720" w:hanging="360"/>
        <w:jc w:val="both"/>
        <w:rPr>
          <w:rFonts w:ascii="Times New Roman" w:hAnsi="Times New Roman" w:cs="Times New Roman"/>
          <w:bCs/>
          <w:sz w:val="22"/>
          <w:szCs w:val="22"/>
        </w:rPr>
      </w:pPr>
    </w:p>
    <w:p w14:paraId="41ACA17A" w14:textId="4DF28C0A" w:rsidR="0059462B" w:rsidRPr="004D7179" w:rsidRDefault="0059462B" w:rsidP="00EB7A71">
      <w:pPr>
        <w:pStyle w:val="NormalWeb"/>
        <w:numPr>
          <w:ilvl w:val="0"/>
          <w:numId w:val="22"/>
        </w:numPr>
        <w:spacing w:before="0" w:beforeAutospacing="0" w:after="0" w:afterAutospacing="0"/>
        <w:ind w:left="720"/>
        <w:jc w:val="both"/>
        <w:rPr>
          <w:rFonts w:ascii="Times New Roman" w:eastAsia="Times New Roman" w:hAnsi="Times New Roman" w:cs="Times New Roman"/>
          <w:sz w:val="22"/>
          <w:szCs w:val="22"/>
        </w:rPr>
      </w:pPr>
      <w:r w:rsidRPr="004D7179">
        <w:rPr>
          <w:rFonts w:ascii="Times New Roman" w:eastAsia="Times New Roman" w:hAnsi="Times New Roman" w:cs="Times New Roman"/>
          <w:sz w:val="22"/>
          <w:szCs w:val="22"/>
        </w:rPr>
        <w:t xml:space="preserve">Ref #2021-20: This agenda item resulted with both the new Exhibit A that adopts with modification U.S. GAAP guidance in determining hedge effectiveness and the revisions to SSAP No. 86 to incorporate measurement method guidance for excluded components. These revisions were adopted with a January 1, 2023, effective date, with early adoption permitted. </w:t>
      </w:r>
    </w:p>
    <w:p w14:paraId="16BB9E1D" w14:textId="77777777" w:rsidR="0059462B" w:rsidRPr="004D7179" w:rsidRDefault="0059462B" w:rsidP="00EB7A71">
      <w:pPr>
        <w:pStyle w:val="ListParagraph"/>
        <w:ind w:hanging="360"/>
        <w:rPr>
          <w:rFonts w:eastAsia="Times New Roman"/>
          <w:sz w:val="22"/>
          <w:szCs w:val="22"/>
        </w:rPr>
      </w:pPr>
    </w:p>
    <w:p w14:paraId="36AD7B61" w14:textId="6CF33B2A" w:rsidR="0059462B" w:rsidRPr="004D7179" w:rsidRDefault="0059462B" w:rsidP="00EB7A71">
      <w:pPr>
        <w:pStyle w:val="NormalWeb"/>
        <w:numPr>
          <w:ilvl w:val="0"/>
          <w:numId w:val="22"/>
        </w:numPr>
        <w:spacing w:before="0" w:beforeAutospacing="0" w:after="0" w:afterAutospacing="0"/>
        <w:ind w:left="720"/>
        <w:jc w:val="both"/>
        <w:rPr>
          <w:rFonts w:ascii="Times New Roman" w:eastAsia="Times New Roman" w:hAnsi="Times New Roman" w:cs="Times New Roman"/>
          <w:sz w:val="22"/>
          <w:szCs w:val="22"/>
        </w:rPr>
      </w:pPr>
      <w:r w:rsidRPr="004D7179">
        <w:rPr>
          <w:rFonts w:ascii="Times New Roman" w:eastAsia="Times New Roman" w:hAnsi="Times New Roman" w:cs="Times New Roman"/>
          <w:sz w:val="22"/>
          <w:szCs w:val="22"/>
        </w:rPr>
        <w:t xml:space="preserve">Ref #2022-09: The revisions incorporate the U.S. GAAP portfolio layer method and the partial-term hedging method, with modifications to limit application of the partial-term hedging method to recognized assets. </w:t>
      </w:r>
      <w:r w:rsidRPr="004D7179">
        <w:rPr>
          <w:rFonts w:ascii="Times New Roman" w:hAnsi="Times New Roman" w:cs="Times New Roman"/>
          <w:sz w:val="22"/>
          <w:szCs w:val="22"/>
        </w:rPr>
        <w:t xml:space="preserve">These revisions were adopted with a January 1, 2023, effective date, with early adoption permitted. </w:t>
      </w:r>
    </w:p>
    <w:p w14:paraId="65875EE7" w14:textId="77777777" w:rsidR="00B35CDF" w:rsidRPr="00E75904" w:rsidRDefault="00B35CDF" w:rsidP="007619D8">
      <w:pPr>
        <w:pStyle w:val="BodyText2"/>
        <w:jc w:val="both"/>
        <w:rPr>
          <w:sz w:val="22"/>
          <w:szCs w:val="22"/>
        </w:rPr>
      </w:pPr>
    </w:p>
    <w:p w14:paraId="19D34BD8" w14:textId="77777777" w:rsidR="00C37F15" w:rsidRPr="00E75904" w:rsidRDefault="00C37F15" w:rsidP="00C37F15">
      <w:pPr>
        <w:jc w:val="both"/>
        <w:rPr>
          <w:bCs/>
          <w:i/>
          <w:sz w:val="22"/>
          <w:szCs w:val="22"/>
          <w:u w:val="single"/>
        </w:rPr>
      </w:pPr>
      <w:r w:rsidRPr="00E75904">
        <w:rPr>
          <w:bCs/>
          <w:i/>
          <w:sz w:val="22"/>
          <w:szCs w:val="22"/>
          <w:u w:val="single"/>
        </w:rPr>
        <w:t>Interested Parties’ Comments:</w:t>
      </w:r>
    </w:p>
    <w:p w14:paraId="328B12EC" w14:textId="77777777" w:rsidR="002C4A75" w:rsidRPr="004D7179" w:rsidRDefault="002C4A75" w:rsidP="002C4A75">
      <w:pPr>
        <w:pStyle w:val="BodyText2"/>
        <w:rPr>
          <w:sz w:val="22"/>
          <w:szCs w:val="22"/>
        </w:rPr>
      </w:pPr>
      <w:r w:rsidRPr="004D7179">
        <w:rPr>
          <w:sz w:val="22"/>
          <w:szCs w:val="22"/>
        </w:rPr>
        <w:t>Interested parties have no comments on this item.</w:t>
      </w:r>
    </w:p>
    <w:p w14:paraId="5FE97250" w14:textId="77777777" w:rsidR="00C37F15" w:rsidRPr="00E75904" w:rsidRDefault="00C37F15" w:rsidP="00505E4D">
      <w:pPr>
        <w:pStyle w:val="ListContinue"/>
        <w:numPr>
          <w:ilvl w:val="0"/>
          <w:numId w:val="0"/>
        </w:numPr>
        <w:spacing w:after="0"/>
        <w:jc w:val="both"/>
        <w:rPr>
          <w:bCs/>
          <w:i/>
          <w:kern w:val="32"/>
          <w:sz w:val="22"/>
          <w:szCs w:val="22"/>
        </w:rPr>
      </w:pPr>
    </w:p>
    <w:p w14:paraId="4F5DA2A8" w14:textId="1ADE5ED9" w:rsidR="00505E4D" w:rsidRPr="007A4CDA" w:rsidRDefault="00505E4D" w:rsidP="00505E4D">
      <w:pPr>
        <w:pStyle w:val="ListContinue"/>
        <w:numPr>
          <w:ilvl w:val="0"/>
          <w:numId w:val="0"/>
        </w:numPr>
        <w:spacing w:after="0"/>
        <w:jc w:val="both"/>
        <w:rPr>
          <w:bCs/>
          <w:i/>
          <w:kern w:val="32"/>
          <w:sz w:val="22"/>
          <w:szCs w:val="22"/>
          <w:u w:val="single"/>
        </w:rPr>
      </w:pPr>
      <w:r w:rsidRPr="007A4CDA">
        <w:rPr>
          <w:bCs/>
          <w:i/>
          <w:kern w:val="32"/>
          <w:sz w:val="22"/>
          <w:szCs w:val="22"/>
          <w:u w:val="single"/>
        </w:rPr>
        <w:t>Recommendation:</w:t>
      </w:r>
    </w:p>
    <w:p w14:paraId="62F19C43" w14:textId="081984F8" w:rsidR="00DF7522" w:rsidRDefault="009128EE" w:rsidP="009E2071">
      <w:pPr>
        <w:pStyle w:val="Heading2"/>
        <w:jc w:val="both"/>
        <w:rPr>
          <w:b w:val="0"/>
          <w:bCs/>
          <w:sz w:val="22"/>
          <w:szCs w:val="22"/>
          <w:u w:val="single"/>
        </w:rPr>
      </w:pPr>
      <w:r w:rsidRPr="004D7179">
        <w:rPr>
          <w:sz w:val="22"/>
          <w:szCs w:val="22"/>
        </w:rPr>
        <w:t xml:space="preserve">NAIC staff recommends that the Working Group adopt the </w:t>
      </w:r>
      <w:r w:rsidR="008F2898" w:rsidRPr="004D7179">
        <w:rPr>
          <w:sz w:val="22"/>
          <w:szCs w:val="22"/>
        </w:rPr>
        <w:t xml:space="preserve">exposed </w:t>
      </w:r>
      <w:r w:rsidR="009E2071" w:rsidRPr="000309F3">
        <w:rPr>
          <w:i/>
          <w:sz w:val="22"/>
          <w:szCs w:val="22"/>
        </w:rPr>
        <w:t>Issue Paper No. 16X—Derivatives and Hedging</w:t>
      </w:r>
      <w:r w:rsidR="008F2898">
        <w:rPr>
          <w:b w:val="0"/>
          <w:i/>
          <w:sz w:val="22"/>
          <w:szCs w:val="22"/>
        </w:rPr>
        <w:t xml:space="preserve"> </w:t>
      </w:r>
      <w:r w:rsidR="008F2898" w:rsidRPr="004D7179">
        <w:rPr>
          <w:sz w:val="22"/>
          <w:szCs w:val="22"/>
        </w:rPr>
        <w:t>to detail the historical action</w:t>
      </w:r>
      <w:r w:rsidR="00825431" w:rsidRPr="004D7179">
        <w:rPr>
          <w:sz w:val="22"/>
          <w:szCs w:val="22"/>
        </w:rPr>
        <w:t xml:space="preserve">s resulting in new SAP concepts within </w:t>
      </w:r>
      <w:r w:rsidR="00825431" w:rsidRPr="004D7179">
        <w:rPr>
          <w:i/>
          <w:sz w:val="22"/>
          <w:szCs w:val="22"/>
        </w:rPr>
        <w:t>SSAP No. 86—Derivatives</w:t>
      </w:r>
      <w:r w:rsidR="00825431" w:rsidRPr="004D7179">
        <w:rPr>
          <w:sz w:val="22"/>
          <w:szCs w:val="22"/>
        </w:rPr>
        <w:t xml:space="preserve">. </w:t>
      </w:r>
      <w:r w:rsidR="00CC72B9" w:rsidRPr="004D7179">
        <w:rPr>
          <w:sz w:val="22"/>
          <w:szCs w:val="22"/>
        </w:rPr>
        <w:t xml:space="preserve">(As the statutory accounting guidance has already been adopted, the issue paper adoption </w:t>
      </w:r>
      <w:r w:rsidR="00963414">
        <w:rPr>
          <w:bCs/>
          <w:sz w:val="22"/>
          <w:szCs w:val="22"/>
        </w:rPr>
        <w:t xml:space="preserve">is for historical documentation and </w:t>
      </w:r>
      <w:r w:rsidR="00CC72B9">
        <w:rPr>
          <w:sz w:val="22"/>
          <w:szCs w:val="22"/>
        </w:rPr>
        <w:t xml:space="preserve">does </w:t>
      </w:r>
      <w:r w:rsidR="00CC72B9" w:rsidRPr="004D7179">
        <w:rPr>
          <w:bCs/>
          <w:sz w:val="22"/>
          <w:szCs w:val="22"/>
        </w:rPr>
        <w:t>not change authoritative guidance.)</w:t>
      </w:r>
    </w:p>
    <w:p w14:paraId="664FDD63" w14:textId="77777777" w:rsidR="00CB6E8D" w:rsidRDefault="00CB6E8D" w:rsidP="00505E4D">
      <w:pPr>
        <w:jc w:val="center"/>
        <w:rPr>
          <w:b/>
          <w:bCs/>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3288"/>
        <w:gridCol w:w="2112"/>
        <w:gridCol w:w="1710"/>
        <w:gridCol w:w="1440"/>
      </w:tblGrid>
      <w:tr w:rsidR="004D4DB6" w:rsidRPr="00E07665" w14:paraId="06FE5A63" w14:textId="77777777">
        <w:trPr>
          <w:trHeight w:val="159"/>
        </w:trPr>
        <w:tc>
          <w:tcPr>
            <w:tcW w:w="1525" w:type="dxa"/>
            <w:tcBorders>
              <w:top w:val="nil"/>
              <w:left w:val="single" w:sz="4" w:space="0" w:color="FFFFFF"/>
              <w:bottom w:val="single" w:sz="4" w:space="0" w:color="FFFFFF"/>
              <w:right w:val="single" w:sz="4" w:space="0" w:color="FFFFFF"/>
            </w:tcBorders>
            <w:shd w:val="solid" w:color="auto" w:fill="auto"/>
          </w:tcPr>
          <w:p w14:paraId="5890ADF7" w14:textId="77777777" w:rsidR="004D4DB6" w:rsidRDefault="004D4DB6">
            <w:pPr>
              <w:widowControl w:val="0"/>
              <w:jc w:val="center"/>
              <w:rPr>
                <w:b/>
                <w:color w:val="FFFFFF"/>
                <w:sz w:val="22"/>
                <w:szCs w:val="22"/>
              </w:rPr>
            </w:pPr>
          </w:p>
          <w:p w14:paraId="416EBD77" w14:textId="77777777" w:rsidR="004D4DB6" w:rsidRPr="005D286F" w:rsidRDefault="004D4DB6">
            <w:pPr>
              <w:widowControl w:val="0"/>
              <w:jc w:val="center"/>
              <w:rPr>
                <w:b/>
                <w:color w:val="FFFFFF"/>
                <w:sz w:val="22"/>
                <w:szCs w:val="22"/>
              </w:rPr>
            </w:pPr>
            <w:r w:rsidRPr="005D286F">
              <w:rPr>
                <w:b/>
                <w:color w:val="FFFFFF"/>
                <w:sz w:val="22"/>
                <w:szCs w:val="22"/>
              </w:rPr>
              <w:t>Ref #</w:t>
            </w:r>
          </w:p>
        </w:tc>
        <w:tc>
          <w:tcPr>
            <w:tcW w:w="3288" w:type="dxa"/>
            <w:tcBorders>
              <w:top w:val="nil"/>
              <w:left w:val="single" w:sz="4" w:space="0" w:color="FFFFFF"/>
              <w:bottom w:val="single" w:sz="4" w:space="0" w:color="FFFFFF"/>
              <w:right w:val="single" w:sz="4" w:space="0" w:color="FFFFFF"/>
            </w:tcBorders>
            <w:shd w:val="solid" w:color="auto" w:fill="auto"/>
          </w:tcPr>
          <w:p w14:paraId="506744D0" w14:textId="77777777" w:rsidR="004D4DB6" w:rsidRDefault="004D4DB6">
            <w:pPr>
              <w:widowControl w:val="0"/>
              <w:jc w:val="center"/>
              <w:rPr>
                <w:b/>
                <w:color w:val="FFFFFF"/>
                <w:sz w:val="22"/>
                <w:szCs w:val="22"/>
              </w:rPr>
            </w:pPr>
          </w:p>
          <w:p w14:paraId="24C7BD73" w14:textId="77777777" w:rsidR="004D4DB6" w:rsidRPr="005D286F" w:rsidRDefault="004D4DB6">
            <w:pPr>
              <w:widowControl w:val="0"/>
              <w:jc w:val="center"/>
              <w:rPr>
                <w:b/>
                <w:color w:val="FFFFFF"/>
                <w:sz w:val="22"/>
                <w:szCs w:val="22"/>
              </w:rPr>
            </w:pPr>
            <w:r w:rsidRPr="005D286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DBBAF1C" w14:textId="77777777" w:rsidR="004D4DB6" w:rsidRDefault="004D4DB6">
            <w:pPr>
              <w:widowControl w:val="0"/>
              <w:jc w:val="center"/>
              <w:rPr>
                <w:b/>
                <w:color w:val="FFFFFF"/>
                <w:sz w:val="22"/>
                <w:szCs w:val="22"/>
              </w:rPr>
            </w:pPr>
          </w:p>
          <w:p w14:paraId="44397FD7" w14:textId="77777777" w:rsidR="004D4DB6" w:rsidRPr="00E07665" w:rsidRDefault="004D4DB6">
            <w:pPr>
              <w:widowControl w:val="0"/>
              <w:jc w:val="center"/>
              <w:rPr>
                <w:b/>
                <w:color w:val="FFFFFF"/>
                <w:sz w:val="22"/>
                <w:szCs w:val="22"/>
              </w:rPr>
            </w:pPr>
            <w:r w:rsidRPr="00E07665">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6CEA3D8F" w14:textId="77777777" w:rsidR="004D4DB6" w:rsidRPr="00E07665" w:rsidRDefault="004D4DB6">
            <w:pPr>
              <w:widowControl w:val="0"/>
              <w:jc w:val="center"/>
              <w:rPr>
                <w:b/>
                <w:bCs/>
                <w:color w:val="FFFFFF"/>
                <w:sz w:val="22"/>
                <w:szCs w:val="22"/>
              </w:rPr>
            </w:pPr>
            <w:r w:rsidRPr="004D7179">
              <w:rPr>
                <w:b/>
                <w:sz w:val="22"/>
                <w:szCs w:val="22"/>
              </w:rPr>
              <w:t>Agreement with Exposed Document?</w:t>
            </w:r>
            <w:r w:rsidRPr="00E07665">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71488AB6" w14:textId="77777777" w:rsidR="004D4DB6" w:rsidRPr="00E07665" w:rsidRDefault="004D4DB6">
            <w:pPr>
              <w:widowControl w:val="0"/>
              <w:jc w:val="center"/>
              <w:rPr>
                <w:b/>
                <w:bCs/>
                <w:color w:val="FFFFFF"/>
                <w:sz w:val="22"/>
                <w:szCs w:val="22"/>
              </w:rPr>
            </w:pPr>
            <w:r w:rsidRPr="004D7179">
              <w:rPr>
                <w:b/>
                <w:sz w:val="22"/>
                <w:szCs w:val="22"/>
              </w:rPr>
              <w:t>Comment Letter Page Number</w:t>
            </w:r>
          </w:p>
        </w:tc>
      </w:tr>
      <w:tr w:rsidR="004D4DB6" w:rsidRPr="005D286F" w14:paraId="745E8CFD" w14:textId="77777777" w:rsidTr="00F749FA">
        <w:trPr>
          <w:trHeight w:val="595"/>
        </w:trPr>
        <w:tc>
          <w:tcPr>
            <w:tcW w:w="1525" w:type="dxa"/>
            <w:tcBorders>
              <w:top w:val="single" w:sz="4" w:space="0" w:color="FFFFFF"/>
            </w:tcBorders>
            <w:shd w:val="clear" w:color="auto" w:fill="F2F2F2"/>
            <w:vAlign w:val="center"/>
          </w:tcPr>
          <w:p w14:paraId="6BA31FC1" w14:textId="068EA167" w:rsidR="004D4DB6" w:rsidRPr="005D286F" w:rsidRDefault="004D4DB6" w:rsidP="004D4DB6">
            <w:pPr>
              <w:widowControl w:val="0"/>
              <w:jc w:val="center"/>
              <w:rPr>
                <w:b/>
                <w:sz w:val="22"/>
                <w:szCs w:val="22"/>
              </w:rPr>
            </w:pPr>
            <w:r w:rsidRPr="005D286F">
              <w:rPr>
                <w:b/>
                <w:sz w:val="22"/>
                <w:szCs w:val="22"/>
              </w:rPr>
              <w:t>2022-1</w:t>
            </w:r>
            <w:r w:rsidR="007334B1">
              <w:rPr>
                <w:b/>
                <w:sz w:val="22"/>
                <w:szCs w:val="22"/>
              </w:rPr>
              <w:t>5</w:t>
            </w:r>
          </w:p>
          <w:p w14:paraId="170F7961" w14:textId="3C30216B" w:rsidR="004D4DB6" w:rsidRPr="005D286F" w:rsidRDefault="004D4DB6" w:rsidP="004D4DB6">
            <w:pPr>
              <w:widowControl w:val="0"/>
              <w:jc w:val="center"/>
              <w:rPr>
                <w:b/>
                <w:sz w:val="22"/>
                <w:szCs w:val="22"/>
              </w:rPr>
            </w:pPr>
            <w:r w:rsidRPr="005D286F">
              <w:rPr>
                <w:b/>
                <w:sz w:val="22"/>
                <w:szCs w:val="22"/>
              </w:rPr>
              <w:t xml:space="preserve"> (J</w:t>
            </w:r>
            <w:r w:rsidR="007334B1">
              <w:rPr>
                <w:b/>
                <w:sz w:val="22"/>
                <w:szCs w:val="22"/>
              </w:rPr>
              <w:t>ake</w:t>
            </w:r>
            <w:r w:rsidRPr="005D286F">
              <w:rPr>
                <w:b/>
                <w:sz w:val="22"/>
                <w:szCs w:val="22"/>
              </w:rPr>
              <w:t>)</w:t>
            </w:r>
          </w:p>
        </w:tc>
        <w:tc>
          <w:tcPr>
            <w:tcW w:w="3288" w:type="dxa"/>
            <w:tcBorders>
              <w:top w:val="single" w:sz="4" w:space="0" w:color="FFFFFF"/>
            </w:tcBorders>
            <w:shd w:val="clear" w:color="auto" w:fill="F2F2F2"/>
            <w:vAlign w:val="center"/>
          </w:tcPr>
          <w:p w14:paraId="47B04D4A" w14:textId="6CDF7F50" w:rsidR="004D4DB6" w:rsidRPr="005D286F" w:rsidRDefault="009F6FEE">
            <w:pPr>
              <w:pStyle w:val="Heading2"/>
              <w:rPr>
                <w:iCs/>
                <w:sz w:val="22"/>
                <w:szCs w:val="22"/>
              </w:rPr>
            </w:pPr>
            <w:r w:rsidRPr="00E310D4">
              <w:rPr>
                <w:iCs/>
                <w:sz w:val="22"/>
                <w:szCs w:val="22"/>
              </w:rPr>
              <w:t>Affiliate Reporting Clarification</w:t>
            </w:r>
          </w:p>
        </w:tc>
        <w:tc>
          <w:tcPr>
            <w:tcW w:w="2112" w:type="dxa"/>
            <w:tcBorders>
              <w:top w:val="single" w:sz="4" w:space="0" w:color="FFFFFF"/>
            </w:tcBorders>
            <w:shd w:val="clear" w:color="auto" w:fill="F2F2F2"/>
            <w:vAlign w:val="center"/>
          </w:tcPr>
          <w:p w14:paraId="5191DB8F" w14:textId="2577DFB7" w:rsidR="004D4DB6" w:rsidRPr="005D286F" w:rsidRDefault="00325D92">
            <w:pPr>
              <w:widowControl w:val="0"/>
              <w:jc w:val="center"/>
              <w:rPr>
                <w:b/>
                <w:sz w:val="22"/>
                <w:szCs w:val="22"/>
              </w:rPr>
            </w:pPr>
            <w:r>
              <w:rPr>
                <w:b/>
                <w:sz w:val="22"/>
                <w:szCs w:val="22"/>
              </w:rPr>
              <w:t>3</w:t>
            </w:r>
            <w:r w:rsidR="005A2396">
              <w:rPr>
                <w:b/>
                <w:sz w:val="22"/>
                <w:szCs w:val="22"/>
              </w:rPr>
              <w:t xml:space="preserve"> – Agenda Item</w:t>
            </w:r>
          </w:p>
        </w:tc>
        <w:tc>
          <w:tcPr>
            <w:tcW w:w="1710" w:type="dxa"/>
            <w:tcBorders>
              <w:top w:val="single" w:sz="4" w:space="0" w:color="FFFFFF"/>
            </w:tcBorders>
            <w:shd w:val="clear" w:color="auto" w:fill="F2F2F2"/>
            <w:vAlign w:val="center"/>
          </w:tcPr>
          <w:p w14:paraId="2EFD76CB" w14:textId="2C35857A" w:rsidR="004D4DB6" w:rsidRPr="005D286F" w:rsidRDefault="005A2396">
            <w:pPr>
              <w:widowControl w:val="0"/>
              <w:jc w:val="center"/>
              <w:rPr>
                <w:b/>
                <w:sz w:val="22"/>
                <w:szCs w:val="22"/>
              </w:rPr>
            </w:pPr>
            <w:r>
              <w:rPr>
                <w:b/>
                <w:sz w:val="22"/>
                <w:szCs w:val="22"/>
              </w:rPr>
              <w:t>No Comment</w:t>
            </w:r>
          </w:p>
        </w:tc>
        <w:tc>
          <w:tcPr>
            <w:tcW w:w="1440" w:type="dxa"/>
            <w:tcBorders>
              <w:top w:val="single" w:sz="4" w:space="0" w:color="FFFFFF"/>
            </w:tcBorders>
            <w:shd w:val="clear" w:color="auto" w:fill="F2F2F2"/>
            <w:vAlign w:val="center"/>
          </w:tcPr>
          <w:p w14:paraId="4CC31DE4" w14:textId="16A22478" w:rsidR="004D4DB6" w:rsidRPr="005D286F" w:rsidRDefault="00B902BD">
            <w:pPr>
              <w:widowControl w:val="0"/>
              <w:jc w:val="center"/>
              <w:rPr>
                <w:b/>
                <w:sz w:val="22"/>
                <w:szCs w:val="22"/>
              </w:rPr>
            </w:pPr>
            <w:r>
              <w:rPr>
                <w:b/>
                <w:sz w:val="22"/>
                <w:szCs w:val="22"/>
              </w:rPr>
              <w:t>IP-</w:t>
            </w:r>
            <w:r w:rsidR="00A54AAC">
              <w:rPr>
                <w:b/>
                <w:sz w:val="22"/>
                <w:szCs w:val="22"/>
              </w:rPr>
              <w:t>1</w:t>
            </w:r>
            <w:r w:rsidR="00D165B1">
              <w:rPr>
                <w:b/>
                <w:sz w:val="22"/>
                <w:szCs w:val="22"/>
              </w:rPr>
              <w:t>4</w:t>
            </w:r>
          </w:p>
        </w:tc>
      </w:tr>
    </w:tbl>
    <w:p w14:paraId="762DDD53" w14:textId="77777777" w:rsidR="004D4DB6" w:rsidRPr="005D286F" w:rsidRDefault="004D4DB6" w:rsidP="00505E4D">
      <w:pPr>
        <w:jc w:val="both"/>
        <w:rPr>
          <w:i/>
          <w:sz w:val="22"/>
          <w:szCs w:val="22"/>
        </w:rPr>
      </w:pPr>
    </w:p>
    <w:p w14:paraId="2F67CCC0" w14:textId="1EA1DCB4" w:rsidR="00505E4D" w:rsidRPr="007A4CDA" w:rsidRDefault="00505E4D" w:rsidP="00505E4D">
      <w:pPr>
        <w:jc w:val="both"/>
        <w:rPr>
          <w:iCs/>
          <w:sz w:val="22"/>
          <w:szCs w:val="22"/>
          <w:u w:val="single"/>
        </w:rPr>
      </w:pPr>
      <w:r w:rsidRPr="007A4CDA">
        <w:rPr>
          <w:i/>
          <w:sz w:val="22"/>
          <w:szCs w:val="22"/>
          <w:u w:val="single"/>
        </w:rPr>
        <w:t>Summary:</w:t>
      </w:r>
      <w:r w:rsidRPr="007A4CDA">
        <w:rPr>
          <w:iCs/>
          <w:sz w:val="22"/>
          <w:szCs w:val="22"/>
          <w:u w:val="single"/>
        </w:rPr>
        <w:t xml:space="preserve"> </w:t>
      </w:r>
    </w:p>
    <w:p w14:paraId="5B272CFB" w14:textId="6F241285" w:rsidR="00B429A8" w:rsidRPr="004D7179" w:rsidRDefault="00B429A8" w:rsidP="00B429A8">
      <w:pPr>
        <w:pStyle w:val="BodyText2"/>
        <w:jc w:val="both"/>
        <w:rPr>
          <w:iCs/>
          <w:sz w:val="22"/>
          <w:szCs w:val="22"/>
        </w:rPr>
      </w:pPr>
      <w:r w:rsidRPr="004D7179">
        <w:rPr>
          <w:iCs/>
          <w:sz w:val="22"/>
          <w:szCs w:val="22"/>
        </w:rPr>
        <w:t xml:space="preserve">During the 2022 Fall National Meeting, the Working Group exposed </w:t>
      </w:r>
      <w:r w:rsidR="00A306AA" w:rsidRPr="004D7179">
        <w:rPr>
          <w:iCs/>
          <w:sz w:val="22"/>
          <w:szCs w:val="22"/>
        </w:rPr>
        <w:t xml:space="preserve">SAP clarifications to </w:t>
      </w:r>
      <w:r w:rsidR="00A306AA" w:rsidRPr="004D7179">
        <w:rPr>
          <w:i/>
          <w:sz w:val="22"/>
          <w:szCs w:val="22"/>
        </w:rPr>
        <w:t>SSAP No. 25—Affiliates and Other Related Parties</w:t>
      </w:r>
      <w:r w:rsidR="00A306AA" w:rsidRPr="004D7179">
        <w:rPr>
          <w:iCs/>
          <w:sz w:val="22"/>
          <w:szCs w:val="22"/>
        </w:rPr>
        <w:t xml:space="preserve"> to clarify that any invested asset held by a reporting entity which is issued by an affiliated entity, or which includes the obligations of an affiliated entity is an affiliated investment.</w:t>
      </w:r>
      <w:r w:rsidR="00837CEC">
        <w:rPr>
          <w:iCs/>
          <w:sz w:val="22"/>
          <w:szCs w:val="22"/>
        </w:rPr>
        <w:t xml:space="preserve"> </w:t>
      </w:r>
    </w:p>
    <w:p w14:paraId="1AAD4EE5" w14:textId="77777777" w:rsidR="00505E4D" w:rsidRPr="004D7179" w:rsidRDefault="00505E4D" w:rsidP="00505E4D">
      <w:pPr>
        <w:jc w:val="both"/>
        <w:rPr>
          <w:sz w:val="22"/>
          <w:szCs w:val="22"/>
        </w:rPr>
      </w:pPr>
    </w:p>
    <w:p w14:paraId="0D09583A" w14:textId="77777777" w:rsidR="00C37F15" w:rsidRPr="00E75904" w:rsidRDefault="00C37F15" w:rsidP="00C37F15">
      <w:pPr>
        <w:jc w:val="both"/>
        <w:rPr>
          <w:bCs/>
          <w:i/>
          <w:sz w:val="22"/>
          <w:szCs w:val="22"/>
          <w:u w:val="single"/>
        </w:rPr>
      </w:pPr>
      <w:r w:rsidRPr="00E75904">
        <w:rPr>
          <w:bCs/>
          <w:i/>
          <w:sz w:val="22"/>
          <w:szCs w:val="22"/>
          <w:u w:val="single"/>
        </w:rPr>
        <w:t>Interested Parties’ Comments:</w:t>
      </w:r>
    </w:p>
    <w:p w14:paraId="4F4CA8DC" w14:textId="77777777" w:rsidR="00D87C23" w:rsidRPr="004D7179" w:rsidRDefault="00D87C23" w:rsidP="00D87C23">
      <w:pPr>
        <w:pStyle w:val="BodyText2"/>
        <w:rPr>
          <w:b/>
          <w:bCs/>
          <w:sz w:val="22"/>
          <w:szCs w:val="22"/>
        </w:rPr>
      </w:pPr>
      <w:r w:rsidRPr="004D7179">
        <w:rPr>
          <w:sz w:val="22"/>
          <w:szCs w:val="22"/>
        </w:rPr>
        <w:t>Interested parties have no comments on this item.</w:t>
      </w:r>
    </w:p>
    <w:p w14:paraId="5330AA7D" w14:textId="77777777" w:rsidR="00C37F15" w:rsidRPr="00E75904" w:rsidRDefault="00C37F15" w:rsidP="00505E4D">
      <w:pPr>
        <w:pStyle w:val="ListContinue"/>
        <w:numPr>
          <w:ilvl w:val="0"/>
          <w:numId w:val="0"/>
        </w:numPr>
        <w:spacing w:after="0"/>
        <w:jc w:val="both"/>
        <w:rPr>
          <w:bCs/>
          <w:i/>
          <w:kern w:val="32"/>
          <w:sz w:val="22"/>
          <w:szCs w:val="22"/>
        </w:rPr>
      </w:pPr>
    </w:p>
    <w:p w14:paraId="3BE79653" w14:textId="77777777" w:rsidR="003E01CE" w:rsidRDefault="003E01CE" w:rsidP="00505E4D">
      <w:pPr>
        <w:pStyle w:val="ListContinue"/>
        <w:numPr>
          <w:ilvl w:val="0"/>
          <w:numId w:val="0"/>
        </w:numPr>
        <w:spacing w:after="0"/>
        <w:jc w:val="both"/>
        <w:rPr>
          <w:bCs/>
          <w:i/>
          <w:kern w:val="32"/>
          <w:sz w:val="22"/>
          <w:szCs w:val="22"/>
          <w:u w:val="single"/>
        </w:rPr>
      </w:pPr>
    </w:p>
    <w:p w14:paraId="358CF6F9" w14:textId="08478C8C" w:rsidR="00505E4D" w:rsidRPr="007A4CDA" w:rsidRDefault="00505E4D" w:rsidP="00505E4D">
      <w:pPr>
        <w:pStyle w:val="ListContinue"/>
        <w:numPr>
          <w:ilvl w:val="0"/>
          <w:numId w:val="0"/>
        </w:numPr>
        <w:spacing w:after="0"/>
        <w:jc w:val="both"/>
        <w:rPr>
          <w:bCs/>
          <w:i/>
          <w:kern w:val="32"/>
          <w:sz w:val="22"/>
          <w:szCs w:val="22"/>
          <w:u w:val="single"/>
        </w:rPr>
      </w:pPr>
      <w:r w:rsidRPr="007A4CDA">
        <w:rPr>
          <w:bCs/>
          <w:i/>
          <w:kern w:val="32"/>
          <w:sz w:val="22"/>
          <w:szCs w:val="22"/>
          <w:u w:val="single"/>
        </w:rPr>
        <w:lastRenderedPageBreak/>
        <w:t>Recommendation:</w:t>
      </w:r>
    </w:p>
    <w:p w14:paraId="3B5F86A1" w14:textId="77777777" w:rsidR="00F27E6F" w:rsidRDefault="00D87C23" w:rsidP="00D87C23">
      <w:pPr>
        <w:pStyle w:val="BodyText2"/>
        <w:jc w:val="both"/>
        <w:rPr>
          <w:b/>
          <w:bCs/>
          <w:sz w:val="22"/>
          <w:szCs w:val="22"/>
        </w:rPr>
      </w:pPr>
      <w:r w:rsidRPr="004D7179">
        <w:rPr>
          <w:b/>
          <w:bCs/>
          <w:sz w:val="22"/>
          <w:szCs w:val="22"/>
        </w:rPr>
        <w:t xml:space="preserve">NAIC staff recommends that the Working Group adopt the exposed </w:t>
      </w:r>
      <w:r w:rsidR="00323640" w:rsidRPr="004D7179">
        <w:rPr>
          <w:b/>
          <w:bCs/>
          <w:sz w:val="22"/>
          <w:szCs w:val="22"/>
        </w:rPr>
        <w:t xml:space="preserve">SAP clarification </w:t>
      </w:r>
      <w:r w:rsidRPr="004D7179">
        <w:rPr>
          <w:b/>
          <w:bCs/>
          <w:sz w:val="22"/>
          <w:szCs w:val="22"/>
        </w:rPr>
        <w:t>to SSAP No. 25</w:t>
      </w:r>
      <w:r w:rsidR="00323640" w:rsidRPr="004D7179">
        <w:rPr>
          <w:b/>
          <w:bCs/>
          <w:sz w:val="22"/>
          <w:szCs w:val="22"/>
        </w:rPr>
        <w:t>.</w:t>
      </w:r>
    </w:p>
    <w:p w14:paraId="3D6AFB0C" w14:textId="31057CD7" w:rsidR="00D87C23" w:rsidRPr="004D7179" w:rsidRDefault="00D87C23" w:rsidP="00D87C23">
      <w:pPr>
        <w:pStyle w:val="BodyText2"/>
        <w:jc w:val="both"/>
        <w:rPr>
          <w:b/>
          <w:bCs/>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3288"/>
        <w:gridCol w:w="2112"/>
        <w:gridCol w:w="1710"/>
        <w:gridCol w:w="1440"/>
      </w:tblGrid>
      <w:tr w:rsidR="003D1F80" w:rsidRPr="00E07665" w14:paraId="6852B8FF" w14:textId="77777777">
        <w:trPr>
          <w:trHeight w:val="159"/>
        </w:trPr>
        <w:tc>
          <w:tcPr>
            <w:tcW w:w="1525" w:type="dxa"/>
            <w:tcBorders>
              <w:top w:val="nil"/>
              <w:left w:val="single" w:sz="4" w:space="0" w:color="FFFFFF"/>
              <w:bottom w:val="single" w:sz="4" w:space="0" w:color="FFFFFF"/>
              <w:right w:val="single" w:sz="4" w:space="0" w:color="FFFFFF"/>
            </w:tcBorders>
            <w:shd w:val="solid" w:color="auto" w:fill="auto"/>
          </w:tcPr>
          <w:p w14:paraId="4E260C27" w14:textId="77777777" w:rsidR="003D1F80" w:rsidRDefault="003D1F80">
            <w:pPr>
              <w:widowControl w:val="0"/>
              <w:jc w:val="center"/>
              <w:rPr>
                <w:b/>
                <w:color w:val="FFFFFF"/>
                <w:sz w:val="22"/>
                <w:szCs w:val="22"/>
              </w:rPr>
            </w:pPr>
          </w:p>
          <w:p w14:paraId="24AD089D" w14:textId="77777777" w:rsidR="003D1F80" w:rsidRPr="005D286F" w:rsidRDefault="003D1F80">
            <w:pPr>
              <w:widowControl w:val="0"/>
              <w:jc w:val="center"/>
              <w:rPr>
                <w:b/>
                <w:color w:val="FFFFFF"/>
                <w:sz w:val="22"/>
                <w:szCs w:val="22"/>
              </w:rPr>
            </w:pPr>
            <w:r w:rsidRPr="005D286F">
              <w:rPr>
                <w:b/>
                <w:color w:val="FFFFFF"/>
                <w:sz w:val="22"/>
                <w:szCs w:val="22"/>
              </w:rPr>
              <w:t>Ref #</w:t>
            </w:r>
          </w:p>
        </w:tc>
        <w:tc>
          <w:tcPr>
            <w:tcW w:w="3288" w:type="dxa"/>
            <w:tcBorders>
              <w:top w:val="nil"/>
              <w:left w:val="single" w:sz="4" w:space="0" w:color="FFFFFF"/>
              <w:bottom w:val="single" w:sz="4" w:space="0" w:color="FFFFFF"/>
              <w:right w:val="single" w:sz="4" w:space="0" w:color="FFFFFF"/>
            </w:tcBorders>
            <w:shd w:val="solid" w:color="auto" w:fill="auto"/>
          </w:tcPr>
          <w:p w14:paraId="1D303DB6" w14:textId="77777777" w:rsidR="003D1F80" w:rsidRDefault="003D1F80">
            <w:pPr>
              <w:widowControl w:val="0"/>
              <w:jc w:val="center"/>
              <w:rPr>
                <w:b/>
                <w:color w:val="FFFFFF"/>
                <w:sz w:val="22"/>
                <w:szCs w:val="22"/>
              </w:rPr>
            </w:pPr>
          </w:p>
          <w:p w14:paraId="5EBC3E51" w14:textId="77777777" w:rsidR="003D1F80" w:rsidRPr="005D286F" w:rsidRDefault="003D1F80">
            <w:pPr>
              <w:widowControl w:val="0"/>
              <w:jc w:val="center"/>
              <w:rPr>
                <w:b/>
                <w:color w:val="FFFFFF"/>
                <w:sz w:val="22"/>
                <w:szCs w:val="22"/>
              </w:rPr>
            </w:pPr>
            <w:r w:rsidRPr="005D286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76AF8309" w14:textId="77777777" w:rsidR="003D1F80" w:rsidRDefault="003D1F80">
            <w:pPr>
              <w:widowControl w:val="0"/>
              <w:jc w:val="center"/>
              <w:rPr>
                <w:b/>
                <w:color w:val="FFFFFF"/>
                <w:sz w:val="22"/>
                <w:szCs w:val="22"/>
              </w:rPr>
            </w:pPr>
          </w:p>
          <w:p w14:paraId="4642F9C3" w14:textId="77777777" w:rsidR="003D1F80" w:rsidRPr="00E07665" w:rsidRDefault="003D1F80">
            <w:pPr>
              <w:widowControl w:val="0"/>
              <w:jc w:val="center"/>
              <w:rPr>
                <w:b/>
                <w:color w:val="FFFFFF"/>
                <w:sz w:val="22"/>
                <w:szCs w:val="22"/>
              </w:rPr>
            </w:pPr>
            <w:r w:rsidRPr="00E07665">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27493AC" w14:textId="77777777" w:rsidR="003D1F80" w:rsidRPr="00E07665" w:rsidRDefault="003D1F80">
            <w:pPr>
              <w:widowControl w:val="0"/>
              <w:jc w:val="center"/>
              <w:rPr>
                <w:b/>
                <w:bCs/>
                <w:color w:val="FFFFFF"/>
                <w:sz w:val="22"/>
                <w:szCs w:val="22"/>
              </w:rPr>
            </w:pPr>
            <w:r w:rsidRPr="004D7179">
              <w:rPr>
                <w:b/>
                <w:sz w:val="22"/>
                <w:szCs w:val="22"/>
              </w:rPr>
              <w:t>Agreement with Exposed Document?</w:t>
            </w:r>
            <w:r w:rsidRPr="00E07665">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1D51DB31" w14:textId="77777777" w:rsidR="003D1F80" w:rsidRPr="00E07665" w:rsidRDefault="003D1F80">
            <w:pPr>
              <w:widowControl w:val="0"/>
              <w:jc w:val="center"/>
              <w:rPr>
                <w:b/>
                <w:bCs/>
                <w:color w:val="FFFFFF"/>
                <w:sz w:val="22"/>
                <w:szCs w:val="22"/>
              </w:rPr>
            </w:pPr>
            <w:r w:rsidRPr="004D7179">
              <w:rPr>
                <w:b/>
                <w:sz w:val="22"/>
                <w:szCs w:val="22"/>
              </w:rPr>
              <w:t>Comment Letter Page Number</w:t>
            </w:r>
          </w:p>
        </w:tc>
      </w:tr>
      <w:tr w:rsidR="00B734ED" w:rsidRPr="005D286F" w14:paraId="7CA39C0E" w14:textId="77777777" w:rsidTr="003231A4">
        <w:trPr>
          <w:trHeight w:val="595"/>
        </w:trPr>
        <w:tc>
          <w:tcPr>
            <w:tcW w:w="1525" w:type="dxa"/>
            <w:tcBorders>
              <w:top w:val="single" w:sz="4" w:space="0" w:color="FFFFFF"/>
            </w:tcBorders>
            <w:shd w:val="clear" w:color="auto" w:fill="F2F2F2"/>
            <w:vAlign w:val="center"/>
          </w:tcPr>
          <w:p w14:paraId="2536802A" w14:textId="7A827E4B" w:rsidR="00B734ED" w:rsidRPr="005D286F" w:rsidRDefault="00B734ED" w:rsidP="00B734ED">
            <w:pPr>
              <w:widowControl w:val="0"/>
              <w:jc w:val="center"/>
              <w:rPr>
                <w:b/>
                <w:sz w:val="22"/>
                <w:szCs w:val="22"/>
              </w:rPr>
            </w:pPr>
            <w:r w:rsidRPr="005D286F">
              <w:rPr>
                <w:b/>
                <w:sz w:val="22"/>
                <w:szCs w:val="22"/>
              </w:rPr>
              <w:t>2022-1</w:t>
            </w:r>
            <w:r>
              <w:rPr>
                <w:b/>
                <w:sz w:val="22"/>
                <w:szCs w:val="22"/>
              </w:rPr>
              <w:t>6</w:t>
            </w:r>
          </w:p>
          <w:p w14:paraId="5554B0CA" w14:textId="5097056C" w:rsidR="00B734ED" w:rsidRPr="005D286F" w:rsidRDefault="00B734ED" w:rsidP="00B734ED">
            <w:pPr>
              <w:widowControl w:val="0"/>
              <w:jc w:val="center"/>
              <w:rPr>
                <w:b/>
                <w:sz w:val="22"/>
                <w:szCs w:val="22"/>
              </w:rPr>
            </w:pPr>
            <w:r w:rsidRPr="005D286F">
              <w:rPr>
                <w:b/>
                <w:sz w:val="22"/>
                <w:szCs w:val="22"/>
              </w:rPr>
              <w:t>(Jake)</w:t>
            </w:r>
          </w:p>
        </w:tc>
        <w:tc>
          <w:tcPr>
            <w:tcW w:w="3288" w:type="dxa"/>
            <w:tcBorders>
              <w:top w:val="single" w:sz="4" w:space="0" w:color="FFFFFF"/>
            </w:tcBorders>
            <w:shd w:val="clear" w:color="auto" w:fill="F2F2F2"/>
            <w:vAlign w:val="center"/>
          </w:tcPr>
          <w:p w14:paraId="2D0F2A1F" w14:textId="1A021826" w:rsidR="00B734ED" w:rsidRPr="00EF2694" w:rsidRDefault="00B734ED" w:rsidP="00B734ED">
            <w:pPr>
              <w:pStyle w:val="Heading2"/>
              <w:rPr>
                <w:i/>
                <w:sz w:val="22"/>
                <w:szCs w:val="22"/>
              </w:rPr>
            </w:pPr>
            <w:r w:rsidRPr="00EF2694">
              <w:rPr>
                <w:i/>
                <w:sz w:val="22"/>
                <w:szCs w:val="22"/>
              </w:rPr>
              <w:t>ASU 2022-03, Fair Value Measurement of Restricted Securities</w:t>
            </w:r>
          </w:p>
        </w:tc>
        <w:tc>
          <w:tcPr>
            <w:tcW w:w="2112" w:type="dxa"/>
            <w:tcBorders>
              <w:top w:val="single" w:sz="4" w:space="0" w:color="FFFFFF"/>
            </w:tcBorders>
            <w:shd w:val="clear" w:color="auto" w:fill="F2F2F2"/>
            <w:vAlign w:val="center"/>
          </w:tcPr>
          <w:p w14:paraId="39CFC0F4" w14:textId="39E639C1" w:rsidR="00B734ED" w:rsidRPr="005D286F" w:rsidRDefault="00325D92" w:rsidP="00B734ED">
            <w:pPr>
              <w:widowControl w:val="0"/>
              <w:jc w:val="center"/>
              <w:rPr>
                <w:b/>
                <w:sz w:val="22"/>
                <w:szCs w:val="22"/>
              </w:rPr>
            </w:pPr>
            <w:r>
              <w:rPr>
                <w:b/>
                <w:sz w:val="22"/>
                <w:szCs w:val="22"/>
              </w:rPr>
              <w:t>4</w:t>
            </w:r>
            <w:r w:rsidR="00B734ED">
              <w:rPr>
                <w:b/>
                <w:sz w:val="22"/>
                <w:szCs w:val="22"/>
              </w:rPr>
              <w:t xml:space="preserve"> – Agenda Item</w:t>
            </w:r>
          </w:p>
        </w:tc>
        <w:tc>
          <w:tcPr>
            <w:tcW w:w="1710" w:type="dxa"/>
            <w:tcBorders>
              <w:top w:val="single" w:sz="4" w:space="0" w:color="FFFFFF"/>
            </w:tcBorders>
            <w:shd w:val="clear" w:color="auto" w:fill="F2F2F2"/>
            <w:vAlign w:val="center"/>
          </w:tcPr>
          <w:p w14:paraId="535C8881" w14:textId="77777777" w:rsidR="00B734ED" w:rsidRPr="005D286F" w:rsidRDefault="00B734ED" w:rsidP="00B734ED">
            <w:pPr>
              <w:widowControl w:val="0"/>
              <w:jc w:val="center"/>
              <w:rPr>
                <w:b/>
                <w:sz w:val="22"/>
                <w:szCs w:val="22"/>
              </w:rPr>
            </w:pPr>
            <w:r>
              <w:rPr>
                <w:b/>
                <w:sz w:val="22"/>
                <w:szCs w:val="22"/>
              </w:rPr>
              <w:t>No Comment</w:t>
            </w:r>
          </w:p>
        </w:tc>
        <w:tc>
          <w:tcPr>
            <w:tcW w:w="1440" w:type="dxa"/>
            <w:tcBorders>
              <w:top w:val="single" w:sz="4" w:space="0" w:color="FFFFFF"/>
            </w:tcBorders>
            <w:shd w:val="clear" w:color="auto" w:fill="F2F2F2"/>
            <w:vAlign w:val="center"/>
          </w:tcPr>
          <w:p w14:paraId="1FEDB0C8" w14:textId="5A9569C0" w:rsidR="00B734ED" w:rsidRPr="005D286F" w:rsidRDefault="0008501F" w:rsidP="00B734ED">
            <w:pPr>
              <w:widowControl w:val="0"/>
              <w:jc w:val="center"/>
              <w:rPr>
                <w:b/>
                <w:sz w:val="22"/>
                <w:szCs w:val="22"/>
              </w:rPr>
            </w:pPr>
            <w:r>
              <w:rPr>
                <w:b/>
                <w:sz w:val="22"/>
                <w:szCs w:val="22"/>
              </w:rPr>
              <w:t>IP-1</w:t>
            </w:r>
            <w:r w:rsidR="00D165B1">
              <w:rPr>
                <w:b/>
                <w:sz w:val="22"/>
                <w:szCs w:val="22"/>
              </w:rPr>
              <w:t>4</w:t>
            </w:r>
          </w:p>
        </w:tc>
      </w:tr>
    </w:tbl>
    <w:p w14:paraId="023C36B6" w14:textId="77777777" w:rsidR="003D1F80" w:rsidRDefault="003D1F80" w:rsidP="00505E4D">
      <w:pPr>
        <w:jc w:val="center"/>
        <w:rPr>
          <w:i/>
          <w:sz w:val="22"/>
          <w:szCs w:val="22"/>
        </w:rPr>
      </w:pPr>
    </w:p>
    <w:p w14:paraId="3AB8F6E0" w14:textId="66F2BF66" w:rsidR="00374E4C" w:rsidRPr="007A4CDA" w:rsidRDefault="00505E4D" w:rsidP="00505E4D">
      <w:pPr>
        <w:pStyle w:val="BodyText2"/>
        <w:jc w:val="both"/>
        <w:rPr>
          <w:iCs/>
          <w:sz w:val="22"/>
          <w:szCs w:val="22"/>
          <w:u w:val="single"/>
        </w:rPr>
      </w:pPr>
      <w:r w:rsidRPr="007A4CDA">
        <w:rPr>
          <w:i/>
          <w:sz w:val="22"/>
          <w:szCs w:val="22"/>
          <w:u w:val="single"/>
        </w:rPr>
        <w:t>Summary:</w:t>
      </w:r>
      <w:r w:rsidR="00B85A6F" w:rsidRPr="007A4CDA">
        <w:rPr>
          <w:iCs/>
          <w:sz w:val="22"/>
          <w:szCs w:val="22"/>
          <w:u w:val="single"/>
        </w:rPr>
        <w:t xml:space="preserve"> </w:t>
      </w:r>
    </w:p>
    <w:p w14:paraId="4C16E085" w14:textId="62BE1909" w:rsidR="008166AA" w:rsidRPr="004D7179" w:rsidRDefault="000D0724" w:rsidP="00575188">
      <w:pPr>
        <w:pStyle w:val="BodyText2"/>
        <w:jc w:val="both"/>
        <w:rPr>
          <w:b/>
          <w:bCs/>
          <w:sz w:val="22"/>
          <w:szCs w:val="22"/>
        </w:rPr>
      </w:pPr>
      <w:r w:rsidRPr="004D7179">
        <w:rPr>
          <w:iCs/>
          <w:sz w:val="22"/>
          <w:szCs w:val="22"/>
        </w:rPr>
        <w:t>During the 2022 Fall National Meeting</w:t>
      </w:r>
      <w:r w:rsidR="008166AA" w:rsidRPr="004D7179">
        <w:rPr>
          <w:sz w:val="22"/>
          <w:szCs w:val="22"/>
        </w:rPr>
        <w:t xml:space="preserve"> the Working Group exposed SAP clarification revisions to </w:t>
      </w:r>
      <w:r w:rsidR="008166AA" w:rsidRPr="004D7179">
        <w:rPr>
          <w:i/>
          <w:iCs/>
          <w:sz w:val="22"/>
          <w:szCs w:val="22"/>
        </w:rPr>
        <w:t>SSAP No. 100R—Fair Value</w:t>
      </w:r>
      <w:r w:rsidR="008166AA" w:rsidRPr="004D7179">
        <w:rPr>
          <w:sz w:val="22"/>
          <w:szCs w:val="22"/>
        </w:rPr>
        <w:t xml:space="preserve"> to adopt </w:t>
      </w:r>
      <w:r w:rsidR="008166AA" w:rsidRPr="004D7179">
        <w:rPr>
          <w:i/>
          <w:iCs/>
          <w:sz w:val="22"/>
          <w:szCs w:val="22"/>
        </w:rPr>
        <w:t>ASU 2022-03, Fair Value Measurement of Equity Securities Subject to Contractual Sale Restrictions</w:t>
      </w:r>
      <w:r w:rsidR="008166AA" w:rsidRPr="004D7179">
        <w:rPr>
          <w:sz w:val="22"/>
          <w:szCs w:val="22"/>
        </w:rPr>
        <w:t xml:space="preserve"> with modification to be consistent with statutory language in the respective statutory accounting statements. </w:t>
      </w:r>
      <w:r w:rsidR="00241DC5" w:rsidRPr="004D7179">
        <w:rPr>
          <w:sz w:val="22"/>
          <w:szCs w:val="22"/>
        </w:rPr>
        <w:t xml:space="preserve">As detailed within the agenda item, </w:t>
      </w:r>
      <w:r w:rsidR="00B63B93" w:rsidRPr="004D7179">
        <w:rPr>
          <w:sz w:val="22"/>
          <w:szCs w:val="22"/>
        </w:rPr>
        <w:t xml:space="preserve">the </w:t>
      </w:r>
      <w:r w:rsidR="00321A8F">
        <w:rPr>
          <w:sz w:val="22"/>
          <w:szCs w:val="22"/>
        </w:rPr>
        <w:t xml:space="preserve">exposure </w:t>
      </w:r>
      <w:r w:rsidR="00B63B93" w:rsidRPr="004D7179">
        <w:rPr>
          <w:sz w:val="22"/>
          <w:szCs w:val="22"/>
        </w:rPr>
        <w:t xml:space="preserve">does </w:t>
      </w:r>
      <w:r w:rsidR="008166AA" w:rsidRPr="004D7179">
        <w:rPr>
          <w:sz w:val="22"/>
          <w:szCs w:val="22"/>
        </w:rPr>
        <w:t>not incorporat</w:t>
      </w:r>
      <w:r w:rsidR="00111854">
        <w:rPr>
          <w:sz w:val="22"/>
          <w:szCs w:val="22"/>
        </w:rPr>
        <w:t>e</w:t>
      </w:r>
      <w:r w:rsidR="008166AA" w:rsidRPr="004D7179">
        <w:rPr>
          <w:sz w:val="22"/>
          <w:szCs w:val="22"/>
        </w:rPr>
        <w:t xml:space="preserve"> the new proposed GAAP disclosures on sales restrictions, but identifies those items restricted as to sale would be captured as restricted assets per SSAP No. 1 and subject to admittance considerations under SSAP No. 4. </w:t>
      </w:r>
    </w:p>
    <w:p w14:paraId="24B026A9" w14:textId="77777777" w:rsidR="00505E4D" w:rsidRPr="004D7179" w:rsidRDefault="00505E4D" w:rsidP="008166AA">
      <w:pPr>
        <w:pStyle w:val="BodyText2"/>
        <w:rPr>
          <w:b/>
          <w:sz w:val="22"/>
          <w:szCs w:val="22"/>
        </w:rPr>
      </w:pPr>
    </w:p>
    <w:p w14:paraId="46F7DE4D" w14:textId="77777777" w:rsidR="00C37F15" w:rsidRPr="00E75904" w:rsidRDefault="00C37F15" w:rsidP="00C37F15">
      <w:pPr>
        <w:jc w:val="both"/>
        <w:rPr>
          <w:bCs/>
          <w:i/>
          <w:sz w:val="22"/>
          <w:szCs w:val="22"/>
          <w:u w:val="single"/>
        </w:rPr>
      </w:pPr>
      <w:r w:rsidRPr="00E75904">
        <w:rPr>
          <w:bCs/>
          <w:i/>
          <w:sz w:val="22"/>
          <w:szCs w:val="22"/>
          <w:u w:val="single"/>
        </w:rPr>
        <w:t>Interested Parties’ Comments:</w:t>
      </w:r>
    </w:p>
    <w:p w14:paraId="7DE91F08" w14:textId="77777777" w:rsidR="00575188" w:rsidRPr="004D7179" w:rsidRDefault="00575188" w:rsidP="00575188">
      <w:pPr>
        <w:pStyle w:val="BodyText2"/>
        <w:rPr>
          <w:b/>
          <w:bCs/>
          <w:sz w:val="22"/>
          <w:szCs w:val="22"/>
        </w:rPr>
      </w:pPr>
      <w:r w:rsidRPr="004D7179">
        <w:rPr>
          <w:sz w:val="22"/>
          <w:szCs w:val="22"/>
        </w:rPr>
        <w:t xml:space="preserve">Interested parties have no comments on this item. </w:t>
      </w:r>
    </w:p>
    <w:p w14:paraId="5A6FCC31" w14:textId="77777777" w:rsidR="00C37F15" w:rsidRPr="00E75904" w:rsidRDefault="00C37F15" w:rsidP="00505E4D">
      <w:pPr>
        <w:pStyle w:val="ListContinue"/>
        <w:numPr>
          <w:ilvl w:val="0"/>
          <w:numId w:val="0"/>
        </w:numPr>
        <w:spacing w:after="0"/>
        <w:jc w:val="both"/>
        <w:rPr>
          <w:bCs/>
          <w:i/>
          <w:kern w:val="32"/>
          <w:sz w:val="22"/>
          <w:szCs w:val="22"/>
        </w:rPr>
      </w:pPr>
    </w:p>
    <w:p w14:paraId="072F00E8" w14:textId="5A110814" w:rsidR="00505E4D" w:rsidRPr="007A4CDA" w:rsidRDefault="00505E4D" w:rsidP="00505E4D">
      <w:pPr>
        <w:pStyle w:val="ListContinue"/>
        <w:numPr>
          <w:ilvl w:val="0"/>
          <w:numId w:val="0"/>
        </w:numPr>
        <w:spacing w:after="0"/>
        <w:jc w:val="both"/>
        <w:rPr>
          <w:bCs/>
          <w:i/>
          <w:kern w:val="32"/>
          <w:sz w:val="22"/>
          <w:szCs w:val="22"/>
          <w:u w:val="single"/>
        </w:rPr>
      </w:pPr>
      <w:r w:rsidRPr="007A4CDA">
        <w:rPr>
          <w:bCs/>
          <w:i/>
          <w:kern w:val="32"/>
          <w:sz w:val="22"/>
          <w:szCs w:val="22"/>
          <w:u w:val="single"/>
        </w:rPr>
        <w:t>Recommendation:</w:t>
      </w:r>
    </w:p>
    <w:p w14:paraId="6AE15A5A" w14:textId="4E75A968" w:rsidR="00575188" w:rsidRDefault="00575188" w:rsidP="00575188">
      <w:pPr>
        <w:pStyle w:val="BodyText2"/>
        <w:jc w:val="both"/>
        <w:rPr>
          <w:b/>
          <w:bCs/>
          <w:sz w:val="22"/>
          <w:szCs w:val="22"/>
        </w:rPr>
      </w:pPr>
      <w:r w:rsidRPr="004D7179">
        <w:rPr>
          <w:b/>
          <w:bCs/>
          <w:sz w:val="22"/>
          <w:szCs w:val="22"/>
        </w:rPr>
        <w:t xml:space="preserve">NAIC staff recommends that the Working Group adopt </w:t>
      </w:r>
      <w:r w:rsidR="00B63B93" w:rsidRPr="004D7179">
        <w:rPr>
          <w:b/>
          <w:bCs/>
          <w:sz w:val="22"/>
          <w:szCs w:val="22"/>
        </w:rPr>
        <w:t>the exposed SAP clarifications to SSAP No. 100R</w:t>
      </w:r>
      <w:r w:rsidR="00E5691C" w:rsidRPr="004D7179">
        <w:rPr>
          <w:b/>
          <w:bCs/>
          <w:sz w:val="22"/>
          <w:szCs w:val="22"/>
        </w:rPr>
        <w:t xml:space="preserve">, which adopts </w:t>
      </w:r>
      <w:r w:rsidR="00E5691C" w:rsidRPr="004D7179">
        <w:rPr>
          <w:b/>
          <w:bCs/>
          <w:i/>
          <w:iCs/>
          <w:sz w:val="22"/>
          <w:szCs w:val="22"/>
        </w:rPr>
        <w:t>ASU 2022-03, Fair Value Measurement of Equity Securities Subject to Contractual Sales Restrictions</w:t>
      </w:r>
      <w:r w:rsidR="004560E4" w:rsidRPr="004560E4">
        <w:rPr>
          <w:b/>
          <w:bCs/>
          <w:sz w:val="22"/>
          <w:szCs w:val="22"/>
        </w:rPr>
        <w:t xml:space="preserve"> </w:t>
      </w:r>
      <w:r w:rsidR="004560E4" w:rsidRPr="004D7179">
        <w:rPr>
          <w:b/>
          <w:bCs/>
          <w:sz w:val="22"/>
          <w:szCs w:val="22"/>
        </w:rPr>
        <w:t>with modification</w:t>
      </w:r>
      <w:r w:rsidR="004560E4">
        <w:rPr>
          <w:b/>
          <w:bCs/>
          <w:sz w:val="22"/>
          <w:szCs w:val="22"/>
        </w:rPr>
        <w:t xml:space="preserve"> regarding SAP terminology and </w:t>
      </w:r>
      <w:r w:rsidR="0089003F">
        <w:rPr>
          <w:b/>
          <w:bCs/>
          <w:sz w:val="22"/>
          <w:szCs w:val="22"/>
        </w:rPr>
        <w:t xml:space="preserve">modification to exclude the </w:t>
      </w:r>
      <w:r w:rsidR="00AB03FD">
        <w:rPr>
          <w:b/>
          <w:bCs/>
          <w:sz w:val="22"/>
          <w:szCs w:val="22"/>
        </w:rPr>
        <w:t xml:space="preserve">sales restrictions </w:t>
      </w:r>
      <w:r w:rsidR="0089003F">
        <w:rPr>
          <w:b/>
          <w:bCs/>
          <w:sz w:val="22"/>
          <w:szCs w:val="22"/>
        </w:rPr>
        <w:t>disclosures in the ASU.</w:t>
      </w:r>
      <w:r w:rsidR="00CF0477">
        <w:rPr>
          <w:b/>
          <w:bCs/>
          <w:sz w:val="22"/>
          <w:szCs w:val="22"/>
        </w:rPr>
        <w:t xml:space="preserve"> </w:t>
      </w:r>
    </w:p>
    <w:p w14:paraId="2C47A1B3" w14:textId="77777777" w:rsidR="00A4687F" w:rsidRPr="004D7179" w:rsidRDefault="00A4687F" w:rsidP="00575188">
      <w:pPr>
        <w:pStyle w:val="BodyText2"/>
        <w:jc w:val="both"/>
        <w:rPr>
          <w:b/>
          <w:bCs/>
          <w:sz w:val="22"/>
          <w:szCs w:val="22"/>
          <w:u w:val="single"/>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97"/>
        <w:gridCol w:w="3091"/>
        <w:gridCol w:w="2112"/>
        <w:gridCol w:w="990"/>
        <w:gridCol w:w="720"/>
        <w:gridCol w:w="1440"/>
        <w:gridCol w:w="180"/>
      </w:tblGrid>
      <w:tr w:rsidR="0027337E" w:rsidRPr="005D286F" w14:paraId="1BAA18EC" w14:textId="77777777" w:rsidTr="00B16096">
        <w:tc>
          <w:tcPr>
            <w:tcW w:w="1722" w:type="dxa"/>
            <w:gridSpan w:val="2"/>
            <w:tcBorders>
              <w:top w:val="nil"/>
              <w:left w:val="single" w:sz="4" w:space="0" w:color="FFFFFF" w:themeColor="background1"/>
              <w:bottom w:val="single" w:sz="4" w:space="0" w:color="auto"/>
              <w:right w:val="single" w:sz="4" w:space="0" w:color="FFFFFF" w:themeColor="background1"/>
            </w:tcBorders>
            <w:shd w:val="clear" w:color="auto" w:fill="auto"/>
          </w:tcPr>
          <w:p w14:paraId="579961A2" w14:textId="68BA2CA5" w:rsidR="0027337E" w:rsidRPr="005D286F" w:rsidRDefault="005D286F">
            <w:pPr>
              <w:widowControl w:val="0"/>
              <w:jc w:val="center"/>
              <w:rPr>
                <w:b/>
                <w:color w:val="FFFFFF"/>
                <w:sz w:val="22"/>
                <w:szCs w:val="22"/>
              </w:rPr>
            </w:pPr>
            <w:r w:rsidRPr="004D7179">
              <w:rPr>
                <w:b/>
                <w:bCs/>
                <w:sz w:val="22"/>
                <w:szCs w:val="22"/>
                <w:u w:val="single"/>
              </w:rPr>
              <w:br w:type="page"/>
            </w:r>
          </w:p>
        </w:tc>
        <w:tc>
          <w:tcPr>
            <w:tcW w:w="6193" w:type="dxa"/>
            <w:gridSpan w:val="3"/>
            <w:tcBorders>
              <w:top w:val="nil"/>
              <w:left w:val="single" w:sz="4" w:space="0" w:color="FFFFFF" w:themeColor="background1"/>
              <w:bottom w:val="single" w:sz="4" w:space="0" w:color="auto"/>
              <w:right w:val="single" w:sz="4" w:space="0" w:color="FFFFFF" w:themeColor="background1"/>
            </w:tcBorders>
            <w:shd w:val="clear" w:color="auto" w:fill="auto"/>
          </w:tcPr>
          <w:p w14:paraId="32436EC7" w14:textId="250E6792" w:rsidR="0027337E" w:rsidRPr="005D286F" w:rsidRDefault="0027337E">
            <w:pPr>
              <w:widowControl w:val="0"/>
              <w:jc w:val="center"/>
              <w:rPr>
                <w:b/>
                <w:color w:val="FFFFFF"/>
                <w:sz w:val="22"/>
                <w:szCs w:val="22"/>
              </w:rPr>
            </w:pPr>
            <w:r w:rsidRPr="005D286F">
              <w:rPr>
                <w:b/>
                <w:color w:val="FFFFFF"/>
                <w:sz w:val="22"/>
                <w:szCs w:val="22"/>
              </w:rPr>
              <w:t>Title</w:t>
            </w:r>
          </w:p>
        </w:tc>
        <w:tc>
          <w:tcPr>
            <w:tcW w:w="2340" w:type="dxa"/>
            <w:gridSpan w:val="3"/>
            <w:tcBorders>
              <w:top w:val="nil"/>
              <w:left w:val="single" w:sz="4" w:space="0" w:color="FFFFFF" w:themeColor="background1"/>
              <w:bottom w:val="single" w:sz="4" w:space="0" w:color="auto"/>
              <w:right w:val="single" w:sz="4" w:space="0" w:color="FFFFFF" w:themeColor="background1"/>
            </w:tcBorders>
            <w:shd w:val="clear" w:color="auto" w:fill="auto"/>
          </w:tcPr>
          <w:p w14:paraId="5FFD837C" w14:textId="34A80150" w:rsidR="0027337E" w:rsidRPr="005D286F" w:rsidRDefault="0027337E">
            <w:pPr>
              <w:widowControl w:val="0"/>
              <w:jc w:val="center"/>
              <w:rPr>
                <w:b/>
                <w:color w:val="FFFFFF"/>
                <w:sz w:val="22"/>
                <w:szCs w:val="22"/>
              </w:rPr>
            </w:pPr>
            <w:r w:rsidRPr="005D286F">
              <w:rPr>
                <w:b/>
                <w:color w:val="FFFFFF"/>
                <w:sz w:val="22"/>
                <w:szCs w:val="22"/>
              </w:rPr>
              <w:t>Attachment #</w:t>
            </w:r>
          </w:p>
        </w:tc>
      </w:tr>
      <w:tr w:rsidR="0042387E" w:rsidRPr="00E07665" w14:paraId="441CA58D" w14:textId="77777777" w:rsidTr="00B16096">
        <w:trPr>
          <w:gridAfter w:val="1"/>
          <w:wAfter w:w="180" w:type="dxa"/>
          <w:trHeight w:val="159"/>
        </w:trPr>
        <w:tc>
          <w:tcPr>
            <w:tcW w:w="1525" w:type="dxa"/>
            <w:tcBorders>
              <w:top w:val="nil"/>
              <w:left w:val="single" w:sz="4" w:space="0" w:color="FFFFFF"/>
              <w:bottom w:val="single" w:sz="4" w:space="0" w:color="FFFFFF"/>
              <w:right w:val="single" w:sz="4" w:space="0" w:color="FFFFFF"/>
            </w:tcBorders>
            <w:shd w:val="solid" w:color="auto" w:fill="auto"/>
          </w:tcPr>
          <w:p w14:paraId="671C5D0E" w14:textId="77777777" w:rsidR="0042387E" w:rsidRDefault="0042387E">
            <w:pPr>
              <w:widowControl w:val="0"/>
              <w:jc w:val="center"/>
              <w:rPr>
                <w:b/>
                <w:color w:val="FFFFFF"/>
                <w:sz w:val="22"/>
                <w:szCs w:val="22"/>
              </w:rPr>
            </w:pPr>
          </w:p>
          <w:p w14:paraId="462AD494" w14:textId="77777777" w:rsidR="0042387E" w:rsidRPr="005D286F" w:rsidRDefault="0042387E">
            <w:pPr>
              <w:widowControl w:val="0"/>
              <w:jc w:val="center"/>
              <w:rPr>
                <w:b/>
                <w:color w:val="FFFFFF"/>
                <w:sz w:val="22"/>
                <w:szCs w:val="22"/>
              </w:rPr>
            </w:pPr>
            <w:r w:rsidRPr="005D286F">
              <w:rPr>
                <w:b/>
                <w:color w:val="FFFFFF"/>
                <w:sz w:val="22"/>
                <w:szCs w:val="22"/>
              </w:rPr>
              <w:t>Ref #</w:t>
            </w:r>
          </w:p>
        </w:tc>
        <w:tc>
          <w:tcPr>
            <w:tcW w:w="3288" w:type="dxa"/>
            <w:gridSpan w:val="2"/>
            <w:tcBorders>
              <w:top w:val="nil"/>
              <w:left w:val="single" w:sz="4" w:space="0" w:color="FFFFFF"/>
              <w:bottom w:val="single" w:sz="4" w:space="0" w:color="FFFFFF"/>
              <w:right w:val="single" w:sz="4" w:space="0" w:color="FFFFFF"/>
            </w:tcBorders>
            <w:shd w:val="solid" w:color="auto" w:fill="auto"/>
          </w:tcPr>
          <w:p w14:paraId="742A05AF" w14:textId="77777777" w:rsidR="0042387E" w:rsidRDefault="0042387E">
            <w:pPr>
              <w:widowControl w:val="0"/>
              <w:jc w:val="center"/>
              <w:rPr>
                <w:b/>
                <w:color w:val="FFFFFF"/>
                <w:sz w:val="22"/>
                <w:szCs w:val="22"/>
              </w:rPr>
            </w:pPr>
          </w:p>
          <w:p w14:paraId="0B28F533" w14:textId="77777777" w:rsidR="0042387E" w:rsidRPr="005D286F" w:rsidRDefault="0042387E">
            <w:pPr>
              <w:widowControl w:val="0"/>
              <w:jc w:val="center"/>
              <w:rPr>
                <w:b/>
                <w:color w:val="FFFFFF"/>
                <w:sz w:val="22"/>
                <w:szCs w:val="22"/>
              </w:rPr>
            </w:pPr>
            <w:r w:rsidRPr="005D286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3D536B49" w14:textId="77777777" w:rsidR="0042387E" w:rsidRDefault="0042387E">
            <w:pPr>
              <w:widowControl w:val="0"/>
              <w:jc w:val="center"/>
              <w:rPr>
                <w:b/>
                <w:color w:val="FFFFFF"/>
                <w:sz w:val="22"/>
                <w:szCs w:val="22"/>
              </w:rPr>
            </w:pPr>
          </w:p>
          <w:p w14:paraId="4447AD7B" w14:textId="77777777" w:rsidR="0042387E" w:rsidRPr="00E07665" w:rsidRDefault="0042387E">
            <w:pPr>
              <w:widowControl w:val="0"/>
              <w:jc w:val="center"/>
              <w:rPr>
                <w:b/>
                <w:color w:val="FFFFFF"/>
                <w:sz w:val="22"/>
                <w:szCs w:val="22"/>
              </w:rPr>
            </w:pPr>
            <w:r w:rsidRPr="00E07665">
              <w:rPr>
                <w:b/>
                <w:color w:val="FFFFFF"/>
                <w:sz w:val="22"/>
                <w:szCs w:val="22"/>
              </w:rPr>
              <w:t>Attachment #</w:t>
            </w:r>
          </w:p>
        </w:tc>
        <w:tc>
          <w:tcPr>
            <w:tcW w:w="1710" w:type="dxa"/>
            <w:gridSpan w:val="2"/>
            <w:tcBorders>
              <w:top w:val="nil"/>
              <w:left w:val="single" w:sz="4" w:space="0" w:color="FFFFFF"/>
              <w:bottom w:val="single" w:sz="4" w:space="0" w:color="FFFFFF"/>
              <w:right w:val="single" w:sz="4" w:space="0" w:color="FFFFFF"/>
            </w:tcBorders>
            <w:shd w:val="solid" w:color="auto" w:fill="auto"/>
          </w:tcPr>
          <w:p w14:paraId="0CD718FC" w14:textId="77777777" w:rsidR="0042387E" w:rsidRPr="00E07665" w:rsidRDefault="0042387E">
            <w:pPr>
              <w:widowControl w:val="0"/>
              <w:jc w:val="center"/>
              <w:rPr>
                <w:b/>
                <w:bCs/>
                <w:color w:val="FFFFFF"/>
                <w:sz w:val="22"/>
                <w:szCs w:val="22"/>
              </w:rPr>
            </w:pPr>
            <w:r w:rsidRPr="004D7179">
              <w:rPr>
                <w:b/>
                <w:sz w:val="22"/>
                <w:szCs w:val="22"/>
              </w:rPr>
              <w:t>Agreement with Exposed Document?</w:t>
            </w:r>
            <w:r w:rsidRPr="00E07665">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32E63219" w14:textId="77777777" w:rsidR="0042387E" w:rsidRPr="00E07665" w:rsidRDefault="0042387E">
            <w:pPr>
              <w:widowControl w:val="0"/>
              <w:jc w:val="center"/>
              <w:rPr>
                <w:b/>
                <w:bCs/>
                <w:color w:val="FFFFFF"/>
                <w:sz w:val="22"/>
                <w:szCs w:val="22"/>
              </w:rPr>
            </w:pPr>
            <w:r w:rsidRPr="004D7179">
              <w:rPr>
                <w:b/>
                <w:sz w:val="22"/>
                <w:szCs w:val="22"/>
              </w:rPr>
              <w:t>Comment Letter Page Number</w:t>
            </w:r>
          </w:p>
        </w:tc>
      </w:tr>
      <w:tr w:rsidR="00EB7A71" w:rsidRPr="005D286F" w14:paraId="02F4F73B" w14:textId="77777777" w:rsidTr="00817034">
        <w:trPr>
          <w:gridAfter w:val="1"/>
          <w:wAfter w:w="180" w:type="dxa"/>
          <w:trHeight w:val="595"/>
        </w:trPr>
        <w:tc>
          <w:tcPr>
            <w:tcW w:w="1525" w:type="dxa"/>
            <w:tcBorders>
              <w:top w:val="single" w:sz="4" w:space="0" w:color="FFFFFF"/>
            </w:tcBorders>
            <w:shd w:val="clear" w:color="auto" w:fill="F2F2F2"/>
            <w:vAlign w:val="center"/>
          </w:tcPr>
          <w:p w14:paraId="31289EFA" w14:textId="79E6213B" w:rsidR="00EB7A71" w:rsidRPr="004C1D19" w:rsidRDefault="00EB7A71" w:rsidP="00EB7A71">
            <w:pPr>
              <w:widowControl w:val="0"/>
              <w:jc w:val="center"/>
              <w:rPr>
                <w:b/>
                <w:sz w:val="22"/>
                <w:szCs w:val="22"/>
              </w:rPr>
            </w:pPr>
            <w:r w:rsidRPr="004C1D19">
              <w:rPr>
                <w:b/>
                <w:sz w:val="22"/>
                <w:szCs w:val="22"/>
              </w:rPr>
              <w:t>2022-</w:t>
            </w:r>
            <w:r w:rsidRPr="004D7179">
              <w:rPr>
                <w:b/>
                <w:sz w:val="22"/>
                <w:szCs w:val="22"/>
              </w:rPr>
              <w:t>18</w:t>
            </w:r>
          </w:p>
          <w:p w14:paraId="1B729CBA" w14:textId="359A7928" w:rsidR="00EB7A71" w:rsidRPr="005D286F" w:rsidRDefault="00EB7A71" w:rsidP="00EB7A71">
            <w:pPr>
              <w:widowControl w:val="0"/>
              <w:jc w:val="center"/>
              <w:rPr>
                <w:b/>
                <w:sz w:val="22"/>
                <w:szCs w:val="22"/>
              </w:rPr>
            </w:pPr>
            <w:r w:rsidRPr="004C1D19">
              <w:rPr>
                <w:b/>
                <w:sz w:val="22"/>
                <w:szCs w:val="22"/>
              </w:rPr>
              <w:t>(</w:t>
            </w:r>
            <w:r w:rsidRPr="004D7179">
              <w:rPr>
                <w:b/>
                <w:sz w:val="22"/>
                <w:szCs w:val="22"/>
              </w:rPr>
              <w:t>Robin</w:t>
            </w:r>
            <w:r w:rsidRPr="004C1D19">
              <w:rPr>
                <w:b/>
                <w:sz w:val="22"/>
                <w:szCs w:val="22"/>
              </w:rPr>
              <w:t>)</w:t>
            </w:r>
          </w:p>
        </w:tc>
        <w:tc>
          <w:tcPr>
            <w:tcW w:w="3288" w:type="dxa"/>
            <w:gridSpan w:val="2"/>
            <w:tcBorders>
              <w:top w:val="single" w:sz="4" w:space="0" w:color="FFFFFF"/>
            </w:tcBorders>
            <w:shd w:val="clear" w:color="auto" w:fill="F2F2F2"/>
            <w:vAlign w:val="center"/>
          </w:tcPr>
          <w:p w14:paraId="16F3462B" w14:textId="06C402A4" w:rsidR="00EB7A71" w:rsidRPr="00175572" w:rsidRDefault="00EB7A71" w:rsidP="00EB7A71">
            <w:pPr>
              <w:pStyle w:val="Heading2"/>
              <w:rPr>
                <w:i/>
                <w:sz w:val="22"/>
                <w:szCs w:val="22"/>
              </w:rPr>
            </w:pPr>
            <w:r w:rsidRPr="00175572">
              <w:rPr>
                <w:i/>
                <w:sz w:val="22"/>
                <w:szCs w:val="22"/>
              </w:rPr>
              <w:t>ASU 2022-04, Disclosure of Supplier Finance Program Obligations</w:t>
            </w:r>
          </w:p>
        </w:tc>
        <w:tc>
          <w:tcPr>
            <w:tcW w:w="2112" w:type="dxa"/>
            <w:tcBorders>
              <w:top w:val="single" w:sz="4" w:space="0" w:color="FFFFFF"/>
            </w:tcBorders>
            <w:shd w:val="clear" w:color="auto" w:fill="F2F2F2"/>
            <w:vAlign w:val="center"/>
          </w:tcPr>
          <w:p w14:paraId="0DD794C0" w14:textId="1F040762" w:rsidR="00EB7A71" w:rsidRPr="005D286F" w:rsidRDefault="00325D92" w:rsidP="00EB7A71">
            <w:pPr>
              <w:widowControl w:val="0"/>
              <w:jc w:val="center"/>
              <w:rPr>
                <w:b/>
                <w:sz w:val="22"/>
                <w:szCs w:val="22"/>
              </w:rPr>
            </w:pPr>
            <w:r>
              <w:rPr>
                <w:b/>
                <w:sz w:val="22"/>
                <w:szCs w:val="22"/>
              </w:rPr>
              <w:t>5</w:t>
            </w:r>
            <w:r w:rsidR="00EB7A71">
              <w:rPr>
                <w:b/>
                <w:sz w:val="22"/>
                <w:szCs w:val="22"/>
              </w:rPr>
              <w:t xml:space="preserve"> – Agenda Item</w:t>
            </w:r>
          </w:p>
        </w:tc>
        <w:tc>
          <w:tcPr>
            <w:tcW w:w="1710" w:type="dxa"/>
            <w:gridSpan w:val="2"/>
            <w:tcBorders>
              <w:top w:val="single" w:sz="4" w:space="0" w:color="FFFFFF"/>
            </w:tcBorders>
            <w:shd w:val="clear" w:color="auto" w:fill="F2F2F2"/>
            <w:vAlign w:val="center"/>
          </w:tcPr>
          <w:p w14:paraId="12649A1A" w14:textId="27D6E556" w:rsidR="00EB7A71" w:rsidRPr="005D286F" w:rsidRDefault="00EB7A71" w:rsidP="00EB7A71">
            <w:pPr>
              <w:widowControl w:val="0"/>
              <w:jc w:val="center"/>
              <w:rPr>
                <w:b/>
                <w:sz w:val="22"/>
                <w:szCs w:val="22"/>
              </w:rPr>
            </w:pPr>
            <w:r>
              <w:rPr>
                <w:b/>
                <w:sz w:val="22"/>
                <w:szCs w:val="22"/>
              </w:rPr>
              <w:t>No Comment</w:t>
            </w:r>
          </w:p>
        </w:tc>
        <w:tc>
          <w:tcPr>
            <w:tcW w:w="1440" w:type="dxa"/>
            <w:tcBorders>
              <w:top w:val="single" w:sz="4" w:space="0" w:color="FFFFFF"/>
            </w:tcBorders>
            <w:shd w:val="clear" w:color="auto" w:fill="F2F2F2"/>
            <w:vAlign w:val="center"/>
          </w:tcPr>
          <w:p w14:paraId="3878878D" w14:textId="3178C965" w:rsidR="00EB7A71" w:rsidRPr="005D286F" w:rsidRDefault="0008501F" w:rsidP="00EB7A71">
            <w:pPr>
              <w:widowControl w:val="0"/>
              <w:jc w:val="center"/>
              <w:rPr>
                <w:b/>
                <w:sz w:val="22"/>
                <w:szCs w:val="22"/>
              </w:rPr>
            </w:pPr>
            <w:r>
              <w:rPr>
                <w:b/>
                <w:sz w:val="22"/>
                <w:szCs w:val="22"/>
              </w:rPr>
              <w:t>IP-</w:t>
            </w:r>
            <w:r w:rsidR="00321410">
              <w:rPr>
                <w:b/>
                <w:sz w:val="22"/>
                <w:szCs w:val="22"/>
              </w:rPr>
              <w:t>15</w:t>
            </w:r>
          </w:p>
        </w:tc>
      </w:tr>
    </w:tbl>
    <w:p w14:paraId="01384785" w14:textId="77777777" w:rsidR="0042387E" w:rsidRDefault="0042387E" w:rsidP="00505E4D">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04E53E84" w14:textId="77777777" w:rsidR="004460D7" w:rsidRPr="007A4CDA" w:rsidRDefault="004460D7" w:rsidP="004460D7">
      <w:pPr>
        <w:jc w:val="both"/>
        <w:rPr>
          <w:sz w:val="22"/>
          <w:szCs w:val="22"/>
          <w:u w:val="single"/>
        </w:rPr>
      </w:pPr>
      <w:r w:rsidRPr="007A4CDA">
        <w:rPr>
          <w:i/>
          <w:sz w:val="22"/>
          <w:szCs w:val="22"/>
          <w:u w:val="single"/>
        </w:rPr>
        <w:t>Summary:</w:t>
      </w:r>
      <w:r w:rsidRPr="007A4CDA">
        <w:rPr>
          <w:sz w:val="22"/>
          <w:szCs w:val="22"/>
          <w:u w:val="single"/>
        </w:rPr>
        <w:t xml:space="preserve"> </w:t>
      </w:r>
    </w:p>
    <w:p w14:paraId="6555D46A" w14:textId="1E955889" w:rsidR="00C20CC7" w:rsidRPr="004D7179" w:rsidRDefault="00C20CC7" w:rsidP="00C20CC7">
      <w:pPr>
        <w:pStyle w:val="BodyText2"/>
        <w:jc w:val="both"/>
        <w:rPr>
          <w:iCs/>
          <w:sz w:val="22"/>
          <w:szCs w:val="22"/>
        </w:rPr>
      </w:pPr>
      <w:r w:rsidRPr="004D7179">
        <w:rPr>
          <w:iCs/>
          <w:sz w:val="22"/>
          <w:szCs w:val="22"/>
        </w:rPr>
        <w:t xml:space="preserve">During the 2022 Fall National Meeting, the Working Group exposed SAP clarifications to </w:t>
      </w:r>
      <w:r w:rsidRPr="004D7179">
        <w:rPr>
          <w:i/>
          <w:sz w:val="22"/>
          <w:szCs w:val="22"/>
        </w:rPr>
        <w:t>SSAP No. 105R—Working Capital Finance Investments</w:t>
      </w:r>
      <w:r w:rsidRPr="004D7179">
        <w:rPr>
          <w:iCs/>
          <w:sz w:val="22"/>
          <w:szCs w:val="22"/>
        </w:rPr>
        <w:t xml:space="preserve"> to reject </w:t>
      </w:r>
      <w:bookmarkStart w:id="1" w:name="_Hlk128086287"/>
      <w:r w:rsidRPr="004D7179">
        <w:rPr>
          <w:i/>
          <w:sz w:val="22"/>
          <w:szCs w:val="22"/>
        </w:rPr>
        <w:t>ASU 2022-04, Disclosure of Supplier Finance Program Obligations</w:t>
      </w:r>
      <w:r w:rsidR="004D7179" w:rsidRPr="004D7179">
        <w:rPr>
          <w:i/>
          <w:sz w:val="22"/>
          <w:szCs w:val="22"/>
        </w:rPr>
        <w:t xml:space="preserve"> </w:t>
      </w:r>
      <w:bookmarkEnd w:id="1"/>
      <w:r w:rsidR="004D7179" w:rsidRPr="004D7179">
        <w:rPr>
          <w:iCs/>
          <w:sz w:val="22"/>
          <w:szCs w:val="22"/>
        </w:rPr>
        <w:t xml:space="preserve">for statutory accounting </w:t>
      </w:r>
      <w:r w:rsidR="004D7179" w:rsidRPr="005021FA">
        <w:rPr>
          <w:sz w:val="22"/>
          <w:szCs w:val="22"/>
        </w:rPr>
        <w:t>as the disclosures</w:t>
      </w:r>
      <w:r w:rsidR="0062271E" w:rsidRPr="005021FA">
        <w:rPr>
          <w:sz w:val="22"/>
          <w:szCs w:val="22"/>
        </w:rPr>
        <w:t xml:space="preserve"> </w:t>
      </w:r>
      <w:r w:rsidR="00844DD4" w:rsidRPr="005021FA">
        <w:rPr>
          <w:sz w:val="22"/>
          <w:szCs w:val="22"/>
        </w:rPr>
        <w:t xml:space="preserve">are </w:t>
      </w:r>
      <w:r w:rsidR="0062271E" w:rsidRPr="005021FA">
        <w:rPr>
          <w:sz w:val="22"/>
          <w:szCs w:val="22"/>
        </w:rPr>
        <w:t>for borrowers in these programs</w:t>
      </w:r>
      <w:r w:rsidR="00D555C1" w:rsidRPr="005021FA">
        <w:rPr>
          <w:sz w:val="22"/>
          <w:szCs w:val="22"/>
        </w:rPr>
        <w:t xml:space="preserve"> </w:t>
      </w:r>
      <w:r w:rsidR="00844DD4" w:rsidRPr="005021FA">
        <w:rPr>
          <w:sz w:val="22"/>
          <w:szCs w:val="22"/>
        </w:rPr>
        <w:t xml:space="preserve">and </w:t>
      </w:r>
      <w:r w:rsidR="00C8296C" w:rsidRPr="005021FA">
        <w:rPr>
          <w:sz w:val="22"/>
          <w:szCs w:val="22"/>
        </w:rPr>
        <w:t xml:space="preserve">as such, </w:t>
      </w:r>
      <w:r w:rsidR="004D7179" w:rsidRPr="005021FA">
        <w:rPr>
          <w:sz w:val="22"/>
          <w:szCs w:val="22"/>
        </w:rPr>
        <w:t xml:space="preserve">are not relevant for insurance </w:t>
      </w:r>
      <w:r w:rsidR="00D1559B" w:rsidRPr="005021FA">
        <w:rPr>
          <w:sz w:val="22"/>
          <w:szCs w:val="22"/>
        </w:rPr>
        <w:t>preparers</w:t>
      </w:r>
      <w:r w:rsidR="00B560D8" w:rsidRPr="005021FA">
        <w:rPr>
          <w:sz w:val="22"/>
          <w:szCs w:val="22"/>
        </w:rPr>
        <w:t xml:space="preserve"> that may </w:t>
      </w:r>
      <w:r w:rsidR="00B96B5D" w:rsidRPr="005021FA">
        <w:rPr>
          <w:sz w:val="22"/>
          <w:szCs w:val="22"/>
        </w:rPr>
        <w:t xml:space="preserve">invest in these </w:t>
      </w:r>
      <w:r w:rsidR="0062271E" w:rsidRPr="005021FA">
        <w:rPr>
          <w:sz w:val="22"/>
          <w:szCs w:val="22"/>
        </w:rPr>
        <w:t>programs</w:t>
      </w:r>
      <w:r w:rsidR="004D7179" w:rsidRPr="004D7179">
        <w:rPr>
          <w:iCs/>
          <w:sz w:val="22"/>
          <w:szCs w:val="22"/>
        </w:rPr>
        <w:t>.</w:t>
      </w:r>
      <w:r w:rsidR="00CF0477">
        <w:rPr>
          <w:iCs/>
          <w:sz w:val="22"/>
          <w:szCs w:val="22"/>
        </w:rPr>
        <w:t xml:space="preserve"> </w:t>
      </w:r>
    </w:p>
    <w:p w14:paraId="2052B283" w14:textId="77777777" w:rsidR="00E75904" w:rsidRDefault="00E75904" w:rsidP="00392CD8">
      <w:pPr>
        <w:pStyle w:val="paragraph"/>
        <w:spacing w:before="0" w:beforeAutospacing="0" w:after="0" w:afterAutospacing="0"/>
        <w:jc w:val="both"/>
        <w:textAlignment w:val="baseline"/>
        <w:rPr>
          <w:bCs/>
          <w:i/>
          <w:sz w:val="22"/>
          <w:szCs w:val="22"/>
          <w:u w:val="single"/>
        </w:rPr>
      </w:pPr>
    </w:p>
    <w:p w14:paraId="299940F0" w14:textId="5E23D942" w:rsidR="004460D7" w:rsidRPr="00D130DA" w:rsidRDefault="004460D7" w:rsidP="00392CD8">
      <w:pPr>
        <w:pStyle w:val="paragraph"/>
        <w:spacing w:before="0" w:beforeAutospacing="0" w:after="0" w:afterAutospacing="0"/>
        <w:jc w:val="both"/>
        <w:textAlignment w:val="baseline"/>
        <w:rPr>
          <w:bCs/>
          <w:i/>
          <w:sz w:val="22"/>
          <w:szCs w:val="22"/>
          <w:u w:val="single"/>
        </w:rPr>
      </w:pPr>
      <w:r w:rsidRPr="00D130DA">
        <w:rPr>
          <w:bCs/>
          <w:i/>
          <w:sz w:val="22"/>
          <w:szCs w:val="22"/>
          <w:u w:val="single"/>
        </w:rPr>
        <w:t>Interested Parties’ Comments:</w:t>
      </w:r>
    </w:p>
    <w:p w14:paraId="41402EA6" w14:textId="77777777" w:rsidR="004D7179" w:rsidRPr="004D7179" w:rsidRDefault="004D7179" w:rsidP="004D7179">
      <w:pPr>
        <w:pStyle w:val="BodyText2"/>
        <w:rPr>
          <w:b/>
          <w:bCs/>
          <w:sz w:val="22"/>
          <w:szCs w:val="22"/>
        </w:rPr>
      </w:pPr>
      <w:r w:rsidRPr="004D7179">
        <w:rPr>
          <w:sz w:val="22"/>
          <w:szCs w:val="22"/>
        </w:rPr>
        <w:t xml:space="preserve">Interested parties have no comments on this item. </w:t>
      </w:r>
    </w:p>
    <w:p w14:paraId="5C21FCD4" w14:textId="77777777" w:rsidR="004460D7" w:rsidRPr="00D130DA" w:rsidRDefault="004460D7" w:rsidP="003F6D44">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3171364E" w14:textId="77777777" w:rsidR="004460D7" w:rsidRPr="004460D7" w:rsidRDefault="004460D7" w:rsidP="003F6D44">
      <w:pPr>
        <w:pStyle w:val="ListContinue"/>
        <w:numPr>
          <w:ilvl w:val="0"/>
          <w:numId w:val="0"/>
        </w:numPr>
        <w:spacing w:after="0"/>
        <w:jc w:val="both"/>
        <w:rPr>
          <w:bCs/>
          <w:i/>
          <w:kern w:val="32"/>
          <w:sz w:val="22"/>
          <w:szCs w:val="22"/>
          <w:u w:val="single"/>
        </w:rPr>
      </w:pPr>
      <w:r w:rsidRPr="004460D7">
        <w:rPr>
          <w:bCs/>
          <w:i/>
          <w:kern w:val="32"/>
          <w:sz w:val="22"/>
          <w:szCs w:val="22"/>
          <w:u w:val="single"/>
        </w:rPr>
        <w:t>Recommendation:</w:t>
      </w:r>
    </w:p>
    <w:p w14:paraId="2BC91CFC" w14:textId="30A210D6" w:rsidR="00B033F4" w:rsidRPr="005D286F" w:rsidRDefault="004D7179" w:rsidP="008A563B">
      <w:pPr>
        <w:pStyle w:val="BodyText2"/>
        <w:jc w:val="both"/>
        <w:rPr>
          <w:i/>
          <w:sz w:val="22"/>
          <w:szCs w:val="22"/>
          <w:highlight w:val="yellow"/>
        </w:rPr>
      </w:pPr>
      <w:r w:rsidRPr="004D7179">
        <w:rPr>
          <w:b/>
          <w:bCs/>
          <w:sz w:val="22"/>
          <w:szCs w:val="22"/>
        </w:rPr>
        <w:t xml:space="preserve">NAIC staff recommends that the Working Group adopt the exposed SAP clarifications </w:t>
      </w:r>
      <w:r>
        <w:rPr>
          <w:b/>
          <w:bCs/>
          <w:sz w:val="22"/>
          <w:szCs w:val="22"/>
        </w:rPr>
        <w:t xml:space="preserve">to </w:t>
      </w:r>
      <w:r w:rsidRPr="004D7179">
        <w:rPr>
          <w:b/>
          <w:bCs/>
          <w:i/>
          <w:iCs/>
          <w:sz w:val="22"/>
          <w:szCs w:val="22"/>
        </w:rPr>
        <w:t>SSAP No. 105R—Working Capital Finance Investments</w:t>
      </w:r>
      <w:r>
        <w:rPr>
          <w:b/>
          <w:bCs/>
          <w:sz w:val="22"/>
          <w:szCs w:val="22"/>
        </w:rPr>
        <w:t xml:space="preserve"> to reject </w:t>
      </w:r>
      <w:r w:rsidRPr="00C41183">
        <w:rPr>
          <w:b/>
          <w:i/>
          <w:sz w:val="22"/>
          <w:szCs w:val="22"/>
        </w:rPr>
        <w:t>ASU 2022</w:t>
      </w:r>
      <w:r w:rsidR="00B826D5" w:rsidRPr="00C41183">
        <w:rPr>
          <w:b/>
          <w:i/>
          <w:sz w:val="22"/>
          <w:szCs w:val="22"/>
        </w:rPr>
        <w:t>-0</w:t>
      </w:r>
      <w:r w:rsidRPr="00C41183">
        <w:rPr>
          <w:b/>
          <w:i/>
          <w:sz w:val="22"/>
          <w:szCs w:val="22"/>
        </w:rPr>
        <w:t>4</w:t>
      </w:r>
      <w:r w:rsidR="00A977F2" w:rsidRPr="00C41183">
        <w:rPr>
          <w:b/>
          <w:bCs/>
          <w:i/>
          <w:sz w:val="22"/>
          <w:szCs w:val="22"/>
        </w:rPr>
        <w:t>, Disclosure of Supplier Finance Program Obligations</w:t>
      </w:r>
      <w:r w:rsidRPr="00C41183">
        <w:rPr>
          <w:b/>
          <w:i/>
          <w:sz w:val="22"/>
          <w:szCs w:val="22"/>
        </w:rPr>
        <w:t xml:space="preserve"> </w:t>
      </w:r>
      <w:r>
        <w:rPr>
          <w:b/>
          <w:bCs/>
          <w:sz w:val="22"/>
          <w:szCs w:val="22"/>
        </w:rPr>
        <w:t xml:space="preserve">for statutory accounting. </w:t>
      </w:r>
    </w:p>
    <w:p w14:paraId="3DAF6B11" w14:textId="77777777" w:rsidR="00882F7E" w:rsidRDefault="00882F7E">
      <w:pPr>
        <w:rPr>
          <w:b/>
          <w:bCs/>
          <w:sz w:val="22"/>
          <w:szCs w:val="22"/>
          <w:u w:val="single"/>
        </w:rPr>
      </w:pPr>
      <w:r>
        <w:rPr>
          <w:b/>
          <w:bCs/>
          <w:sz w:val="22"/>
          <w:szCs w:val="22"/>
          <w:u w:val="single"/>
        </w:rPr>
        <w:br w:type="page"/>
      </w:r>
    </w:p>
    <w:p w14:paraId="69854958" w14:textId="16405952" w:rsidR="0042558E" w:rsidRPr="005D286F" w:rsidRDefault="0042558E" w:rsidP="0042558E">
      <w:pPr>
        <w:jc w:val="center"/>
        <w:rPr>
          <w:b/>
          <w:bCs/>
          <w:sz w:val="22"/>
          <w:szCs w:val="22"/>
          <w:u w:val="single"/>
        </w:rPr>
      </w:pPr>
      <w:r w:rsidRPr="005D286F">
        <w:rPr>
          <w:b/>
          <w:bCs/>
          <w:sz w:val="22"/>
          <w:szCs w:val="22"/>
          <w:u w:val="single"/>
        </w:rPr>
        <w:lastRenderedPageBreak/>
        <w:t xml:space="preserve">REVIEW of COMMENTS on EXPOSED ITEMS </w:t>
      </w:r>
    </w:p>
    <w:p w14:paraId="395BA13E" w14:textId="77777777" w:rsidR="0042558E" w:rsidRPr="005D286F" w:rsidRDefault="0042558E" w:rsidP="0042558E">
      <w:pPr>
        <w:jc w:val="center"/>
        <w:rPr>
          <w:bCs/>
          <w:sz w:val="22"/>
          <w:szCs w:val="22"/>
        </w:rPr>
      </w:pPr>
    </w:p>
    <w:p w14:paraId="0B458D0F" w14:textId="77777777" w:rsidR="0042558E" w:rsidRPr="005D286F" w:rsidRDefault="0042558E" w:rsidP="0042558E">
      <w:pPr>
        <w:spacing w:after="120"/>
        <w:jc w:val="both"/>
        <w:rPr>
          <w:bCs/>
          <w:sz w:val="22"/>
          <w:szCs w:val="22"/>
        </w:rPr>
      </w:pPr>
      <w:r w:rsidRPr="005D286F">
        <w:rPr>
          <w:bCs/>
          <w:sz w:val="22"/>
          <w:szCs w:val="22"/>
        </w:rPr>
        <w:t xml:space="preserve">The following items received comments during the exposure period that are open for discussion. </w:t>
      </w:r>
    </w:p>
    <w:p w14:paraId="312AEE66" w14:textId="7F2F70E0" w:rsidR="004C2D6E" w:rsidRDefault="004C2D6E" w:rsidP="00565D51">
      <w:pPr>
        <w:keepNext/>
        <w:keepLines/>
        <w:numPr>
          <w:ilvl w:val="0"/>
          <w:numId w:val="21"/>
        </w:numPr>
        <w:rPr>
          <w:bCs/>
          <w:iCs/>
          <w:sz w:val="22"/>
          <w:szCs w:val="22"/>
        </w:rPr>
      </w:pPr>
      <w:r>
        <w:rPr>
          <w:bCs/>
          <w:iCs/>
          <w:sz w:val="22"/>
          <w:szCs w:val="22"/>
        </w:rPr>
        <w:t>Ref #</w:t>
      </w:r>
      <w:r w:rsidR="000C51BC">
        <w:rPr>
          <w:bCs/>
          <w:iCs/>
          <w:sz w:val="22"/>
          <w:szCs w:val="22"/>
        </w:rPr>
        <w:t>2019-21: Principles-Based Bond Definition</w:t>
      </w:r>
    </w:p>
    <w:p w14:paraId="6926F26C" w14:textId="4DF7A969" w:rsidR="00FE1636" w:rsidRPr="00FE1636" w:rsidRDefault="00FE1636" w:rsidP="00565D51">
      <w:pPr>
        <w:keepNext/>
        <w:keepLines/>
        <w:numPr>
          <w:ilvl w:val="0"/>
          <w:numId w:val="21"/>
        </w:numPr>
        <w:rPr>
          <w:bCs/>
          <w:iCs/>
          <w:sz w:val="22"/>
          <w:szCs w:val="22"/>
        </w:rPr>
      </w:pPr>
      <w:r w:rsidRPr="00FE1636">
        <w:rPr>
          <w:bCs/>
          <w:iCs/>
          <w:sz w:val="22"/>
          <w:szCs w:val="22"/>
        </w:rPr>
        <w:t>Ref #2022-01: Conceptual Framework - Updates</w:t>
      </w:r>
    </w:p>
    <w:p w14:paraId="107ACF87" w14:textId="541FF5D6" w:rsidR="0042558E" w:rsidRPr="00B85A6F" w:rsidRDefault="0042558E" w:rsidP="00565D51">
      <w:pPr>
        <w:keepNext/>
        <w:keepLines/>
        <w:numPr>
          <w:ilvl w:val="0"/>
          <w:numId w:val="21"/>
        </w:numPr>
        <w:rPr>
          <w:bCs/>
          <w:i/>
          <w:sz w:val="22"/>
          <w:szCs w:val="22"/>
        </w:rPr>
      </w:pPr>
      <w:r w:rsidRPr="00B85A6F">
        <w:rPr>
          <w:iCs/>
          <w:sz w:val="22"/>
          <w:szCs w:val="22"/>
        </w:rPr>
        <w:t>Ref #2022-11: Collateral for Loans</w:t>
      </w:r>
    </w:p>
    <w:p w14:paraId="52782377" w14:textId="77777777" w:rsidR="0042558E" w:rsidRPr="005D286F" w:rsidRDefault="0042558E" w:rsidP="00565D51">
      <w:pPr>
        <w:keepNext/>
        <w:keepLines/>
        <w:numPr>
          <w:ilvl w:val="0"/>
          <w:numId w:val="21"/>
        </w:numPr>
        <w:rPr>
          <w:bCs/>
          <w:i/>
          <w:sz w:val="22"/>
          <w:szCs w:val="22"/>
        </w:rPr>
      </w:pPr>
      <w:r w:rsidRPr="005D286F">
        <w:rPr>
          <w:iCs/>
          <w:sz w:val="22"/>
          <w:szCs w:val="22"/>
        </w:rPr>
        <w:t>Ref #2022-12: Review of INT 03-02: Modifications to an Existing Intercompany Pooling Arrangement</w:t>
      </w:r>
    </w:p>
    <w:p w14:paraId="65F579A0" w14:textId="61076F20" w:rsidR="0042558E" w:rsidRPr="00267D68" w:rsidRDefault="0042558E" w:rsidP="00565D51">
      <w:pPr>
        <w:keepNext/>
        <w:keepLines/>
        <w:numPr>
          <w:ilvl w:val="0"/>
          <w:numId w:val="21"/>
        </w:numPr>
        <w:rPr>
          <w:bCs/>
          <w:i/>
          <w:iCs/>
          <w:sz w:val="22"/>
          <w:szCs w:val="22"/>
        </w:rPr>
      </w:pPr>
      <w:r w:rsidRPr="005D286F">
        <w:rPr>
          <w:bCs/>
          <w:sz w:val="22"/>
          <w:szCs w:val="22"/>
        </w:rPr>
        <w:t>Ref #</w:t>
      </w:r>
      <w:r w:rsidR="00267D68">
        <w:rPr>
          <w:bCs/>
          <w:sz w:val="22"/>
          <w:szCs w:val="22"/>
        </w:rPr>
        <w:t>2022-14: New Market Tax Credits</w:t>
      </w:r>
    </w:p>
    <w:p w14:paraId="1112E240" w14:textId="63557904" w:rsidR="00267D68" w:rsidRPr="004C2D6E" w:rsidRDefault="00267D68" w:rsidP="00565D51">
      <w:pPr>
        <w:keepNext/>
        <w:keepLines/>
        <w:numPr>
          <w:ilvl w:val="0"/>
          <w:numId w:val="21"/>
        </w:numPr>
        <w:rPr>
          <w:bCs/>
          <w:i/>
          <w:iCs/>
          <w:sz w:val="22"/>
          <w:szCs w:val="22"/>
        </w:rPr>
      </w:pPr>
      <w:r>
        <w:rPr>
          <w:bCs/>
          <w:sz w:val="22"/>
          <w:szCs w:val="22"/>
        </w:rPr>
        <w:t>Ref #2022-1</w:t>
      </w:r>
      <w:r w:rsidR="005E2AAA">
        <w:rPr>
          <w:bCs/>
          <w:sz w:val="22"/>
          <w:szCs w:val="22"/>
        </w:rPr>
        <w:t>7</w:t>
      </w:r>
      <w:r>
        <w:rPr>
          <w:bCs/>
          <w:sz w:val="22"/>
          <w:szCs w:val="22"/>
        </w:rPr>
        <w:t>: Interest Income Disclosure Update</w:t>
      </w:r>
    </w:p>
    <w:p w14:paraId="24056901" w14:textId="1A9129A7" w:rsidR="004C2D6E" w:rsidRPr="00B1199B" w:rsidRDefault="004C2D6E" w:rsidP="00565D51">
      <w:pPr>
        <w:keepNext/>
        <w:keepLines/>
        <w:numPr>
          <w:ilvl w:val="0"/>
          <w:numId w:val="21"/>
        </w:numPr>
        <w:rPr>
          <w:bCs/>
          <w:i/>
          <w:iCs/>
          <w:sz w:val="22"/>
          <w:szCs w:val="22"/>
        </w:rPr>
      </w:pPr>
      <w:r>
        <w:rPr>
          <w:bCs/>
          <w:sz w:val="22"/>
          <w:szCs w:val="22"/>
        </w:rPr>
        <w:t>Ref #2022-19: Negative IMR</w:t>
      </w:r>
    </w:p>
    <w:p w14:paraId="1BA9E50D" w14:textId="77777777" w:rsidR="003B55E8" w:rsidRDefault="003B55E8" w:rsidP="00F87122">
      <w:pPr>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3B55E8" w:rsidRPr="00E07665" w14:paraId="29637229" w14:textId="77777777" w:rsidTr="002458E8">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541395D" w14:textId="77777777" w:rsidR="003B55E8" w:rsidRDefault="003B55E8" w:rsidP="002458E8">
            <w:pPr>
              <w:widowControl w:val="0"/>
              <w:jc w:val="center"/>
              <w:rPr>
                <w:b/>
                <w:color w:val="FFFFFF"/>
                <w:sz w:val="22"/>
                <w:szCs w:val="22"/>
              </w:rPr>
            </w:pPr>
          </w:p>
          <w:p w14:paraId="3242641A" w14:textId="77777777" w:rsidR="003B55E8" w:rsidRPr="005D286F" w:rsidRDefault="003B55E8" w:rsidP="002458E8">
            <w:pPr>
              <w:widowControl w:val="0"/>
              <w:jc w:val="center"/>
              <w:rPr>
                <w:b/>
                <w:color w:val="FFFFFF"/>
                <w:sz w:val="22"/>
                <w:szCs w:val="22"/>
              </w:rPr>
            </w:pPr>
            <w:r w:rsidRPr="005D286F">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806FF94" w14:textId="77777777" w:rsidR="003B55E8" w:rsidRDefault="003B55E8" w:rsidP="002458E8">
            <w:pPr>
              <w:widowControl w:val="0"/>
              <w:jc w:val="center"/>
              <w:rPr>
                <w:b/>
                <w:color w:val="FFFFFF"/>
                <w:sz w:val="22"/>
                <w:szCs w:val="22"/>
              </w:rPr>
            </w:pPr>
          </w:p>
          <w:p w14:paraId="7F87AB33" w14:textId="77777777" w:rsidR="003B55E8" w:rsidRPr="005D286F" w:rsidRDefault="003B55E8" w:rsidP="002458E8">
            <w:pPr>
              <w:widowControl w:val="0"/>
              <w:jc w:val="center"/>
              <w:rPr>
                <w:b/>
                <w:color w:val="FFFFFF"/>
                <w:sz w:val="22"/>
                <w:szCs w:val="22"/>
              </w:rPr>
            </w:pPr>
            <w:r w:rsidRPr="005D286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2BFCCF3" w14:textId="77777777" w:rsidR="003B55E8" w:rsidRDefault="003B55E8" w:rsidP="002458E8">
            <w:pPr>
              <w:widowControl w:val="0"/>
              <w:jc w:val="center"/>
              <w:rPr>
                <w:b/>
                <w:color w:val="FFFFFF"/>
                <w:sz w:val="22"/>
                <w:szCs w:val="22"/>
              </w:rPr>
            </w:pPr>
          </w:p>
          <w:p w14:paraId="63263ED9" w14:textId="77777777" w:rsidR="003B55E8" w:rsidRPr="00E07665" w:rsidRDefault="003B55E8" w:rsidP="002458E8">
            <w:pPr>
              <w:widowControl w:val="0"/>
              <w:jc w:val="center"/>
              <w:rPr>
                <w:b/>
                <w:color w:val="FFFFFF"/>
                <w:sz w:val="22"/>
                <w:szCs w:val="22"/>
              </w:rPr>
            </w:pPr>
            <w:r w:rsidRPr="00E07665">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D45E9FE" w14:textId="77777777" w:rsidR="003B55E8" w:rsidRPr="00E07665" w:rsidRDefault="003B55E8" w:rsidP="002458E8">
            <w:pPr>
              <w:widowControl w:val="0"/>
              <w:jc w:val="center"/>
              <w:rPr>
                <w:b/>
                <w:bCs/>
                <w:color w:val="FFFFFF"/>
                <w:sz w:val="22"/>
                <w:szCs w:val="22"/>
              </w:rPr>
            </w:pPr>
            <w:r w:rsidRPr="00E07665">
              <w:rPr>
                <w:b/>
                <w:bCs/>
              </w:rPr>
              <w:t>Agreement with Exposed Document?</w:t>
            </w:r>
            <w:r w:rsidRPr="00E07665">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0E2E82FA" w14:textId="77777777" w:rsidR="003B55E8" w:rsidRPr="00E07665" w:rsidRDefault="003B55E8" w:rsidP="002458E8">
            <w:pPr>
              <w:widowControl w:val="0"/>
              <w:jc w:val="center"/>
              <w:rPr>
                <w:b/>
                <w:bCs/>
                <w:color w:val="FFFFFF"/>
                <w:sz w:val="22"/>
                <w:szCs w:val="22"/>
              </w:rPr>
            </w:pPr>
            <w:r w:rsidRPr="00E07665">
              <w:rPr>
                <w:b/>
                <w:bCs/>
              </w:rPr>
              <w:t>Comment Letter Page Number</w:t>
            </w:r>
          </w:p>
        </w:tc>
      </w:tr>
      <w:tr w:rsidR="003B55E8" w:rsidRPr="005D286F" w14:paraId="7B5EDDF3" w14:textId="77777777" w:rsidTr="002458E8">
        <w:trPr>
          <w:trHeight w:val="800"/>
        </w:trPr>
        <w:tc>
          <w:tcPr>
            <w:tcW w:w="1615" w:type="dxa"/>
            <w:tcBorders>
              <w:top w:val="single" w:sz="4" w:space="0" w:color="FFFFFF"/>
            </w:tcBorders>
            <w:shd w:val="clear" w:color="auto" w:fill="F2F2F2"/>
            <w:vAlign w:val="center"/>
          </w:tcPr>
          <w:p w14:paraId="2A5FFC8A" w14:textId="77777777" w:rsidR="00785317" w:rsidRDefault="00785317" w:rsidP="00785317">
            <w:pPr>
              <w:widowControl w:val="0"/>
              <w:jc w:val="center"/>
              <w:rPr>
                <w:b/>
                <w:sz w:val="22"/>
                <w:szCs w:val="22"/>
              </w:rPr>
            </w:pPr>
            <w:r>
              <w:rPr>
                <w:b/>
                <w:sz w:val="22"/>
                <w:szCs w:val="22"/>
              </w:rPr>
              <w:t>2019-21</w:t>
            </w:r>
          </w:p>
          <w:p w14:paraId="3780EE52" w14:textId="3F6806DC" w:rsidR="003B55E8" w:rsidRPr="005D286F" w:rsidRDefault="00785317" w:rsidP="00785317">
            <w:pPr>
              <w:widowControl w:val="0"/>
              <w:jc w:val="center"/>
              <w:rPr>
                <w:b/>
                <w:sz w:val="22"/>
                <w:szCs w:val="22"/>
              </w:rPr>
            </w:pPr>
            <w:r>
              <w:rPr>
                <w:b/>
                <w:sz w:val="22"/>
                <w:szCs w:val="22"/>
              </w:rPr>
              <w:t>(Julie)</w:t>
            </w:r>
          </w:p>
        </w:tc>
        <w:tc>
          <w:tcPr>
            <w:tcW w:w="3198" w:type="dxa"/>
            <w:tcBorders>
              <w:top w:val="single" w:sz="4" w:space="0" w:color="FFFFFF"/>
            </w:tcBorders>
            <w:shd w:val="clear" w:color="auto" w:fill="F2F2F2"/>
            <w:vAlign w:val="center"/>
          </w:tcPr>
          <w:p w14:paraId="68438698" w14:textId="5FD37E4D" w:rsidR="003B55E8" w:rsidRPr="005D286F" w:rsidRDefault="004815D1" w:rsidP="002458E8">
            <w:pPr>
              <w:pStyle w:val="Heading2"/>
              <w:rPr>
                <w:iCs/>
                <w:sz w:val="22"/>
                <w:szCs w:val="22"/>
              </w:rPr>
            </w:pPr>
            <w:r>
              <w:rPr>
                <w:iCs/>
                <w:sz w:val="22"/>
                <w:szCs w:val="22"/>
              </w:rPr>
              <w:t>Proposed Bond Definition</w:t>
            </w:r>
          </w:p>
        </w:tc>
        <w:tc>
          <w:tcPr>
            <w:tcW w:w="2112" w:type="dxa"/>
            <w:tcBorders>
              <w:top w:val="single" w:sz="4" w:space="0" w:color="FFFFFF"/>
            </w:tcBorders>
            <w:shd w:val="clear" w:color="auto" w:fill="F2F2F2"/>
            <w:vAlign w:val="center"/>
          </w:tcPr>
          <w:p w14:paraId="2256FCE8" w14:textId="116542CD" w:rsidR="00FF082F" w:rsidRDefault="00325D92" w:rsidP="00FF082F">
            <w:pPr>
              <w:widowControl w:val="0"/>
              <w:jc w:val="center"/>
              <w:rPr>
                <w:b/>
                <w:sz w:val="22"/>
                <w:szCs w:val="22"/>
              </w:rPr>
            </w:pPr>
            <w:r>
              <w:rPr>
                <w:b/>
                <w:sz w:val="22"/>
                <w:szCs w:val="22"/>
              </w:rPr>
              <w:t>6</w:t>
            </w:r>
            <w:r w:rsidR="00FF082F">
              <w:rPr>
                <w:b/>
                <w:sz w:val="22"/>
                <w:szCs w:val="22"/>
              </w:rPr>
              <w:t xml:space="preserve"> – </w:t>
            </w:r>
            <w:r w:rsidR="00882F7E">
              <w:rPr>
                <w:b/>
                <w:sz w:val="22"/>
                <w:szCs w:val="22"/>
              </w:rPr>
              <w:t>SSAP No. 26R</w:t>
            </w:r>
          </w:p>
          <w:p w14:paraId="7E3124B9" w14:textId="17444839" w:rsidR="00FF082F" w:rsidRDefault="00325D92" w:rsidP="00FF082F">
            <w:pPr>
              <w:widowControl w:val="0"/>
              <w:jc w:val="center"/>
              <w:rPr>
                <w:b/>
                <w:sz w:val="22"/>
                <w:szCs w:val="22"/>
              </w:rPr>
            </w:pPr>
            <w:r>
              <w:rPr>
                <w:b/>
                <w:sz w:val="22"/>
                <w:szCs w:val="22"/>
              </w:rPr>
              <w:t>7</w:t>
            </w:r>
            <w:r w:rsidR="00882F7E">
              <w:rPr>
                <w:b/>
                <w:sz w:val="22"/>
                <w:szCs w:val="22"/>
              </w:rPr>
              <w:t xml:space="preserve"> – SSAP No. 43R</w:t>
            </w:r>
          </w:p>
          <w:p w14:paraId="43E3DA82" w14:textId="018CCAAD" w:rsidR="003B55E8" w:rsidRDefault="00325D92" w:rsidP="00FF082F">
            <w:pPr>
              <w:widowControl w:val="0"/>
              <w:jc w:val="center"/>
              <w:rPr>
                <w:b/>
                <w:sz w:val="22"/>
                <w:szCs w:val="22"/>
              </w:rPr>
            </w:pPr>
            <w:r>
              <w:rPr>
                <w:b/>
                <w:sz w:val="22"/>
                <w:szCs w:val="22"/>
              </w:rPr>
              <w:t>8</w:t>
            </w:r>
            <w:r w:rsidR="00882F7E">
              <w:rPr>
                <w:b/>
                <w:sz w:val="22"/>
                <w:szCs w:val="22"/>
              </w:rPr>
              <w:t xml:space="preserve"> – SSAP No. 21R</w:t>
            </w:r>
          </w:p>
          <w:p w14:paraId="147E7664" w14:textId="148DA4CF" w:rsidR="00882F7E" w:rsidRDefault="00325D92" w:rsidP="00FF082F">
            <w:pPr>
              <w:widowControl w:val="0"/>
              <w:jc w:val="center"/>
              <w:rPr>
                <w:b/>
                <w:sz w:val="22"/>
                <w:szCs w:val="22"/>
              </w:rPr>
            </w:pPr>
            <w:r>
              <w:rPr>
                <w:b/>
                <w:sz w:val="22"/>
                <w:szCs w:val="22"/>
              </w:rPr>
              <w:t>9</w:t>
            </w:r>
            <w:r w:rsidR="00FF082F">
              <w:rPr>
                <w:b/>
                <w:sz w:val="22"/>
                <w:szCs w:val="22"/>
              </w:rPr>
              <w:t xml:space="preserve"> – Other </w:t>
            </w:r>
            <w:r w:rsidR="00882F7E">
              <w:rPr>
                <w:b/>
                <w:sz w:val="22"/>
                <w:szCs w:val="22"/>
              </w:rPr>
              <w:t>SSAP</w:t>
            </w:r>
          </w:p>
          <w:p w14:paraId="018F6803" w14:textId="2BFBD75C" w:rsidR="003B55E8" w:rsidRPr="005D286F" w:rsidRDefault="00325D92" w:rsidP="00FF082F">
            <w:pPr>
              <w:widowControl w:val="0"/>
              <w:jc w:val="center"/>
              <w:rPr>
                <w:b/>
                <w:sz w:val="22"/>
                <w:szCs w:val="22"/>
              </w:rPr>
            </w:pPr>
            <w:r>
              <w:rPr>
                <w:b/>
                <w:sz w:val="22"/>
                <w:szCs w:val="22"/>
              </w:rPr>
              <w:t>10</w:t>
            </w:r>
            <w:r w:rsidR="007E2B0B">
              <w:rPr>
                <w:b/>
                <w:sz w:val="22"/>
                <w:szCs w:val="22"/>
              </w:rPr>
              <w:t xml:space="preserve"> – Schedule BA</w:t>
            </w:r>
          </w:p>
        </w:tc>
        <w:tc>
          <w:tcPr>
            <w:tcW w:w="1710" w:type="dxa"/>
            <w:tcBorders>
              <w:top w:val="single" w:sz="4" w:space="0" w:color="FFFFFF"/>
            </w:tcBorders>
            <w:shd w:val="clear" w:color="auto" w:fill="F2F2F2"/>
            <w:vAlign w:val="center"/>
          </w:tcPr>
          <w:p w14:paraId="7595F90D" w14:textId="3CA163D4" w:rsidR="003B55E8" w:rsidRPr="005D286F" w:rsidRDefault="004A7CDC" w:rsidP="002458E8">
            <w:pPr>
              <w:widowControl w:val="0"/>
              <w:jc w:val="center"/>
              <w:rPr>
                <w:b/>
                <w:sz w:val="22"/>
                <w:szCs w:val="22"/>
              </w:rPr>
            </w:pPr>
            <w:r>
              <w:rPr>
                <w:b/>
                <w:sz w:val="22"/>
                <w:szCs w:val="22"/>
              </w:rPr>
              <w:t>Comments Received</w:t>
            </w:r>
          </w:p>
        </w:tc>
        <w:tc>
          <w:tcPr>
            <w:tcW w:w="1440" w:type="dxa"/>
            <w:tcBorders>
              <w:top w:val="single" w:sz="4" w:space="0" w:color="FFFFFF"/>
            </w:tcBorders>
            <w:shd w:val="clear" w:color="auto" w:fill="F2F2F2"/>
            <w:vAlign w:val="center"/>
          </w:tcPr>
          <w:p w14:paraId="33AAE332" w14:textId="77777777" w:rsidR="003B55E8" w:rsidRDefault="000143CC" w:rsidP="002458E8">
            <w:pPr>
              <w:widowControl w:val="0"/>
              <w:jc w:val="center"/>
              <w:rPr>
                <w:b/>
                <w:sz w:val="22"/>
                <w:szCs w:val="22"/>
              </w:rPr>
            </w:pPr>
            <w:r>
              <w:rPr>
                <w:b/>
                <w:sz w:val="22"/>
                <w:szCs w:val="22"/>
              </w:rPr>
              <w:t>IP-1</w:t>
            </w:r>
          </w:p>
          <w:p w14:paraId="1580703F" w14:textId="0C7335DD" w:rsidR="00365C58" w:rsidRPr="005D286F" w:rsidRDefault="00365C58" w:rsidP="002458E8">
            <w:pPr>
              <w:widowControl w:val="0"/>
              <w:jc w:val="center"/>
              <w:rPr>
                <w:b/>
                <w:sz w:val="22"/>
                <w:szCs w:val="22"/>
              </w:rPr>
            </w:pPr>
            <w:r>
              <w:rPr>
                <w:b/>
                <w:sz w:val="22"/>
                <w:szCs w:val="22"/>
              </w:rPr>
              <w:t>IP</w:t>
            </w:r>
            <w:r w:rsidR="00CC252B">
              <w:rPr>
                <w:b/>
                <w:sz w:val="22"/>
                <w:szCs w:val="22"/>
              </w:rPr>
              <w:t xml:space="preserve"> </w:t>
            </w:r>
            <w:r>
              <w:rPr>
                <w:b/>
                <w:sz w:val="22"/>
                <w:szCs w:val="22"/>
              </w:rPr>
              <w:t>-1</w:t>
            </w:r>
            <w:r w:rsidR="00CC252B">
              <w:rPr>
                <w:b/>
                <w:sz w:val="22"/>
                <w:szCs w:val="22"/>
              </w:rPr>
              <w:t>8</w:t>
            </w:r>
          </w:p>
        </w:tc>
      </w:tr>
    </w:tbl>
    <w:p w14:paraId="18640683" w14:textId="77777777" w:rsidR="00CF4DF1" w:rsidRDefault="00CF4DF1" w:rsidP="008D18E2">
      <w:pPr>
        <w:rPr>
          <w:sz w:val="22"/>
          <w:szCs w:val="22"/>
        </w:rPr>
      </w:pPr>
    </w:p>
    <w:p w14:paraId="05F4F3F6" w14:textId="77777777" w:rsidR="00094178" w:rsidRPr="005D286F" w:rsidRDefault="00094178" w:rsidP="00094178">
      <w:pPr>
        <w:pStyle w:val="BodyTextIndent"/>
        <w:ind w:left="0" w:firstLine="0"/>
        <w:jc w:val="both"/>
        <w:rPr>
          <w:i/>
          <w:sz w:val="22"/>
          <w:szCs w:val="22"/>
          <w:u w:val="single"/>
        </w:rPr>
      </w:pPr>
      <w:r w:rsidRPr="005D286F">
        <w:rPr>
          <w:i/>
          <w:sz w:val="22"/>
          <w:szCs w:val="22"/>
          <w:u w:val="single"/>
        </w:rPr>
        <w:t>Summary:</w:t>
      </w:r>
    </w:p>
    <w:p w14:paraId="247F413C" w14:textId="35CF007C" w:rsidR="007E2B0B" w:rsidRPr="00EB548D" w:rsidRDefault="007E2B0B" w:rsidP="00094178">
      <w:pPr>
        <w:pStyle w:val="BodyTextIndent"/>
        <w:ind w:left="0" w:firstLine="0"/>
        <w:jc w:val="both"/>
        <w:rPr>
          <w:iCs/>
          <w:sz w:val="22"/>
          <w:szCs w:val="22"/>
        </w:rPr>
      </w:pPr>
      <w:r w:rsidRPr="00EB548D">
        <w:rPr>
          <w:iCs/>
          <w:sz w:val="22"/>
          <w:szCs w:val="22"/>
        </w:rPr>
        <w:t xml:space="preserve">In November 2022 and at the </w:t>
      </w:r>
      <w:r w:rsidR="00691D94">
        <w:rPr>
          <w:iCs/>
          <w:sz w:val="22"/>
          <w:szCs w:val="22"/>
        </w:rPr>
        <w:t xml:space="preserve">2022 </w:t>
      </w:r>
      <w:r w:rsidRPr="00EB548D">
        <w:rPr>
          <w:iCs/>
          <w:sz w:val="22"/>
          <w:szCs w:val="22"/>
        </w:rPr>
        <w:t xml:space="preserve">Fall National Meeting, the Working Group exposed revisions </w:t>
      </w:r>
      <w:r w:rsidR="0081525B" w:rsidRPr="00EB548D">
        <w:rPr>
          <w:iCs/>
          <w:sz w:val="22"/>
          <w:szCs w:val="22"/>
        </w:rPr>
        <w:t xml:space="preserve">to </w:t>
      </w:r>
      <w:r w:rsidR="0081525B" w:rsidRPr="00EB548D">
        <w:rPr>
          <w:i/>
          <w:sz w:val="22"/>
          <w:szCs w:val="22"/>
        </w:rPr>
        <w:t>SSAP No. 26R</w:t>
      </w:r>
      <w:r w:rsidR="00EB548D" w:rsidRPr="00EB548D">
        <w:rPr>
          <w:i/>
          <w:sz w:val="22"/>
          <w:szCs w:val="22"/>
        </w:rPr>
        <w:t>—Bonds</w:t>
      </w:r>
      <w:r w:rsidR="0081525B" w:rsidRPr="00EB548D">
        <w:rPr>
          <w:i/>
          <w:sz w:val="22"/>
          <w:szCs w:val="22"/>
        </w:rPr>
        <w:t>, SSAP No. 43R</w:t>
      </w:r>
      <w:r w:rsidR="00EB548D" w:rsidRPr="00EB548D">
        <w:rPr>
          <w:i/>
          <w:sz w:val="22"/>
          <w:szCs w:val="22"/>
        </w:rPr>
        <w:t>—Asset-Backed Securities</w:t>
      </w:r>
      <w:r w:rsidR="002D244D" w:rsidRPr="00EB548D">
        <w:rPr>
          <w:iCs/>
          <w:sz w:val="22"/>
          <w:szCs w:val="22"/>
        </w:rPr>
        <w:t xml:space="preserve">, as well as revisions to other SSAPs as necessary to update for the principles-based bond project. These revisions also included edits to </w:t>
      </w:r>
      <w:r w:rsidR="002D244D" w:rsidRPr="00EB548D">
        <w:rPr>
          <w:i/>
          <w:sz w:val="22"/>
          <w:szCs w:val="22"/>
        </w:rPr>
        <w:t>SSAP No. 2</w:t>
      </w:r>
      <w:r w:rsidR="00480A15" w:rsidRPr="00EB548D">
        <w:rPr>
          <w:i/>
          <w:sz w:val="22"/>
          <w:szCs w:val="22"/>
        </w:rPr>
        <w:t>R—Cash, Cash Equivalents, Drafts and Short-Term Investments</w:t>
      </w:r>
      <w:r w:rsidR="00480A15" w:rsidRPr="00EB548D">
        <w:rPr>
          <w:iCs/>
          <w:sz w:val="22"/>
          <w:szCs w:val="22"/>
        </w:rPr>
        <w:t xml:space="preserve"> </w:t>
      </w:r>
      <w:r w:rsidR="00EB548D" w:rsidRPr="00EB548D">
        <w:rPr>
          <w:iCs/>
          <w:sz w:val="22"/>
          <w:szCs w:val="22"/>
        </w:rPr>
        <w:t xml:space="preserve">to restrict asset-backed securities from being captured in scope </w:t>
      </w:r>
      <w:r w:rsidR="00480A15" w:rsidRPr="00EB548D">
        <w:rPr>
          <w:iCs/>
          <w:sz w:val="22"/>
          <w:szCs w:val="22"/>
        </w:rPr>
        <w:t xml:space="preserve">and </w:t>
      </w:r>
      <w:r w:rsidR="00480A15" w:rsidRPr="00EB548D">
        <w:rPr>
          <w:i/>
          <w:sz w:val="22"/>
          <w:szCs w:val="22"/>
        </w:rPr>
        <w:t>SSAP No. 21R—Other Admitted Assets</w:t>
      </w:r>
      <w:r w:rsidR="00EB548D" w:rsidRPr="00EB548D">
        <w:rPr>
          <w:iCs/>
          <w:sz w:val="22"/>
          <w:szCs w:val="22"/>
        </w:rPr>
        <w:t xml:space="preserve"> to provide guidance for debt securities that do not qualify as bonds. </w:t>
      </w:r>
      <w:r w:rsidR="00EB548D">
        <w:rPr>
          <w:iCs/>
          <w:sz w:val="22"/>
          <w:szCs w:val="22"/>
        </w:rPr>
        <w:t xml:space="preserve">In addition to the SSAP revisions, an updated issue paper detailing the discussions and revisions as well as proposed reporting changes were also exposed. </w:t>
      </w:r>
    </w:p>
    <w:p w14:paraId="213FDF57" w14:textId="77777777" w:rsidR="00094178" w:rsidRDefault="00094178" w:rsidP="00094178">
      <w:pPr>
        <w:jc w:val="both"/>
        <w:rPr>
          <w:bCs/>
          <w:i/>
          <w:sz w:val="22"/>
          <w:szCs w:val="22"/>
          <w:u w:val="single"/>
        </w:rPr>
      </w:pPr>
    </w:p>
    <w:p w14:paraId="2A67BE36" w14:textId="77777777" w:rsidR="00094178" w:rsidRPr="005D286F" w:rsidRDefault="00094178" w:rsidP="00094178">
      <w:pPr>
        <w:jc w:val="both"/>
        <w:rPr>
          <w:bCs/>
          <w:i/>
          <w:sz w:val="22"/>
          <w:szCs w:val="22"/>
          <w:u w:val="single"/>
        </w:rPr>
      </w:pPr>
      <w:r w:rsidRPr="005D286F">
        <w:rPr>
          <w:bCs/>
          <w:i/>
          <w:sz w:val="22"/>
          <w:szCs w:val="22"/>
          <w:u w:val="single"/>
        </w:rPr>
        <w:t>Interested Parties’ Comments:</w:t>
      </w:r>
    </w:p>
    <w:p w14:paraId="12980558" w14:textId="2B971DEC" w:rsidR="00AB60DB" w:rsidRDefault="00BA120D" w:rsidP="00094178">
      <w:pPr>
        <w:jc w:val="both"/>
        <w:rPr>
          <w:bCs/>
          <w:iCs/>
          <w:sz w:val="22"/>
          <w:szCs w:val="22"/>
        </w:rPr>
      </w:pPr>
      <w:r w:rsidRPr="004B2B7F">
        <w:rPr>
          <w:bCs/>
          <w:iCs/>
          <w:sz w:val="22"/>
          <w:szCs w:val="22"/>
        </w:rPr>
        <w:t>The interested parties submitted a separate comment letter dated February 10, 2023</w:t>
      </w:r>
      <w:r w:rsidR="00EF2694" w:rsidRPr="004B2B7F">
        <w:rPr>
          <w:bCs/>
          <w:iCs/>
          <w:sz w:val="22"/>
          <w:szCs w:val="22"/>
        </w:rPr>
        <w:t>,</w:t>
      </w:r>
      <w:r w:rsidRPr="004B2B7F">
        <w:rPr>
          <w:bCs/>
          <w:iCs/>
          <w:sz w:val="22"/>
          <w:szCs w:val="22"/>
        </w:rPr>
        <w:t xml:space="preserve"> on the proposed SSAP revisions. </w:t>
      </w:r>
      <w:r w:rsidR="004B2B7F" w:rsidRPr="004B2B7F">
        <w:rPr>
          <w:bCs/>
          <w:iCs/>
          <w:sz w:val="22"/>
          <w:szCs w:val="22"/>
        </w:rPr>
        <w:t xml:space="preserve">The interested parties also identified that they have not provided comments on the reporting exposure as they believe comments can be optimized once the reporting changes are exposed by the Blanks (E) Working Group. </w:t>
      </w:r>
    </w:p>
    <w:p w14:paraId="282DCB4A" w14:textId="77777777" w:rsidR="00171A5F" w:rsidRDefault="00171A5F" w:rsidP="00094178">
      <w:pPr>
        <w:jc w:val="both"/>
        <w:rPr>
          <w:bCs/>
          <w:iCs/>
          <w:sz w:val="22"/>
          <w:szCs w:val="22"/>
        </w:rPr>
      </w:pPr>
    </w:p>
    <w:p w14:paraId="3B593A13" w14:textId="1407FB6D" w:rsidR="00A1360A" w:rsidRDefault="00E97214" w:rsidP="00094178">
      <w:pPr>
        <w:jc w:val="both"/>
        <w:rPr>
          <w:bCs/>
          <w:iCs/>
          <w:sz w:val="22"/>
          <w:szCs w:val="22"/>
        </w:rPr>
      </w:pPr>
      <w:r>
        <w:rPr>
          <w:bCs/>
          <w:iCs/>
          <w:sz w:val="22"/>
          <w:szCs w:val="22"/>
        </w:rPr>
        <w:t xml:space="preserve">The </w:t>
      </w:r>
      <w:r w:rsidR="005838FC">
        <w:rPr>
          <w:bCs/>
          <w:iCs/>
          <w:sz w:val="22"/>
          <w:szCs w:val="22"/>
        </w:rPr>
        <w:t xml:space="preserve">letter indicates that interested parties continue to support the development of high-quality bond standards and believe they are headed in the right direction. </w:t>
      </w:r>
      <w:r w:rsidR="00A1360A">
        <w:rPr>
          <w:bCs/>
          <w:iCs/>
          <w:sz w:val="22"/>
          <w:szCs w:val="22"/>
        </w:rPr>
        <w:t xml:space="preserve">It also notes that </w:t>
      </w:r>
      <w:r w:rsidR="005838FC">
        <w:rPr>
          <w:bCs/>
          <w:iCs/>
          <w:sz w:val="22"/>
          <w:szCs w:val="22"/>
        </w:rPr>
        <w:t>Staff has tackled this project with appropriate rigor and their collaboration</w:t>
      </w:r>
      <w:r w:rsidR="00A1360A">
        <w:rPr>
          <w:bCs/>
          <w:iCs/>
          <w:sz w:val="22"/>
          <w:szCs w:val="22"/>
        </w:rPr>
        <w:t xml:space="preserve"> with interested parties has been greatly appreciated. The letter identifies that interested parties stand ready to continue to assist as this project gets nearer the finish line. </w:t>
      </w:r>
    </w:p>
    <w:p w14:paraId="7F9487F2" w14:textId="77777777" w:rsidR="00A1360A" w:rsidRDefault="00A1360A" w:rsidP="00094178">
      <w:pPr>
        <w:jc w:val="both"/>
        <w:rPr>
          <w:bCs/>
          <w:iCs/>
          <w:sz w:val="22"/>
          <w:szCs w:val="22"/>
        </w:rPr>
      </w:pPr>
    </w:p>
    <w:p w14:paraId="3CF6C1E2" w14:textId="53B83DF1" w:rsidR="00171A5F" w:rsidRDefault="00171A5F" w:rsidP="00094178">
      <w:pPr>
        <w:jc w:val="both"/>
        <w:rPr>
          <w:bCs/>
          <w:iCs/>
          <w:sz w:val="22"/>
          <w:szCs w:val="22"/>
        </w:rPr>
      </w:pPr>
      <w:r>
        <w:rPr>
          <w:bCs/>
          <w:iCs/>
          <w:sz w:val="22"/>
          <w:szCs w:val="22"/>
        </w:rPr>
        <w:t xml:space="preserve">Rather than including the full scope of the interested </w:t>
      </w:r>
      <w:r w:rsidR="00CE7935">
        <w:rPr>
          <w:bCs/>
          <w:iCs/>
          <w:sz w:val="22"/>
          <w:szCs w:val="22"/>
        </w:rPr>
        <w:t>parties’</w:t>
      </w:r>
      <w:r>
        <w:rPr>
          <w:bCs/>
          <w:iCs/>
          <w:sz w:val="22"/>
          <w:szCs w:val="22"/>
        </w:rPr>
        <w:t xml:space="preserve"> comments on the bond revisions, they are summarized as follows: </w:t>
      </w:r>
    </w:p>
    <w:p w14:paraId="7F075B51" w14:textId="77777777" w:rsidR="00171A5F" w:rsidRDefault="00171A5F" w:rsidP="00094178">
      <w:pPr>
        <w:jc w:val="both"/>
        <w:rPr>
          <w:bCs/>
          <w:iCs/>
          <w:sz w:val="22"/>
          <w:szCs w:val="22"/>
        </w:rPr>
      </w:pPr>
    </w:p>
    <w:p w14:paraId="3D4BC95F" w14:textId="4A42DCC9" w:rsidR="00171A5F" w:rsidRDefault="00BC4E7E" w:rsidP="00565D51">
      <w:pPr>
        <w:pStyle w:val="ListParagraph"/>
        <w:numPr>
          <w:ilvl w:val="0"/>
          <w:numId w:val="23"/>
        </w:numPr>
        <w:jc w:val="both"/>
        <w:rPr>
          <w:bCs/>
          <w:iCs/>
          <w:sz w:val="22"/>
          <w:szCs w:val="22"/>
        </w:rPr>
      </w:pPr>
      <w:r>
        <w:rPr>
          <w:bCs/>
          <w:iCs/>
          <w:sz w:val="22"/>
          <w:szCs w:val="22"/>
        </w:rPr>
        <w:t xml:space="preserve">SSAP No. 26R, Paragraph 6d – Interested parties agree with the </w:t>
      </w:r>
      <w:r w:rsidR="00167E6A">
        <w:rPr>
          <w:bCs/>
          <w:iCs/>
          <w:sz w:val="22"/>
          <w:szCs w:val="22"/>
        </w:rPr>
        <w:t>exclusions detailed in</w:t>
      </w:r>
      <w:r>
        <w:rPr>
          <w:bCs/>
          <w:iCs/>
          <w:sz w:val="22"/>
          <w:szCs w:val="22"/>
        </w:rPr>
        <w:t xml:space="preserve"> this </w:t>
      </w:r>
      <w:r w:rsidR="00453D59">
        <w:rPr>
          <w:bCs/>
          <w:iCs/>
          <w:sz w:val="22"/>
          <w:szCs w:val="22"/>
        </w:rPr>
        <w:t>paragraph but</w:t>
      </w:r>
      <w:r w:rsidR="00D53154">
        <w:rPr>
          <w:bCs/>
          <w:iCs/>
          <w:sz w:val="22"/>
          <w:szCs w:val="22"/>
        </w:rPr>
        <w:t xml:space="preserve"> suggest modifications from “credit-rating related” to “credit-quality related” to encompass the broader range of adjustments that align interests of debt</w:t>
      </w:r>
      <w:r w:rsidR="00DC4C96">
        <w:rPr>
          <w:bCs/>
          <w:iCs/>
          <w:sz w:val="22"/>
          <w:szCs w:val="22"/>
        </w:rPr>
        <w:t>holders and issuing entities (</w:t>
      </w:r>
      <w:r w:rsidR="00A1360A">
        <w:rPr>
          <w:bCs/>
          <w:iCs/>
          <w:sz w:val="22"/>
          <w:szCs w:val="22"/>
        </w:rPr>
        <w:t>e.g.,</w:t>
      </w:r>
      <w:r w:rsidR="00DC4C96">
        <w:rPr>
          <w:bCs/>
          <w:iCs/>
          <w:sz w:val="22"/>
          <w:szCs w:val="22"/>
        </w:rPr>
        <w:t xml:space="preserve"> debt to EBITDA ratio, interest coverage ratio, debt service coverage ratio, etc.). Such bonds are prevalent in insurer portfolios. </w:t>
      </w:r>
    </w:p>
    <w:p w14:paraId="296ABEC2" w14:textId="0A367E0B" w:rsidR="005D5A38" w:rsidRPr="005D5A38" w:rsidRDefault="005D5A38" w:rsidP="00565D51">
      <w:pPr>
        <w:pStyle w:val="ListParagraph"/>
        <w:numPr>
          <w:ilvl w:val="1"/>
          <w:numId w:val="23"/>
        </w:numPr>
        <w:jc w:val="both"/>
        <w:rPr>
          <w:bCs/>
          <w:i/>
          <w:sz w:val="22"/>
          <w:szCs w:val="22"/>
        </w:rPr>
      </w:pPr>
      <w:r>
        <w:rPr>
          <w:bCs/>
          <w:i/>
          <w:sz w:val="22"/>
          <w:szCs w:val="22"/>
        </w:rPr>
        <w:t xml:space="preserve">NAIC staff note - </w:t>
      </w:r>
      <w:r w:rsidRPr="005D5A38">
        <w:rPr>
          <w:bCs/>
          <w:i/>
          <w:sz w:val="22"/>
          <w:szCs w:val="22"/>
        </w:rPr>
        <w:t xml:space="preserve">Revisions have been reflected for this comment. </w:t>
      </w:r>
    </w:p>
    <w:p w14:paraId="5A39A09B" w14:textId="77777777" w:rsidR="00167E6A" w:rsidRDefault="00167E6A" w:rsidP="00167E6A">
      <w:pPr>
        <w:pStyle w:val="ListParagraph"/>
        <w:jc w:val="both"/>
        <w:rPr>
          <w:bCs/>
          <w:iCs/>
          <w:sz w:val="22"/>
          <w:szCs w:val="22"/>
        </w:rPr>
      </w:pPr>
    </w:p>
    <w:p w14:paraId="39CD5703" w14:textId="69090B34" w:rsidR="007914B8" w:rsidRDefault="008F68DE" w:rsidP="00565D51">
      <w:pPr>
        <w:pStyle w:val="ListParagraph"/>
        <w:numPr>
          <w:ilvl w:val="0"/>
          <w:numId w:val="23"/>
        </w:numPr>
        <w:jc w:val="both"/>
        <w:rPr>
          <w:bCs/>
          <w:iCs/>
          <w:sz w:val="22"/>
          <w:szCs w:val="22"/>
        </w:rPr>
      </w:pPr>
      <w:r>
        <w:rPr>
          <w:bCs/>
          <w:iCs/>
          <w:sz w:val="22"/>
          <w:szCs w:val="22"/>
        </w:rPr>
        <w:t>S</w:t>
      </w:r>
      <w:r w:rsidR="00167E6A">
        <w:rPr>
          <w:bCs/>
          <w:iCs/>
          <w:sz w:val="22"/>
          <w:szCs w:val="22"/>
        </w:rPr>
        <w:t xml:space="preserve">SAP No. 26R, Paragraph 6d </w:t>
      </w:r>
      <w:r w:rsidR="002E3173">
        <w:rPr>
          <w:bCs/>
          <w:iCs/>
          <w:sz w:val="22"/>
          <w:szCs w:val="22"/>
        </w:rPr>
        <w:t>–</w:t>
      </w:r>
      <w:r w:rsidR="00167E6A">
        <w:rPr>
          <w:bCs/>
          <w:iCs/>
          <w:sz w:val="22"/>
          <w:szCs w:val="22"/>
        </w:rPr>
        <w:t xml:space="preserve"> </w:t>
      </w:r>
      <w:r w:rsidR="002E3173">
        <w:rPr>
          <w:bCs/>
          <w:iCs/>
          <w:sz w:val="22"/>
          <w:szCs w:val="22"/>
        </w:rPr>
        <w:t xml:space="preserve">Interested parties believe this paragraph would inappropriately capture certain bonds with an interest coupon rate linked to sustainability goals. </w:t>
      </w:r>
      <w:r w:rsidR="003E4077">
        <w:rPr>
          <w:bCs/>
          <w:iCs/>
          <w:sz w:val="22"/>
          <w:szCs w:val="22"/>
        </w:rPr>
        <w:t xml:space="preserve">For example, </w:t>
      </w:r>
      <w:r w:rsidR="00C406A5" w:rsidRPr="007914B8">
        <w:rPr>
          <w:bCs/>
          <w:iCs/>
          <w:sz w:val="22"/>
          <w:szCs w:val="22"/>
        </w:rPr>
        <w:t>the debt may have coupon interest equal to either a fixed or floating rate (e.g., SOFR) that is adjusted based on one or more sustainability goals or variables</w:t>
      </w:r>
      <w:r w:rsidR="007914B8" w:rsidRPr="007914B8">
        <w:rPr>
          <w:bCs/>
          <w:iCs/>
          <w:sz w:val="22"/>
          <w:szCs w:val="22"/>
        </w:rPr>
        <w:t xml:space="preserve">. Interested parties therefore suggest either a special exclusion for these type </w:t>
      </w:r>
      <w:r w:rsidR="007914B8" w:rsidRPr="007914B8">
        <w:rPr>
          <w:bCs/>
          <w:iCs/>
          <w:sz w:val="22"/>
          <w:szCs w:val="22"/>
        </w:rPr>
        <w:lastRenderedPageBreak/>
        <w:t>of debt instruments such as “SLB-linked bonds with de minimis interest rate adjustments” or “SLB-linked bonds with interest rate adjustments with the potential to adjust the total return from interest by no more than 10%”.</w:t>
      </w:r>
      <w:r w:rsidR="00837CEC">
        <w:rPr>
          <w:bCs/>
          <w:iCs/>
          <w:sz w:val="22"/>
          <w:szCs w:val="22"/>
        </w:rPr>
        <w:t xml:space="preserve"> </w:t>
      </w:r>
      <w:r w:rsidR="007914B8" w:rsidRPr="007914B8">
        <w:rPr>
          <w:bCs/>
          <w:iCs/>
          <w:sz w:val="22"/>
          <w:szCs w:val="22"/>
        </w:rPr>
        <w:t>Quite possibly, it may be more appropriate for such a “de minimis” exclusion to be applied to other non-debt variables more broadly so there is not an abrupt cliff effect for non-schedule D reporting due to the potentially punitive risk-based capital treatment, for de minimis non-debt variables in general.</w:t>
      </w:r>
      <w:r w:rsidR="00837CEC">
        <w:rPr>
          <w:bCs/>
          <w:iCs/>
          <w:sz w:val="22"/>
          <w:szCs w:val="22"/>
        </w:rPr>
        <w:t xml:space="preserve"> </w:t>
      </w:r>
    </w:p>
    <w:p w14:paraId="17BB5A7A" w14:textId="77777777" w:rsidR="005D5A38" w:rsidRPr="005D5A38" w:rsidRDefault="005D5A38" w:rsidP="00565D51">
      <w:pPr>
        <w:pStyle w:val="ListParagraph"/>
        <w:numPr>
          <w:ilvl w:val="1"/>
          <w:numId w:val="23"/>
        </w:numPr>
        <w:jc w:val="both"/>
        <w:rPr>
          <w:bCs/>
          <w:i/>
          <w:sz w:val="22"/>
          <w:szCs w:val="22"/>
        </w:rPr>
      </w:pPr>
      <w:r>
        <w:rPr>
          <w:bCs/>
          <w:i/>
          <w:sz w:val="22"/>
          <w:szCs w:val="22"/>
        </w:rPr>
        <w:t xml:space="preserve">NAIC staff note - </w:t>
      </w:r>
      <w:r w:rsidRPr="005D5A38">
        <w:rPr>
          <w:bCs/>
          <w:i/>
          <w:sz w:val="22"/>
          <w:szCs w:val="22"/>
        </w:rPr>
        <w:t xml:space="preserve">Revisions have been reflected for this comment. </w:t>
      </w:r>
    </w:p>
    <w:p w14:paraId="541618B2" w14:textId="77777777" w:rsidR="003F40E4" w:rsidRPr="003F40E4" w:rsidRDefault="003F40E4" w:rsidP="003F40E4">
      <w:pPr>
        <w:pStyle w:val="ListParagraph"/>
        <w:rPr>
          <w:bCs/>
          <w:iCs/>
          <w:sz w:val="22"/>
          <w:szCs w:val="22"/>
        </w:rPr>
      </w:pPr>
    </w:p>
    <w:p w14:paraId="027431B8" w14:textId="32A73F02" w:rsidR="00431016" w:rsidRDefault="00431016" w:rsidP="00565D51">
      <w:pPr>
        <w:pStyle w:val="ListParagraph"/>
        <w:numPr>
          <w:ilvl w:val="0"/>
          <w:numId w:val="23"/>
        </w:numPr>
        <w:jc w:val="both"/>
        <w:rPr>
          <w:bCs/>
          <w:iCs/>
          <w:sz w:val="22"/>
          <w:szCs w:val="22"/>
        </w:rPr>
      </w:pPr>
      <w:r>
        <w:rPr>
          <w:bCs/>
          <w:iCs/>
          <w:sz w:val="22"/>
          <w:szCs w:val="22"/>
        </w:rPr>
        <w:t xml:space="preserve">SSAP No. 26R, Paragraph 6di – Interested parties have proposed </w:t>
      </w:r>
      <w:r w:rsidR="001A74BA">
        <w:rPr>
          <w:bCs/>
          <w:iCs/>
          <w:sz w:val="22"/>
          <w:szCs w:val="22"/>
        </w:rPr>
        <w:t xml:space="preserve">edits to ensure that Replication Synthetic Assets (RSATs) continue to meet the replication accounting requirements regardless of changes to </w:t>
      </w:r>
      <w:r w:rsidR="00CA3415">
        <w:rPr>
          <w:bCs/>
          <w:iCs/>
          <w:sz w:val="22"/>
          <w:szCs w:val="22"/>
        </w:rPr>
        <w:t xml:space="preserve">the definition of a Schedule D bond. </w:t>
      </w:r>
      <w:r w:rsidR="00F77C89">
        <w:rPr>
          <w:bCs/>
          <w:iCs/>
          <w:sz w:val="22"/>
          <w:szCs w:val="22"/>
        </w:rPr>
        <w:t xml:space="preserve">They also request additional discussion with staff </w:t>
      </w:r>
      <w:r w:rsidR="0067679F">
        <w:rPr>
          <w:bCs/>
          <w:iCs/>
          <w:sz w:val="22"/>
          <w:szCs w:val="22"/>
        </w:rPr>
        <w:t>on</w:t>
      </w:r>
      <w:r w:rsidR="00977063">
        <w:rPr>
          <w:bCs/>
          <w:iCs/>
          <w:sz w:val="22"/>
          <w:szCs w:val="22"/>
        </w:rPr>
        <w:t xml:space="preserve"> revisions to SSAP No. 86 </w:t>
      </w:r>
      <w:r w:rsidR="006E5732">
        <w:rPr>
          <w:bCs/>
          <w:iCs/>
          <w:sz w:val="22"/>
          <w:szCs w:val="22"/>
        </w:rPr>
        <w:t xml:space="preserve">that currently addresses the accounting for replication transactions as changes may be needed to coincide with the effective date of the principles-based bond definition. </w:t>
      </w:r>
    </w:p>
    <w:p w14:paraId="0BACFBA0" w14:textId="77777777" w:rsidR="005D5A38" w:rsidRPr="005D5A38" w:rsidRDefault="005D5A38" w:rsidP="00565D51">
      <w:pPr>
        <w:pStyle w:val="ListParagraph"/>
        <w:numPr>
          <w:ilvl w:val="1"/>
          <w:numId w:val="23"/>
        </w:numPr>
        <w:jc w:val="both"/>
        <w:rPr>
          <w:bCs/>
          <w:i/>
          <w:sz w:val="22"/>
          <w:szCs w:val="22"/>
        </w:rPr>
      </w:pPr>
      <w:r>
        <w:rPr>
          <w:bCs/>
          <w:i/>
          <w:sz w:val="22"/>
          <w:szCs w:val="22"/>
        </w:rPr>
        <w:t xml:space="preserve">NAIC staff note - </w:t>
      </w:r>
      <w:r w:rsidRPr="005D5A38">
        <w:rPr>
          <w:bCs/>
          <w:i/>
          <w:sz w:val="22"/>
          <w:szCs w:val="22"/>
        </w:rPr>
        <w:t xml:space="preserve">Revisions have been reflected for this comment. </w:t>
      </w:r>
    </w:p>
    <w:p w14:paraId="3EA408D4" w14:textId="77777777" w:rsidR="00431016" w:rsidRPr="00431016" w:rsidRDefault="00431016" w:rsidP="00431016">
      <w:pPr>
        <w:pStyle w:val="ListParagraph"/>
        <w:rPr>
          <w:bCs/>
          <w:iCs/>
          <w:sz w:val="22"/>
          <w:szCs w:val="22"/>
        </w:rPr>
      </w:pPr>
    </w:p>
    <w:p w14:paraId="60EE9EEE" w14:textId="468F4C70" w:rsidR="00D278C5" w:rsidRDefault="003F40E4" w:rsidP="00565D51">
      <w:pPr>
        <w:pStyle w:val="ListParagraph"/>
        <w:numPr>
          <w:ilvl w:val="0"/>
          <w:numId w:val="23"/>
        </w:numPr>
        <w:jc w:val="both"/>
        <w:rPr>
          <w:bCs/>
          <w:iCs/>
          <w:sz w:val="22"/>
          <w:szCs w:val="22"/>
        </w:rPr>
      </w:pPr>
      <w:r>
        <w:rPr>
          <w:bCs/>
          <w:iCs/>
          <w:sz w:val="22"/>
          <w:szCs w:val="22"/>
        </w:rPr>
        <w:t xml:space="preserve">SSAP No. 26R, Paragraph 10 </w:t>
      </w:r>
      <w:r w:rsidR="000738AE">
        <w:rPr>
          <w:bCs/>
          <w:iCs/>
          <w:sz w:val="22"/>
          <w:szCs w:val="22"/>
        </w:rPr>
        <w:t>–</w:t>
      </w:r>
      <w:r>
        <w:rPr>
          <w:bCs/>
          <w:iCs/>
          <w:sz w:val="22"/>
          <w:szCs w:val="22"/>
        </w:rPr>
        <w:t xml:space="preserve"> </w:t>
      </w:r>
      <w:r w:rsidR="000738AE">
        <w:rPr>
          <w:bCs/>
          <w:iCs/>
          <w:sz w:val="22"/>
          <w:szCs w:val="22"/>
        </w:rPr>
        <w:t xml:space="preserve">Interested parties noted an inconsistency with the treatment of residual tranches in the proposed SSAP No. 26R and SSAP No. 43R, </w:t>
      </w:r>
      <w:r w:rsidR="00F83699">
        <w:rPr>
          <w:bCs/>
          <w:iCs/>
          <w:sz w:val="22"/>
          <w:szCs w:val="22"/>
        </w:rPr>
        <w:t xml:space="preserve">with reference to SSAP No. 21R as the source of the guidance. As residual guidance is not captured in SSAP No. 21R, they have proposed revisions to include the reporting treatment on Schedule BA within SSAP No. 26R. </w:t>
      </w:r>
    </w:p>
    <w:p w14:paraId="6D950035" w14:textId="1B00D60B" w:rsidR="005D5A38" w:rsidRPr="004631E3" w:rsidRDefault="005D5A38" w:rsidP="00565D51">
      <w:pPr>
        <w:pStyle w:val="ListParagraph"/>
        <w:numPr>
          <w:ilvl w:val="1"/>
          <w:numId w:val="23"/>
        </w:numPr>
        <w:jc w:val="both"/>
        <w:rPr>
          <w:bCs/>
          <w:iCs/>
          <w:sz w:val="22"/>
          <w:szCs w:val="22"/>
        </w:rPr>
      </w:pPr>
      <w:r w:rsidRPr="004631E3">
        <w:rPr>
          <w:bCs/>
          <w:i/>
          <w:sz w:val="22"/>
          <w:szCs w:val="22"/>
        </w:rPr>
        <w:t xml:space="preserve">NAIC staff note - Revisions have been reflected for this comment. These revisions </w:t>
      </w:r>
      <w:r w:rsidR="004631E3" w:rsidRPr="004631E3">
        <w:rPr>
          <w:bCs/>
          <w:i/>
          <w:sz w:val="22"/>
          <w:szCs w:val="22"/>
        </w:rPr>
        <w:t xml:space="preserve">propose to capture information on residuals in SSAP No. 21R. </w:t>
      </w:r>
    </w:p>
    <w:p w14:paraId="3D540619" w14:textId="77777777" w:rsidR="00D278C5" w:rsidRPr="00D278C5" w:rsidRDefault="00D278C5" w:rsidP="00D278C5">
      <w:pPr>
        <w:pStyle w:val="ListParagraph"/>
        <w:rPr>
          <w:bCs/>
          <w:iCs/>
          <w:sz w:val="22"/>
          <w:szCs w:val="22"/>
        </w:rPr>
      </w:pPr>
    </w:p>
    <w:p w14:paraId="2CDC21E9" w14:textId="6CB0749B" w:rsidR="006C2EE3" w:rsidRDefault="00D278C5" w:rsidP="00565D51">
      <w:pPr>
        <w:pStyle w:val="ListParagraph"/>
        <w:numPr>
          <w:ilvl w:val="0"/>
          <w:numId w:val="23"/>
        </w:numPr>
        <w:jc w:val="both"/>
        <w:rPr>
          <w:bCs/>
          <w:iCs/>
          <w:sz w:val="22"/>
          <w:szCs w:val="22"/>
        </w:rPr>
      </w:pPr>
      <w:r>
        <w:rPr>
          <w:bCs/>
          <w:iCs/>
          <w:sz w:val="22"/>
          <w:szCs w:val="22"/>
        </w:rPr>
        <w:t xml:space="preserve">SSAP No. 26R, Paragraphs 43-46 </w:t>
      </w:r>
      <w:r w:rsidR="00A70492">
        <w:rPr>
          <w:bCs/>
          <w:iCs/>
          <w:sz w:val="22"/>
          <w:szCs w:val="22"/>
        </w:rPr>
        <w:t>(and corresponding paragraphs in SSAP No. 43R)</w:t>
      </w:r>
      <w:r>
        <w:rPr>
          <w:bCs/>
          <w:iCs/>
          <w:sz w:val="22"/>
          <w:szCs w:val="22"/>
        </w:rPr>
        <w:t xml:space="preserve">– Interested parties have proposed </w:t>
      </w:r>
      <w:r w:rsidR="002F20A7">
        <w:rPr>
          <w:bCs/>
          <w:iCs/>
          <w:sz w:val="22"/>
          <w:szCs w:val="22"/>
        </w:rPr>
        <w:t xml:space="preserve">minor editorial edits to the transition guidance to reflect what they believe was the intent. </w:t>
      </w:r>
      <w:r w:rsidR="001A62AB">
        <w:rPr>
          <w:bCs/>
          <w:iCs/>
          <w:sz w:val="22"/>
          <w:szCs w:val="22"/>
        </w:rPr>
        <w:t xml:space="preserve">They have also requested revisions to clarify that the revised bond categories from the annual statement shall be applied prospectively beginning with the first year of adoption and not result with a restatement of the prior year’s reporting. </w:t>
      </w:r>
    </w:p>
    <w:p w14:paraId="5A9C0BBC" w14:textId="77777777" w:rsidR="004631E3" w:rsidRPr="005D5A38" w:rsidRDefault="004631E3" w:rsidP="00565D51">
      <w:pPr>
        <w:pStyle w:val="ListParagraph"/>
        <w:numPr>
          <w:ilvl w:val="1"/>
          <w:numId w:val="23"/>
        </w:numPr>
        <w:jc w:val="both"/>
        <w:rPr>
          <w:bCs/>
          <w:i/>
          <w:sz w:val="22"/>
          <w:szCs w:val="22"/>
        </w:rPr>
      </w:pPr>
      <w:r>
        <w:rPr>
          <w:bCs/>
          <w:i/>
          <w:sz w:val="22"/>
          <w:szCs w:val="22"/>
        </w:rPr>
        <w:t xml:space="preserve">NAIC staff note - </w:t>
      </w:r>
      <w:r w:rsidRPr="005D5A38">
        <w:rPr>
          <w:bCs/>
          <w:i/>
          <w:sz w:val="22"/>
          <w:szCs w:val="22"/>
        </w:rPr>
        <w:t xml:space="preserve">Revisions have been reflected for this comment. </w:t>
      </w:r>
    </w:p>
    <w:p w14:paraId="140DAF34" w14:textId="77777777" w:rsidR="006C2EE3" w:rsidRPr="006C2EE3" w:rsidRDefault="006C2EE3" w:rsidP="006C2EE3">
      <w:pPr>
        <w:pStyle w:val="ListParagraph"/>
        <w:rPr>
          <w:bCs/>
          <w:iCs/>
          <w:sz w:val="22"/>
          <w:szCs w:val="22"/>
        </w:rPr>
      </w:pPr>
    </w:p>
    <w:p w14:paraId="4B2DD43C" w14:textId="77777777" w:rsidR="00313CE6" w:rsidRDefault="006C2EE3" w:rsidP="00565D51">
      <w:pPr>
        <w:pStyle w:val="ListParagraph"/>
        <w:numPr>
          <w:ilvl w:val="0"/>
          <w:numId w:val="23"/>
        </w:numPr>
        <w:jc w:val="both"/>
        <w:rPr>
          <w:bCs/>
          <w:iCs/>
          <w:sz w:val="22"/>
          <w:szCs w:val="22"/>
        </w:rPr>
      </w:pPr>
      <w:r>
        <w:rPr>
          <w:bCs/>
          <w:iCs/>
          <w:sz w:val="22"/>
          <w:szCs w:val="22"/>
        </w:rPr>
        <w:t xml:space="preserve">SSAP No. 26R, Example 2 – Interested parties have proposed two editorial changes </w:t>
      </w:r>
      <w:r w:rsidR="00313CE6">
        <w:rPr>
          <w:bCs/>
          <w:iCs/>
          <w:sz w:val="22"/>
          <w:szCs w:val="22"/>
        </w:rPr>
        <w:t xml:space="preserve">to provide a nuanced technical clarification and a more formal conclusion within the example rationale. </w:t>
      </w:r>
    </w:p>
    <w:p w14:paraId="76BA9E5F" w14:textId="77777777" w:rsidR="004631E3" w:rsidRPr="005D5A38" w:rsidRDefault="004631E3" w:rsidP="00565D51">
      <w:pPr>
        <w:pStyle w:val="ListParagraph"/>
        <w:numPr>
          <w:ilvl w:val="1"/>
          <w:numId w:val="23"/>
        </w:numPr>
        <w:jc w:val="both"/>
        <w:rPr>
          <w:bCs/>
          <w:i/>
          <w:sz w:val="22"/>
          <w:szCs w:val="22"/>
        </w:rPr>
      </w:pPr>
      <w:r>
        <w:rPr>
          <w:bCs/>
          <w:i/>
          <w:sz w:val="22"/>
          <w:szCs w:val="22"/>
        </w:rPr>
        <w:t xml:space="preserve">NAIC staff note - </w:t>
      </w:r>
      <w:r w:rsidRPr="005D5A38">
        <w:rPr>
          <w:bCs/>
          <w:i/>
          <w:sz w:val="22"/>
          <w:szCs w:val="22"/>
        </w:rPr>
        <w:t xml:space="preserve">Revisions have been reflected for this comment. </w:t>
      </w:r>
    </w:p>
    <w:p w14:paraId="12F0C14C" w14:textId="77777777" w:rsidR="00F83699" w:rsidRPr="00F83699" w:rsidRDefault="00F83699" w:rsidP="00F83699">
      <w:pPr>
        <w:jc w:val="both"/>
        <w:rPr>
          <w:bCs/>
          <w:iCs/>
          <w:sz w:val="22"/>
          <w:szCs w:val="22"/>
        </w:rPr>
      </w:pPr>
    </w:p>
    <w:p w14:paraId="5C965367" w14:textId="616912DB" w:rsidR="00380430" w:rsidRDefault="007914B8" w:rsidP="00565D51">
      <w:pPr>
        <w:pStyle w:val="ListParagraph"/>
        <w:numPr>
          <w:ilvl w:val="0"/>
          <w:numId w:val="23"/>
        </w:numPr>
        <w:jc w:val="both"/>
        <w:rPr>
          <w:sz w:val="22"/>
          <w:szCs w:val="22"/>
        </w:rPr>
      </w:pPr>
      <w:r w:rsidRPr="008777E3">
        <w:rPr>
          <w:bCs/>
          <w:iCs/>
          <w:sz w:val="22"/>
          <w:szCs w:val="22"/>
        </w:rPr>
        <w:t xml:space="preserve">SSAP No. 21R, Paragraph 22 </w:t>
      </w:r>
      <w:r w:rsidR="00B67443" w:rsidRPr="008777E3">
        <w:rPr>
          <w:bCs/>
          <w:iCs/>
          <w:sz w:val="22"/>
          <w:szCs w:val="22"/>
        </w:rPr>
        <w:t>(</w:t>
      </w:r>
      <w:r w:rsidRPr="008777E3">
        <w:rPr>
          <w:bCs/>
          <w:iCs/>
          <w:sz w:val="22"/>
          <w:szCs w:val="22"/>
        </w:rPr>
        <w:t>Debt Securities That Do Not Qualify as Bonds</w:t>
      </w:r>
      <w:r w:rsidR="00B67443" w:rsidRPr="008777E3">
        <w:rPr>
          <w:bCs/>
          <w:iCs/>
          <w:sz w:val="22"/>
          <w:szCs w:val="22"/>
        </w:rPr>
        <w:t xml:space="preserve">) </w:t>
      </w:r>
      <w:r w:rsidR="00380430" w:rsidRPr="008777E3">
        <w:rPr>
          <w:bCs/>
          <w:iCs/>
          <w:sz w:val="22"/>
          <w:szCs w:val="22"/>
        </w:rPr>
        <w:t>–</w:t>
      </w:r>
      <w:r w:rsidR="00B67443" w:rsidRPr="008777E3">
        <w:rPr>
          <w:bCs/>
          <w:iCs/>
          <w:sz w:val="22"/>
          <w:szCs w:val="22"/>
        </w:rPr>
        <w:t xml:space="preserve"> </w:t>
      </w:r>
      <w:r w:rsidR="00380430" w:rsidRPr="008777E3">
        <w:rPr>
          <w:bCs/>
          <w:iCs/>
          <w:sz w:val="22"/>
          <w:szCs w:val="22"/>
        </w:rPr>
        <w:t xml:space="preserve">Interested parties have provided </w:t>
      </w:r>
      <w:r w:rsidR="000D79FF" w:rsidRPr="008777E3">
        <w:rPr>
          <w:bCs/>
          <w:iCs/>
          <w:sz w:val="22"/>
          <w:szCs w:val="22"/>
        </w:rPr>
        <w:t xml:space="preserve">general comments on the categories </w:t>
      </w:r>
      <w:r w:rsidR="008777E3" w:rsidRPr="008777E3">
        <w:rPr>
          <w:bCs/>
          <w:iCs/>
          <w:sz w:val="22"/>
          <w:szCs w:val="22"/>
        </w:rPr>
        <w:t xml:space="preserve">when for when a debt instrument </w:t>
      </w:r>
      <w:r w:rsidR="00380430" w:rsidRPr="008777E3">
        <w:rPr>
          <w:sz w:val="22"/>
          <w:szCs w:val="22"/>
        </w:rPr>
        <w:t>does not meet the principle-based bond definition as laid out in SSAP No. 26R</w:t>
      </w:r>
      <w:r w:rsidR="008777E3" w:rsidRPr="008777E3">
        <w:rPr>
          <w:sz w:val="22"/>
          <w:szCs w:val="22"/>
        </w:rPr>
        <w:t xml:space="preserve"> as well as the accounting and measurement basis</w:t>
      </w:r>
      <w:r w:rsidR="00380430" w:rsidRPr="008777E3">
        <w:rPr>
          <w:sz w:val="22"/>
          <w:szCs w:val="22"/>
        </w:rPr>
        <w:t>.</w:t>
      </w:r>
      <w:r w:rsidR="00837CEC">
        <w:rPr>
          <w:sz w:val="22"/>
          <w:szCs w:val="22"/>
        </w:rPr>
        <w:t xml:space="preserve"> </w:t>
      </w:r>
      <w:r w:rsidR="008777E3" w:rsidRPr="008777E3">
        <w:rPr>
          <w:sz w:val="22"/>
          <w:szCs w:val="22"/>
        </w:rPr>
        <w:t>They have identified that they would like to think through the guidance with staff to determine i</w:t>
      </w:r>
      <w:r w:rsidR="00380430" w:rsidRPr="008777E3">
        <w:rPr>
          <w:sz w:val="22"/>
          <w:szCs w:val="22"/>
        </w:rPr>
        <w:t xml:space="preserve">f further refinement is necessary especially if the intent of these categories is to feed risk-based capital factors where additional refinement may be necessary. </w:t>
      </w:r>
    </w:p>
    <w:p w14:paraId="56803D3F" w14:textId="26583110" w:rsidR="005B36B8" w:rsidRPr="005B36B8" w:rsidRDefault="005B36B8" w:rsidP="00565D51">
      <w:pPr>
        <w:pStyle w:val="ListParagraph"/>
        <w:numPr>
          <w:ilvl w:val="1"/>
          <w:numId w:val="23"/>
        </w:numPr>
        <w:jc w:val="both"/>
        <w:rPr>
          <w:sz w:val="22"/>
          <w:szCs w:val="22"/>
        </w:rPr>
      </w:pPr>
      <w:r w:rsidRPr="005B36B8">
        <w:rPr>
          <w:bCs/>
          <w:i/>
          <w:sz w:val="22"/>
          <w:szCs w:val="22"/>
        </w:rPr>
        <w:t xml:space="preserve">NAIC staff note – Limited revisions have been proposed, but further discussion with interested parties is recommended. </w:t>
      </w:r>
    </w:p>
    <w:p w14:paraId="096BEEED" w14:textId="77777777" w:rsidR="00283F2B" w:rsidRDefault="00283F2B" w:rsidP="00283F2B">
      <w:pPr>
        <w:pStyle w:val="ListParagraph"/>
        <w:jc w:val="both"/>
        <w:rPr>
          <w:sz w:val="22"/>
          <w:szCs w:val="22"/>
        </w:rPr>
      </w:pPr>
    </w:p>
    <w:p w14:paraId="6C4F5D11" w14:textId="39617884" w:rsidR="00283F2B" w:rsidRPr="005B36B8" w:rsidRDefault="00283F2B" w:rsidP="00565D51">
      <w:pPr>
        <w:pStyle w:val="ListParagraph"/>
        <w:numPr>
          <w:ilvl w:val="0"/>
          <w:numId w:val="23"/>
        </w:numPr>
        <w:jc w:val="both"/>
        <w:rPr>
          <w:sz w:val="22"/>
          <w:szCs w:val="22"/>
        </w:rPr>
      </w:pPr>
      <w:r w:rsidRPr="008777E3">
        <w:rPr>
          <w:bCs/>
          <w:iCs/>
          <w:sz w:val="22"/>
          <w:szCs w:val="22"/>
        </w:rPr>
        <w:t xml:space="preserve">SSAP No. 21R, Paragraph 22 (Debt Securities That Do Not Qualify as Bonds) – Interested parties have provided </w:t>
      </w:r>
      <w:r w:rsidR="00F024A7">
        <w:rPr>
          <w:bCs/>
          <w:iCs/>
          <w:sz w:val="22"/>
          <w:szCs w:val="22"/>
        </w:rPr>
        <w:t xml:space="preserve">comments on the guidance that </w:t>
      </w:r>
      <w:r w:rsidR="007E4167">
        <w:rPr>
          <w:bCs/>
          <w:iCs/>
          <w:sz w:val="22"/>
          <w:szCs w:val="22"/>
        </w:rPr>
        <w:t>limits admittance of debt securities</w:t>
      </w:r>
      <w:r w:rsidR="002317A3">
        <w:rPr>
          <w:bCs/>
          <w:iCs/>
          <w:sz w:val="22"/>
          <w:szCs w:val="22"/>
        </w:rPr>
        <w:t xml:space="preserve">, </w:t>
      </w:r>
      <w:r w:rsidR="00C24A2F">
        <w:rPr>
          <w:bCs/>
          <w:iCs/>
          <w:sz w:val="22"/>
          <w:szCs w:val="22"/>
        </w:rPr>
        <w:t>when the source of repayment is derived through rights to underlying collateral</w:t>
      </w:r>
      <w:r w:rsidR="002317A3">
        <w:rPr>
          <w:bCs/>
          <w:iCs/>
          <w:sz w:val="22"/>
          <w:szCs w:val="22"/>
        </w:rPr>
        <w:t>,</w:t>
      </w:r>
      <w:r w:rsidR="00C24A2F">
        <w:rPr>
          <w:bCs/>
          <w:iCs/>
          <w:sz w:val="22"/>
          <w:szCs w:val="22"/>
        </w:rPr>
        <w:t xml:space="preserve"> to the extent that </w:t>
      </w:r>
      <w:r w:rsidR="002317A3">
        <w:rPr>
          <w:bCs/>
          <w:iCs/>
          <w:sz w:val="22"/>
          <w:szCs w:val="22"/>
        </w:rPr>
        <w:t xml:space="preserve">they are secured by admitted invested assets. These comments have identified that they understand the rationale for the guidance, </w:t>
      </w:r>
      <w:r w:rsidR="00715E05">
        <w:rPr>
          <w:bCs/>
          <w:iCs/>
          <w:sz w:val="22"/>
          <w:szCs w:val="22"/>
        </w:rPr>
        <w:t>as the resulting security is very similar to a collateral loan, but they have noted that it is a meaningful penalty</w:t>
      </w:r>
      <w:r w:rsidR="00E645D0">
        <w:rPr>
          <w:bCs/>
          <w:iCs/>
          <w:sz w:val="22"/>
          <w:szCs w:val="22"/>
        </w:rPr>
        <w:t xml:space="preserve"> and would like more time to discuss with staff. These comments have noted that it is conceivable that a securitization with a residual tranche </w:t>
      </w:r>
      <w:r w:rsidR="006437DE">
        <w:rPr>
          <w:bCs/>
          <w:iCs/>
          <w:sz w:val="22"/>
          <w:szCs w:val="22"/>
        </w:rPr>
        <w:t xml:space="preserve">could be reported as an admitted asset, whereas a more-senior debt tranche would be a nonadmitted asset. </w:t>
      </w:r>
    </w:p>
    <w:p w14:paraId="722D6887" w14:textId="77777777" w:rsidR="005B36B8" w:rsidRPr="005B36B8" w:rsidRDefault="005B36B8" w:rsidP="00565D51">
      <w:pPr>
        <w:pStyle w:val="ListParagraph"/>
        <w:numPr>
          <w:ilvl w:val="1"/>
          <w:numId w:val="23"/>
        </w:numPr>
        <w:jc w:val="both"/>
        <w:rPr>
          <w:sz w:val="22"/>
          <w:szCs w:val="22"/>
        </w:rPr>
      </w:pPr>
      <w:r w:rsidRPr="005B36B8">
        <w:rPr>
          <w:bCs/>
          <w:i/>
          <w:sz w:val="22"/>
          <w:szCs w:val="22"/>
        </w:rPr>
        <w:t xml:space="preserve">NAIC staff note – Limited revisions have been proposed, but further discussion with interested parties is recommended. </w:t>
      </w:r>
    </w:p>
    <w:p w14:paraId="6F542398" w14:textId="77777777" w:rsidR="00691D94" w:rsidRDefault="00691D94" w:rsidP="00094178">
      <w:pPr>
        <w:pStyle w:val="ListContinue"/>
        <w:numPr>
          <w:ilvl w:val="0"/>
          <w:numId w:val="0"/>
        </w:numPr>
        <w:spacing w:after="0"/>
        <w:jc w:val="both"/>
        <w:rPr>
          <w:bCs/>
          <w:i/>
          <w:kern w:val="32"/>
          <w:sz w:val="22"/>
          <w:szCs w:val="22"/>
          <w:u w:val="single"/>
        </w:rPr>
      </w:pPr>
    </w:p>
    <w:p w14:paraId="0B9AE050" w14:textId="77777777" w:rsidR="006975E9" w:rsidRDefault="006975E9" w:rsidP="00094178">
      <w:pPr>
        <w:pStyle w:val="ListContinue"/>
        <w:numPr>
          <w:ilvl w:val="0"/>
          <w:numId w:val="0"/>
        </w:numPr>
        <w:spacing w:after="0"/>
        <w:jc w:val="both"/>
        <w:rPr>
          <w:bCs/>
          <w:i/>
          <w:kern w:val="32"/>
          <w:sz w:val="22"/>
          <w:szCs w:val="22"/>
          <w:u w:val="single"/>
        </w:rPr>
      </w:pPr>
    </w:p>
    <w:p w14:paraId="33EAF082" w14:textId="77777777" w:rsidR="006975E9" w:rsidRDefault="006975E9" w:rsidP="00094178">
      <w:pPr>
        <w:pStyle w:val="ListContinue"/>
        <w:numPr>
          <w:ilvl w:val="0"/>
          <w:numId w:val="0"/>
        </w:numPr>
        <w:spacing w:after="0"/>
        <w:jc w:val="both"/>
        <w:rPr>
          <w:bCs/>
          <w:i/>
          <w:kern w:val="32"/>
          <w:sz w:val="22"/>
          <w:szCs w:val="22"/>
          <w:u w:val="single"/>
        </w:rPr>
      </w:pPr>
    </w:p>
    <w:p w14:paraId="331F8EF1" w14:textId="0CF35D6F" w:rsidR="00094178" w:rsidRPr="00094178" w:rsidRDefault="00094178" w:rsidP="00094178">
      <w:pPr>
        <w:pStyle w:val="ListContinue"/>
        <w:numPr>
          <w:ilvl w:val="0"/>
          <w:numId w:val="0"/>
        </w:numPr>
        <w:spacing w:after="0"/>
        <w:jc w:val="both"/>
        <w:rPr>
          <w:bCs/>
          <w:i/>
          <w:kern w:val="32"/>
          <w:sz w:val="22"/>
          <w:szCs w:val="22"/>
          <w:u w:val="single"/>
        </w:rPr>
      </w:pPr>
      <w:r w:rsidRPr="00094178">
        <w:rPr>
          <w:bCs/>
          <w:i/>
          <w:kern w:val="32"/>
          <w:sz w:val="22"/>
          <w:szCs w:val="22"/>
          <w:u w:val="single"/>
        </w:rPr>
        <w:t>Recommendation:</w:t>
      </w:r>
    </w:p>
    <w:p w14:paraId="3D7C7CAA" w14:textId="3929D766" w:rsidR="00CF4DF1" w:rsidRDefault="006F47B2" w:rsidP="001F58C0">
      <w:pPr>
        <w:jc w:val="both"/>
        <w:rPr>
          <w:sz w:val="22"/>
          <w:szCs w:val="22"/>
        </w:rPr>
      </w:pPr>
      <w:r>
        <w:rPr>
          <w:sz w:val="22"/>
          <w:szCs w:val="22"/>
        </w:rPr>
        <w:t xml:space="preserve">NAIC staff appreciates the comments from interested parties and </w:t>
      </w:r>
      <w:r w:rsidR="00AA2A4F">
        <w:rPr>
          <w:sz w:val="22"/>
          <w:szCs w:val="22"/>
        </w:rPr>
        <w:t xml:space="preserve">interim discussions </w:t>
      </w:r>
      <w:r w:rsidR="00E00B18">
        <w:rPr>
          <w:sz w:val="22"/>
          <w:szCs w:val="22"/>
        </w:rPr>
        <w:t xml:space="preserve">which </w:t>
      </w:r>
      <w:r w:rsidR="00AA2A4F">
        <w:rPr>
          <w:sz w:val="22"/>
          <w:szCs w:val="22"/>
        </w:rPr>
        <w:t>have continued to discuss key comments and potential revisions. For the</w:t>
      </w:r>
      <w:r w:rsidR="00AA2A4F" w:rsidDel="00691D94">
        <w:rPr>
          <w:sz w:val="22"/>
          <w:szCs w:val="22"/>
        </w:rPr>
        <w:t xml:space="preserve"> </w:t>
      </w:r>
      <w:r w:rsidR="00AA2A4F">
        <w:rPr>
          <w:sz w:val="22"/>
          <w:szCs w:val="22"/>
        </w:rPr>
        <w:t xml:space="preserve">Spring National Meeting, </w:t>
      </w:r>
      <w:r w:rsidR="00AA2A4F" w:rsidRPr="004E524A">
        <w:rPr>
          <w:b/>
          <w:bCs/>
          <w:sz w:val="22"/>
          <w:szCs w:val="22"/>
        </w:rPr>
        <w:t>it is recommended that the Working Group expose</w:t>
      </w:r>
      <w:r w:rsidR="007B60F3" w:rsidRPr="004E524A">
        <w:rPr>
          <w:b/>
          <w:bCs/>
          <w:sz w:val="22"/>
          <w:szCs w:val="22"/>
        </w:rPr>
        <w:t xml:space="preserve"> updated documents to detail the statutory accounting guidance</w:t>
      </w:r>
      <w:r w:rsidR="001F58C0" w:rsidRPr="004E524A">
        <w:rPr>
          <w:b/>
          <w:bCs/>
          <w:sz w:val="22"/>
          <w:szCs w:val="22"/>
        </w:rPr>
        <w:t xml:space="preserve">. </w:t>
      </w:r>
      <w:r w:rsidR="00324135" w:rsidRPr="004E524A">
        <w:rPr>
          <w:b/>
          <w:bCs/>
          <w:sz w:val="22"/>
          <w:szCs w:val="22"/>
        </w:rPr>
        <w:t xml:space="preserve">Revisions have been proposed to reflect a majority of the interested </w:t>
      </w:r>
      <w:r w:rsidR="00CE7935">
        <w:rPr>
          <w:b/>
          <w:bCs/>
          <w:sz w:val="22"/>
          <w:szCs w:val="22"/>
        </w:rPr>
        <w:t>parties’</w:t>
      </w:r>
      <w:r w:rsidR="00324135" w:rsidRPr="004E524A">
        <w:rPr>
          <w:b/>
          <w:bCs/>
          <w:sz w:val="22"/>
          <w:szCs w:val="22"/>
        </w:rPr>
        <w:t xml:space="preserve"> comments, and a summary of revisions is detailed within the documents. </w:t>
      </w:r>
      <w:r w:rsidR="0020065C" w:rsidRPr="004E524A">
        <w:rPr>
          <w:b/>
          <w:bCs/>
          <w:sz w:val="22"/>
          <w:szCs w:val="22"/>
        </w:rPr>
        <w:t>With exposure, it is requested that interim discussions continue to occur with interested parties</w:t>
      </w:r>
      <w:r w:rsidR="00F60B1D" w:rsidRPr="004E524A">
        <w:rPr>
          <w:b/>
          <w:bCs/>
          <w:sz w:val="22"/>
          <w:szCs w:val="22"/>
        </w:rPr>
        <w:t>.</w:t>
      </w:r>
      <w:r w:rsidR="00F60B1D">
        <w:rPr>
          <w:sz w:val="22"/>
          <w:szCs w:val="22"/>
        </w:rPr>
        <w:t xml:space="preserve"> </w:t>
      </w:r>
      <w:r w:rsidR="004E524A">
        <w:rPr>
          <w:sz w:val="22"/>
          <w:szCs w:val="22"/>
        </w:rPr>
        <w:t>Updated d</w:t>
      </w:r>
      <w:r w:rsidR="003D6C67">
        <w:rPr>
          <w:sz w:val="22"/>
          <w:szCs w:val="22"/>
        </w:rPr>
        <w:t>ocuments proposed for exposure:</w:t>
      </w:r>
    </w:p>
    <w:p w14:paraId="143C270D" w14:textId="77777777" w:rsidR="003D6C67" w:rsidRDefault="003D6C67" w:rsidP="001F58C0">
      <w:pPr>
        <w:jc w:val="both"/>
        <w:rPr>
          <w:sz w:val="22"/>
          <w:szCs w:val="22"/>
        </w:rPr>
      </w:pPr>
    </w:p>
    <w:p w14:paraId="0F9B755E" w14:textId="0F794D48" w:rsidR="003D6C67" w:rsidRPr="0048194C" w:rsidRDefault="003D6C67" w:rsidP="00565D51">
      <w:pPr>
        <w:pStyle w:val="ListParagraph"/>
        <w:numPr>
          <w:ilvl w:val="0"/>
          <w:numId w:val="24"/>
        </w:numPr>
        <w:jc w:val="both"/>
        <w:rPr>
          <w:i/>
          <w:iCs/>
          <w:sz w:val="22"/>
          <w:szCs w:val="22"/>
        </w:rPr>
      </w:pPr>
      <w:r w:rsidRPr="0048194C">
        <w:rPr>
          <w:i/>
          <w:iCs/>
          <w:sz w:val="22"/>
          <w:szCs w:val="22"/>
        </w:rPr>
        <w:t>SSAP No. 26R—Bonds</w:t>
      </w:r>
    </w:p>
    <w:p w14:paraId="152CC3B8" w14:textId="706D1B8A" w:rsidR="003D6C67" w:rsidRPr="0048194C" w:rsidRDefault="003D6C67" w:rsidP="00565D51">
      <w:pPr>
        <w:pStyle w:val="ListParagraph"/>
        <w:numPr>
          <w:ilvl w:val="0"/>
          <w:numId w:val="24"/>
        </w:numPr>
        <w:jc w:val="both"/>
        <w:rPr>
          <w:i/>
          <w:iCs/>
          <w:sz w:val="22"/>
          <w:szCs w:val="22"/>
        </w:rPr>
      </w:pPr>
      <w:r w:rsidRPr="0048194C">
        <w:rPr>
          <w:i/>
          <w:iCs/>
          <w:sz w:val="22"/>
          <w:szCs w:val="22"/>
        </w:rPr>
        <w:t>SSAP No. 43R—Asset-Backed Securities</w:t>
      </w:r>
    </w:p>
    <w:p w14:paraId="2F73AD7D" w14:textId="1BED1231" w:rsidR="003D6C67" w:rsidRPr="0048194C" w:rsidRDefault="003D6C67" w:rsidP="00565D51">
      <w:pPr>
        <w:pStyle w:val="ListParagraph"/>
        <w:numPr>
          <w:ilvl w:val="0"/>
          <w:numId w:val="24"/>
        </w:numPr>
        <w:jc w:val="both"/>
        <w:rPr>
          <w:i/>
          <w:iCs/>
          <w:sz w:val="22"/>
          <w:szCs w:val="22"/>
        </w:rPr>
      </w:pPr>
      <w:r w:rsidRPr="0048194C">
        <w:rPr>
          <w:i/>
          <w:iCs/>
          <w:sz w:val="22"/>
          <w:szCs w:val="22"/>
        </w:rPr>
        <w:t>SSAP No. 21R—Other Admitted Assets</w:t>
      </w:r>
    </w:p>
    <w:p w14:paraId="50A1A619" w14:textId="117C4374" w:rsidR="003D6C67" w:rsidRDefault="003D6C67" w:rsidP="00565D51">
      <w:pPr>
        <w:pStyle w:val="ListParagraph"/>
        <w:numPr>
          <w:ilvl w:val="0"/>
          <w:numId w:val="24"/>
        </w:numPr>
        <w:jc w:val="both"/>
        <w:rPr>
          <w:sz w:val="22"/>
          <w:szCs w:val="22"/>
        </w:rPr>
      </w:pPr>
      <w:r>
        <w:rPr>
          <w:sz w:val="22"/>
          <w:szCs w:val="22"/>
        </w:rPr>
        <w:t>Other SSAP Revisions</w:t>
      </w:r>
      <w:r w:rsidR="0029115A">
        <w:rPr>
          <w:sz w:val="22"/>
          <w:szCs w:val="22"/>
        </w:rPr>
        <w:t xml:space="preserve"> – (This document only includes proposed changes to SSAP No. 86 for RSATs.)</w:t>
      </w:r>
    </w:p>
    <w:p w14:paraId="60B660E3" w14:textId="77777777" w:rsidR="0029115A" w:rsidRDefault="0029115A" w:rsidP="0029115A">
      <w:pPr>
        <w:jc w:val="both"/>
        <w:rPr>
          <w:sz w:val="22"/>
          <w:szCs w:val="22"/>
        </w:rPr>
      </w:pPr>
    </w:p>
    <w:p w14:paraId="31B47730" w14:textId="560BD687" w:rsidR="0029115A" w:rsidRPr="000F2048" w:rsidRDefault="0029115A" w:rsidP="0029115A">
      <w:pPr>
        <w:jc w:val="both"/>
        <w:rPr>
          <w:b/>
          <w:sz w:val="22"/>
          <w:szCs w:val="22"/>
        </w:rPr>
      </w:pPr>
      <w:r>
        <w:rPr>
          <w:sz w:val="22"/>
          <w:szCs w:val="22"/>
        </w:rPr>
        <w:t>In addition to the documents proposing SSAP revisions, NAIC staff has drafted a proposal to revise the reporting lines on Schedule BA to encompass the debt securities that do not qualify as bonds</w:t>
      </w:r>
      <w:r w:rsidR="00DD0D15">
        <w:rPr>
          <w:sz w:val="22"/>
          <w:szCs w:val="22"/>
        </w:rPr>
        <w:t xml:space="preserve">, as well as to consolidate existing reporting lines. </w:t>
      </w:r>
      <w:r w:rsidR="00DD0D15" w:rsidRPr="000F2048">
        <w:rPr>
          <w:b/>
          <w:sz w:val="22"/>
          <w:szCs w:val="22"/>
        </w:rPr>
        <w:t xml:space="preserve">NAIC staff recommends that this document also be exposed for initial comment. </w:t>
      </w:r>
      <w:r w:rsidR="00D17F2A" w:rsidRPr="000F2048">
        <w:rPr>
          <w:b/>
          <w:sz w:val="22"/>
          <w:szCs w:val="22"/>
        </w:rPr>
        <w:t>This document on</w:t>
      </w:r>
      <w:r w:rsidR="00DC5B73" w:rsidRPr="000F2048">
        <w:rPr>
          <w:b/>
          <w:sz w:val="22"/>
          <w:szCs w:val="22"/>
        </w:rPr>
        <w:t>ly</w:t>
      </w:r>
      <w:r w:rsidR="00D17F2A" w:rsidRPr="000F2048">
        <w:rPr>
          <w:b/>
          <w:sz w:val="22"/>
          <w:szCs w:val="22"/>
        </w:rPr>
        <w:t xml:space="preserve"> proposes the changes to schedule BA. Once comments are considered, subsequent revisions to incorporate the changes through other schedules as appropriate (such as AVR) would be </w:t>
      </w:r>
      <w:r w:rsidR="00DC5B73" w:rsidRPr="000F2048">
        <w:rPr>
          <w:b/>
          <w:sz w:val="22"/>
          <w:szCs w:val="22"/>
        </w:rPr>
        <w:t xml:space="preserve">drafted. </w:t>
      </w:r>
    </w:p>
    <w:p w14:paraId="5B93B481" w14:textId="77777777" w:rsidR="001B1DE6" w:rsidRDefault="001B1DE6" w:rsidP="001B1DE6">
      <w:pPr>
        <w:jc w:val="both"/>
        <w:rPr>
          <w:sz w:val="22"/>
          <w:szCs w:val="22"/>
        </w:rPr>
      </w:pPr>
    </w:p>
    <w:p w14:paraId="2F4D852D" w14:textId="6C0355DF" w:rsidR="002118D6" w:rsidRPr="001B1DE6" w:rsidRDefault="001B1DE6" w:rsidP="001B1DE6">
      <w:pPr>
        <w:jc w:val="both"/>
        <w:rPr>
          <w:sz w:val="22"/>
          <w:szCs w:val="22"/>
        </w:rPr>
      </w:pPr>
      <w:r>
        <w:rPr>
          <w:sz w:val="22"/>
          <w:szCs w:val="22"/>
        </w:rPr>
        <w:t>NAIC staff notes that revisions to the issue</w:t>
      </w:r>
      <w:r w:rsidR="002118D6">
        <w:rPr>
          <w:sz w:val="22"/>
          <w:szCs w:val="22"/>
        </w:rPr>
        <w:t xml:space="preserve"> paper will be presented </w:t>
      </w:r>
      <w:r w:rsidR="00CE7935">
        <w:rPr>
          <w:sz w:val="22"/>
          <w:szCs w:val="22"/>
        </w:rPr>
        <w:t>to the Working Group</w:t>
      </w:r>
      <w:r w:rsidR="002118D6">
        <w:rPr>
          <w:sz w:val="22"/>
          <w:szCs w:val="22"/>
        </w:rPr>
        <w:t xml:space="preserve"> for subsequent consideration. </w:t>
      </w:r>
      <w:r w:rsidR="004C2DF3">
        <w:rPr>
          <w:sz w:val="22"/>
          <w:szCs w:val="22"/>
        </w:rPr>
        <w:t>Also</w:t>
      </w:r>
      <w:r w:rsidR="002118D6">
        <w:rPr>
          <w:sz w:val="22"/>
          <w:szCs w:val="22"/>
        </w:rPr>
        <w:t xml:space="preserve">, </w:t>
      </w:r>
      <w:r w:rsidR="00CE7935">
        <w:rPr>
          <w:sz w:val="22"/>
          <w:szCs w:val="22"/>
        </w:rPr>
        <w:t>on March 7, 2023</w:t>
      </w:r>
      <w:r w:rsidR="002118D6">
        <w:rPr>
          <w:sz w:val="22"/>
          <w:szCs w:val="22"/>
        </w:rPr>
        <w:t>, the Blanks (E) Working Group exposed</w:t>
      </w:r>
      <w:r w:rsidR="0048194C">
        <w:rPr>
          <w:sz w:val="22"/>
          <w:szCs w:val="22"/>
        </w:rPr>
        <w:t xml:space="preserve"> </w:t>
      </w:r>
      <w:r w:rsidR="00861EEC">
        <w:rPr>
          <w:sz w:val="22"/>
          <w:szCs w:val="22"/>
        </w:rPr>
        <w:t>blanks proposals to detail the bond reporting changes, as well investment schedule changes</w:t>
      </w:r>
      <w:r w:rsidR="00453D59">
        <w:rPr>
          <w:sz w:val="22"/>
          <w:szCs w:val="22"/>
        </w:rPr>
        <w:t xml:space="preserve"> identified from the bond project. </w:t>
      </w:r>
    </w:p>
    <w:p w14:paraId="6B72F8A1" w14:textId="48AB9204" w:rsidR="003D6C67" w:rsidRPr="003D6C67" w:rsidRDefault="003D6C67" w:rsidP="003D6C67">
      <w:pPr>
        <w:pStyle w:val="ListParagraph"/>
        <w:jc w:val="both"/>
        <w:rPr>
          <w:sz w:val="22"/>
          <w:szCs w:val="22"/>
        </w:rPr>
      </w:pPr>
    </w:p>
    <w:p w14:paraId="19F48A0A" w14:textId="77777777" w:rsidR="004A7CDC" w:rsidRDefault="004A7CDC" w:rsidP="004A7CDC">
      <w:pPr>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A7CDC" w:rsidRPr="00E07665" w14:paraId="41C1BA25"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5605F39" w14:textId="77777777" w:rsidR="004A7CDC" w:rsidRDefault="004A7CDC">
            <w:pPr>
              <w:widowControl w:val="0"/>
              <w:jc w:val="center"/>
              <w:rPr>
                <w:b/>
                <w:color w:val="FFFFFF"/>
                <w:sz w:val="22"/>
                <w:szCs w:val="22"/>
              </w:rPr>
            </w:pPr>
          </w:p>
          <w:p w14:paraId="6D31F362" w14:textId="77777777" w:rsidR="004A7CDC" w:rsidRPr="005D286F" w:rsidRDefault="004A7CDC">
            <w:pPr>
              <w:widowControl w:val="0"/>
              <w:jc w:val="center"/>
              <w:rPr>
                <w:b/>
                <w:color w:val="FFFFFF"/>
                <w:sz w:val="22"/>
                <w:szCs w:val="22"/>
              </w:rPr>
            </w:pPr>
            <w:r w:rsidRPr="005D286F">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052E319" w14:textId="77777777" w:rsidR="004A7CDC" w:rsidRDefault="004A7CDC">
            <w:pPr>
              <w:widowControl w:val="0"/>
              <w:jc w:val="center"/>
              <w:rPr>
                <w:b/>
                <w:color w:val="FFFFFF"/>
                <w:sz w:val="22"/>
                <w:szCs w:val="22"/>
              </w:rPr>
            </w:pPr>
          </w:p>
          <w:p w14:paraId="76DF1084" w14:textId="77777777" w:rsidR="004A7CDC" w:rsidRPr="005D286F" w:rsidRDefault="004A7CDC">
            <w:pPr>
              <w:widowControl w:val="0"/>
              <w:jc w:val="center"/>
              <w:rPr>
                <w:b/>
                <w:color w:val="FFFFFF"/>
                <w:sz w:val="22"/>
                <w:szCs w:val="22"/>
              </w:rPr>
            </w:pPr>
            <w:r w:rsidRPr="005D286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689A15F" w14:textId="77777777" w:rsidR="004A7CDC" w:rsidRDefault="004A7CDC">
            <w:pPr>
              <w:widowControl w:val="0"/>
              <w:jc w:val="center"/>
              <w:rPr>
                <w:b/>
                <w:color w:val="FFFFFF"/>
                <w:sz w:val="22"/>
                <w:szCs w:val="22"/>
              </w:rPr>
            </w:pPr>
          </w:p>
          <w:p w14:paraId="49009872" w14:textId="77777777" w:rsidR="004A7CDC" w:rsidRPr="00E07665" w:rsidRDefault="004A7CDC">
            <w:pPr>
              <w:widowControl w:val="0"/>
              <w:jc w:val="center"/>
              <w:rPr>
                <w:b/>
                <w:color w:val="FFFFFF"/>
                <w:sz w:val="22"/>
                <w:szCs w:val="22"/>
              </w:rPr>
            </w:pPr>
            <w:r w:rsidRPr="00E07665">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6E52C93" w14:textId="77777777" w:rsidR="004A7CDC" w:rsidRPr="00E07665" w:rsidRDefault="004A7CDC">
            <w:pPr>
              <w:widowControl w:val="0"/>
              <w:jc w:val="center"/>
              <w:rPr>
                <w:b/>
                <w:bCs/>
                <w:color w:val="FFFFFF"/>
                <w:sz w:val="22"/>
                <w:szCs w:val="22"/>
              </w:rPr>
            </w:pPr>
            <w:r w:rsidRPr="00E07665">
              <w:rPr>
                <w:b/>
                <w:bCs/>
              </w:rPr>
              <w:t>Agreement with Exposed Document?</w:t>
            </w:r>
            <w:r w:rsidRPr="00E07665">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10EBD11B" w14:textId="77777777" w:rsidR="004A7CDC" w:rsidRPr="00E07665" w:rsidRDefault="004A7CDC">
            <w:pPr>
              <w:widowControl w:val="0"/>
              <w:jc w:val="center"/>
              <w:rPr>
                <w:b/>
                <w:bCs/>
                <w:color w:val="FFFFFF"/>
                <w:sz w:val="22"/>
                <w:szCs w:val="22"/>
              </w:rPr>
            </w:pPr>
            <w:r w:rsidRPr="00E07665">
              <w:rPr>
                <w:b/>
                <w:bCs/>
              </w:rPr>
              <w:t>Comment Letter Page Number</w:t>
            </w:r>
          </w:p>
        </w:tc>
      </w:tr>
      <w:tr w:rsidR="004A7CDC" w:rsidRPr="005D286F" w14:paraId="4F9F4755" w14:textId="77777777">
        <w:trPr>
          <w:trHeight w:val="800"/>
        </w:trPr>
        <w:tc>
          <w:tcPr>
            <w:tcW w:w="1615" w:type="dxa"/>
            <w:tcBorders>
              <w:top w:val="single" w:sz="4" w:space="0" w:color="FFFFFF"/>
            </w:tcBorders>
            <w:shd w:val="clear" w:color="auto" w:fill="F2F2F2"/>
            <w:vAlign w:val="center"/>
          </w:tcPr>
          <w:p w14:paraId="400F0644" w14:textId="7B5F2575" w:rsidR="004A7CDC" w:rsidRDefault="00DD21A9">
            <w:pPr>
              <w:widowControl w:val="0"/>
              <w:jc w:val="center"/>
              <w:rPr>
                <w:b/>
                <w:sz w:val="22"/>
                <w:szCs w:val="22"/>
              </w:rPr>
            </w:pPr>
            <w:r>
              <w:rPr>
                <w:b/>
                <w:sz w:val="22"/>
                <w:szCs w:val="22"/>
              </w:rPr>
              <w:t>2022-01</w:t>
            </w:r>
          </w:p>
          <w:p w14:paraId="1B703CF7" w14:textId="4751C56F" w:rsidR="004A7CDC" w:rsidRPr="005D286F" w:rsidRDefault="004A7CDC">
            <w:pPr>
              <w:widowControl w:val="0"/>
              <w:jc w:val="center"/>
              <w:rPr>
                <w:b/>
                <w:sz w:val="22"/>
                <w:szCs w:val="22"/>
              </w:rPr>
            </w:pPr>
            <w:r>
              <w:rPr>
                <w:b/>
                <w:sz w:val="22"/>
                <w:szCs w:val="22"/>
              </w:rPr>
              <w:t>(</w:t>
            </w:r>
            <w:r w:rsidR="00DD21A9">
              <w:rPr>
                <w:b/>
                <w:sz w:val="22"/>
                <w:szCs w:val="22"/>
              </w:rPr>
              <w:t>Robin</w:t>
            </w:r>
            <w:r>
              <w:rPr>
                <w:b/>
                <w:sz w:val="22"/>
                <w:szCs w:val="22"/>
              </w:rPr>
              <w:t>)</w:t>
            </w:r>
          </w:p>
        </w:tc>
        <w:tc>
          <w:tcPr>
            <w:tcW w:w="3198" w:type="dxa"/>
            <w:tcBorders>
              <w:top w:val="single" w:sz="4" w:space="0" w:color="FFFFFF"/>
            </w:tcBorders>
            <w:shd w:val="clear" w:color="auto" w:fill="F2F2F2"/>
            <w:vAlign w:val="center"/>
          </w:tcPr>
          <w:p w14:paraId="3BDF968A" w14:textId="046800D1" w:rsidR="004A7CDC" w:rsidRPr="005D286F" w:rsidRDefault="00DD21A9">
            <w:pPr>
              <w:pStyle w:val="Heading2"/>
              <w:rPr>
                <w:iCs/>
                <w:sz w:val="22"/>
                <w:szCs w:val="22"/>
              </w:rPr>
            </w:pPr>
            <w:r>
              <w:rPr>
                <w:iCs/>
                <w:sz w:val="22"/>
                <w:szCs w:val="22"/>
              </w:rPr>
              <w:t>Conceptual Framework – Updates</w:t>
            </w:r>
          </w:p>
        </w:tc>
        <w:tc>
          <w:tcPr>
            <w:tcW w:w="2112" w:type="dxa"/>
            <w:tcBorders>
              <w:top w:val="single" w:sz="4" w:space="0" w:color="FFFFFF"/>
            </w:tcBorders>
            <w:shd w:val="clear" w:color="auto" w:fill="F2F2F2"/>
            <w:vAlign w:val="center"/>
          </w:tcPr>
          <w:p w14:paraId="25A21521" w14:textId="44BC70FC" w:rsidR="004A7CDC" w:rsidRDefault="007C4A42">
            <w:pPr>
              <w:widowControl w:val="0"/>
              <w:jc w:val="center"/>
              <w:rPr>
                <w:b/>
                <w:sz w:val="22"/>
                <w:szCs w:val="22"/>
              </w:rPr>
            </w:pPr>
            <w:r>
              <w:rPr>
                <w:b/>
                <w:sz w:val="22"/>
                <w:szCs w:val="22"/>
              </w:rPr>
              <w:t>1</w:t>
            </w:r>
            <w:r w:rsidR="00325D92">
              <w:rPr>
                <w:b/>
                <w:sz w:val="22"/>
                <w:szCs w:val="22"/>
              </w:rPr>
              <w:t>1</w:t>
            </w:r>
            <w:r w:rsidR="007C15AB">
              <w:rPr>
                <w:b/>
                <w:sz w:val="22"/>
                <w:szCs w:val="22"/>
              </w:rPr>
              <w:t xml:space="preserve"> – </w:t>
            </w:r>
            <w:r>
              <w:rPr>
                <w:b/>
                <w:sz w:val="22"/>
                <w:szCs w:val="22"/>
              </w:rPr>
              <w:t>Agenda Item</w:t>
            </w:r>
          </w:p>
          <w:p w14:paraId="09BE86AE" w14:textId="27B29227" w:rsidR="00CC0B4F" w:rsidRPr="005D286F" w:rsidRDefault="00C53090">
            <w:pPr>
              <w:widowControl w:val="0"/>
              <w:jc w:val="center"/>
              <w:rPr>
                <w:b/>
                <w:sz w:val="22"/>
                <w:szCs w:val="22"/>
              </w:rPr>
            </w:pPr>
            <w:r>
              <w:rPr>
                <w:b/>
                <w:sz w:val="22"/>
                <w:szCs w:val="22"/>
              </w:rPr>
              <w:t>1</w:t>
            </w:r>
            <w:r w:rsidR="00325D92">
              <w:rPr>
                <w:b/>
                <w:sz w:val="22"/>
                <w:szCs w:val="22"/>
              </w:rPr>
              <w:t>2</w:t>
            </w:r>
            <w:r w:rsidR="00AF2F00">
              <w:rPr>
                <w:b/>
                <w:sz w:val="22"/>
                <w:szCs w:val="22"/>
              </w:rPr>
              <w:t xml:space="preserve"> </w:t>
            </w:r>
            <w:r w:rsidR="00BD1DD3">
              <w:rPr>
                <w:b/>
                <w:sz w:val="22"/>
                <w:szCs w:val="22"/>
              </w:rPr>
              <w:t>–</w:t>
            </w:r>
            <w:r w:rsidR="00AF2F00">
              <w:rPr>
                <w:b/>
                <w:sz w:val="22"/>
                <w:szCs w:val="22"/>
              </w:rPr>
              <w:t xml:space="preserve"> </w:t>
            </w:r>
            <w:r w:rsidR="00BD1DD3">
              <w:rPr>
                <w:b/>
                <w:sz w:val="22"/>
                <w:szCs w:val="22"/>
              </w:rPr>
              <w:t>Issue Paper</w:t>
            </w:r>
          </w:p>
        </w:tc>
        <w:tc>
          <w:tcPr>
            <w:tcW w:w="1710" w:type="dxa"/>
            <w:tcBorders>
              <w:top w:val="single" w:sz="4" w:space="0" w:color="FFFFFF"/>
            </w:tcBorders>
            <w:shd w:val="clear" w:color="auto" w:fill="F2F2F2"/>
            <w:vAlign w:val="center"/>
          </w:tcPr>
          <w:p w14:paraId="6D41640D" w14:textId="655E1596" w:rsidR="004A7CDC" w:rsidRPr="005D286F" w:rsidRDefault="00DD21A9">
            <w:pPr>
              <w:widowControl w:val="0"/>
              <w:jc w:val="center"/>
              <w:rPr>
                <w:b/>
                <w:sz w:val="22"/>
                <w:szCs w:val="22"/>
              </w:rPr>
            </w:pPr>
            <w:r w:rsidRPr="002274A7">
              <w:rPr>
                <w:b/>
                <w:sz w:val="22"/>
                <w:szCs w:val="22"/>
              </w:rPr>
              <w:t>Pending</w:t>
            </w:r>
          </w:p>
        </w:tc>
        <w:tc>
          <w:tcPr>
            <w:tcW w:w="1440" w:type="dxa"/>
            <w:tcBorders>
              <w:top w:val="single" w:sz="4" w:space="0" w:color="FFFFFF"/>
            </w:tcBorders>
            <w:shd w:val="clear" w:color="auto" w:fill="F2F2F2"/>
            <w:vAlign w:val="center"/>
          </w:tcPr>
          <w:p w14:paraId="00A83253" w14:textId="76B3FD28" w:rsidR="004A7CDC" w:rsidRPr="005D286F" w:rsidRDefault="00BD49BB">
            <w:pPr>
              <w:widowControl w:val="0"/>
              <w:jc w:val="center"/>
              <w:rPr>
                <w:b/>
                <w:sz w:val="22"/>
                <w:szCs w:val="22"/>
              </w:rPr>
            </w:pPr>
            <w:r>
              <w:rPr>
                <w:b/>
                <w:sz w:val="22"/>
                <w:szCs w:val="22"/>
              </w:rPr>
              <w:t>IP-2</w:t>
            </w:r>
          </w:p>
        </w:tc>
      </w:tr>
    </w:tbl>
    <w:p w14:paraId="2C807607" w14:textId="77777777" w:rsidR="004A7CDC" w:rsidRDefault="004A7CDC" w:rsidP="004A7CDC">
      <w:pPr>
        <w:rPr>
          <w:sz w:val="22"/>
          <w:szCs w:val="22"/>
        </w:rPr>
      </w:pPr>
    </w:p>
    <w:p w14:paraId="2A03453A" w14:textId="77777777" w:rsidR="00217397" w:rsidRPr="00217397" w:rsidRDefault="00217397" w:rsidP="00217397">
      <w:pPr>
        <w:jc w:val="both"/>
        <w:rPr>
          <w:sz w:val="22"/>
          <w:szCs w:val="22"/>
          <w:u w:val="single"/>
        </w:rPr>
      </w:pPr>
      <w:r w:rsidRPr="00217397">
        <w:rPr>
          <w:i/>
          <w:sz w:val="22"/>
          <w:szCs w:val="22"/>
          <w:u w:val="single"/>
        </w:rPr>
        <w:t>Summary:</w:t>
      </w:r>
      <w:r w:rsidRPr="00217397">
        <w:rPr>
          <w:sz w:val="22"/>
          <w:szCs w:val="22"/>
          <w:u w:val="single"/>
        </w:rPr>
        <w:t xml:space="preserve"> </w:t>
      </w:r>
    </w:p>
    <w:p w14:paraId="5A838355" w14:textId="43F28B04" w:rsidR="00217397" w:rsidRPr="00217397" w:rsidRDefault="00217397" w:rsidP="00217397">
      <w:pPr>
        <w:keepNext/>
        <w:jc w:val="both"/>
        <w:outlineLvl w:val="1"/>
        <w:rPr>
          <w:bCs/>
          <w:iCs/>
          <w:sz w:val="22"/>
          <w:szCs w:val="22"/>
        </w:rPr>
      </w:pPr>
      <w:r w:rsidRPr="00217397">
        <w:rPr>
          <w:bCs/>
          <w:iCs/>
          <w:sz w:val="22"/>
          <w:szCs w:val="22"/>
        </w:rPr>
        <w:t xml:space="preserve">During the 2022 Fall National Meeting, the Working Group re-exposed revisions to </w:t>
      </w:r>
      <w:r w:rsidRPr="00217397">
        <w:rPr>
          <w:bCs/>
          <w:i/>
          <w:iCs/>
          <w:sz w:val="22"/>
          <w:szCs w:val="22"/>
        </w:rPr>
        <w:t xml:space="preserve">SSAP No. 5R—Liabilities, Contingencies and Impairment of Assets </w:t>
      </w:r>
      <w:r w:rsidRPr="00217397">
        <w:rPr>
          <w:bCs/>
          <w:sz w:val="22"/>
          <w:szCs w:val="22"/>
        </w:rPr>
        <w:t xml:space="preserve">and </w:t>
      </w:r>
      <w:r w:rsidRPr="00217397">
        <w:rPr>
          <w:bCs/>
          <w:i/>
          <w:iCs/>
          <w:sz w:val="22"/>
          <w:szCs w:val="22"/>
        </w:rPr>
        <w:t>Issue Paper No. 16X—Updates to the Definition of a Liability</w:t>
      </w:r>
      <w:r w:rsidRPr="00217397">
        <w:rPr>
          <w:bCs/>
          <w:sz w:val="22"/>
          <w:szCs w:val="22"/>
        </w:rPr>
        <w:t xml:space="preserve">. The revisions </w:t>
      </w:r>
      <w:r w:rsidRPr="00217397">
        <w:rPr>
          <w:bCs/>
          <w:iCs/>
          <w:sz w:val="22"/>
          <w:szCs w:val="22"/>
        </w:rPr>
        <w:t>incorporate the definition of a liability from Financial Accounting Standards Boards (FASB)</w:t>
      </w:r>
      <w:r w:rsidRPr="00217397">
        <w:rPr>
          <w:bCs/>
          <w:i/>
          <w:iCs/>
          <w:sz w:val="22"/>
          <w:szCs w:val="22"/>
        </w:rPr>
        <w:t xml:space="preserve"> Concepts Statement No. 8, Conceptual Framework for Financial Reporting—Chapter 7, Presentation</w:t>
      </w:r>
      <w:r w:rsidRPr="00217397">
        <w:rPr>
          <w:bCs/>
          <w:sz w:val="22"/>
          <w:szCs w:val="22"/>
        </w:rPr>
        <w:t xml:space="preserve">, and </w:t>
      </w:r>
      <w:r w:rsidRPr="00217397">
        <w:rPr>
          <w:bCs/>
          <w:i/>
          <w:iCs/>
          <w:sz w:val="22"/>
          <w:szCs w:val="22"/>
        </w:rPr>
        <w:t>Concepts Statement No. 8, Conceptual Framework for Financial Reporting—Chapter 4, Elements of Financial Statements</w:t>
      </w:r>
      <w:r w:rsidRPr="00217397">
        <w:rPr>
          <w:bCs/>
          <w:sz w:val="22"/>
          <w:szCs w:val="22"/>
        </w:rPr>
        <w:t>, which updates the definition of an asset and of a liability.</w:t>
      </w:r>
    </w:p>
    <w:p w14:paraId="025235BD" w14:textId="77777777" w:rsidR="00217397" w:rsidRPr="00217397" w:rsidRDefault="00217397" w:rsidP="00217397">
      <w:pPr>
        <w:ind w:left="720"/>
        <w:jc w:val="both"/>
        <w:textAlignment w:val="baseline"/>
        <w:rPr>
          <w:b/>
          <w:bCs/>
          <w:i/>
          <w:iCs/>
          <w:sz w:val="22"/>
          <w:szCs w:val="22"/>
        </w:rPr>
      </w:pPr>
    </w:p>
    <w:p w14:paraId="26E44FAE" w14:textId="77777777" w:rsidR="00217397" w:rsidRPr="00217397" w:rsidRDefault="00217397" w:rsidP="00217397">
      <w:pPr>
        <w:jc w:val="both"/>
        <w:textAlignment w:val="baseline"/>
        <w:rPr>
          <w:b/>
          <w:bCs/>
          <w:i/>
          <w:iCs/>
          <w:sz w:val="22"/>
          <w:szCs w:val="22"/>
        </w:rPr>
      </w:pPr>
      <w:r w:rsidRPr="00217397">
        <w:rPr>
          <w:sz w:val="22"/>
          <w:szCs w:val="22"/>
        </w:rPr>
        <w:t xml:space="preserve">FASB has updated the </w:t>
      </w:r>
      <w:r w:rsidRPr="00217397">
        <w:rPr>
          <w:b/>
          <w:bCs/>
          <w:sz w:val="22"/>
          <w:szCs w:val="22"/>
        </w:rPr>
        <w:t>definition of an ASSET</w:t>
      </w:r>
      <w:r w:rsidRPr="00217397">
        <w:rPr>
          <w:sz w:val="22"/>
          <w:szCs w:val="22"/>
        </w:rPr>
        <w:t xml:space="preserve"> to be defined as a present right of an entity to an economic benefit. The asset definition possesses two essential characteristics in that 1) an asset is a present right and 2), the right is to an economic benefit. On August 10, 2022, the Statutory Accounting Principles (E) Working Group adopted, the previously exposed revisions, to the Preamble and</w:t>
      </w:r>
      <w:r w:rsidRPr="00217397">
        <w:rPr>
          <w:i/>
          <w:iCs/>
          <w:sz w:val="22"/>
          <w:szCs w:val="22"/>
        </w:rPr>
        <w:t xml:space="preserve"> SSAP No. 4—Assets and Nonadmitted Assets </w:t>
      </w:r>
      <w:r w:rsidRPr="00217397">
        <w:rPr>
          <w:sz w:val="22"/>
          <w:szCs w:val="22"/>
        </w:rPr>
        <w:t>and</w:t>
      </w:r>
      <w:r w:rsidRPr="00217397">
        <w:rPr>
          <w:i/>
          <w:iCs/>
          <w:sz w:val="22"/>
          <w:szCs w:val="22"/>
        </w:rPr>
        <w:t xml:space="preserve"> </w:t>
      </w:r>
      <w:bookmarkStart w:id="2" w:name="_Hlk128175262"/>
      <w:r w:rsidRPr="00217397">
        <w:rPr>
          <w:i/>
          <w:iCs/>
          <w:sz w:val="22"/>
          <w:szCs w:val="22"/>
        </w:rPr>
        <w:t>Issue Paper No. 166—Updates to the Definition of an Asset</w:t>
      </w:r>
      <w:bookmarkEnd w:id="2"/>
      <w:r w:rsidRPr="00217397">
        <w:rPr>
          <w:sz w:val="22"/>
          <w:szCs w:val="22"/>
        </w:rPr>
        <w:t>.</w:t>
      </w:r>
    </w:p>
    <w:p w14:paraId="1FD18CA6" w14:textId="77777777" w:rsidR="00217397" w:rsidRPr="00217397" w:rsidRDefault="00217397" w:rsidP="00217397">
      <w:pPr>
        <w:ind w:left="360"/>
        <w:jc w:val="both"/>
        <w:textAlignment w:val="baseline"/>
        <w:rPr>
          <w:rFonts w:ascii="Segoe UI" w:hAnsi="Segoe UI" w:cs="Segoe UI"/>
          <w:sz w:val="22"/>
          <w:szCs w:val="22"/>
        </w:rPr>
      </w:pPr>
      <w:r w:rsidRPr="00217397">
        <w:rPr>
          <w:sz w:val="22"/>
          <w:szCs w:val="22"/>
        </w:rPr>
        <w:t> </w:t>
      </w:r>
    </w:p>
    <w:p w14:paraId="450D7CE5" w14:textId="77777777" w:rsidR="00217397" w:rsidRPr="00217397" w:rsidRDefault="00217397" w:rsidP="00217397">
      <w:pPr>
        <w:jc w:val="both"/>
        <w:textAlignment w:val="baseline"/>
        <w:rPr>
          <w:sz w:val="22"/>
          <w:szCs w:val="22"/>
        </w:rPr>
      </w:pPr>
      <w:r w:rsidRPr="00217397">
        <w:rPr>
          <w:sz w:val="22"/>
          <w:szCs w:val="22"/>
        </w:rPr>
        <w:t xml:space="preserve">FASB has updated the </w:t>
      </w:r>
      <w:r w:rsidRPr="00217397">
        <w:rPr>
          <w:b/>
          <w:bCs/>
          <w:sz w:val="22"/>
          <w:szCs w:val="22"/>
        </w:rPr>
        <w:t xml:space="preserve">definition of a LIABILITY </w:t>
      </w:r>
      <w:r w:rsidRPr="00217397">
        <w:rPr>
          <w:sz w:val="22"/>
          <w:szCs w:val="22"/>
        </w:rPr>
        <w:t xml:space="preserve">to be defined as a present obligation of an entity to transfer an economic benefit. The liability definition possesses two essential characteristics in that 1) </w:t>
      </w:r>
      <w:bookmarkStart w:id="3" w:name="_Int_3b2pV6vn"/>
      <w:r w:rsidRPr="00217397">
        <w:rPr>
          <w:sz w:val="22"/>
          <w:szCs w:val="22"/>
        </w:rPr>
        <w:t>the liability</w:t>
      </w:r>
      <w:bookmarkEnd w:id="3"/>
      <w:r w:rsidRPr="00217397">
        <w:rPr>
          <w:sz w:val="22"/>
          <w:szCs w:val="22"/>
        </w:rPr>
        <w:t xml:space="preserve"> is a present obligation, and 2) the obligation requires an entity to transfer or otherwise provide economic benefit to others. (For the purposes of this characteristic, </w:t>
      </w:r>
      <w:r w:rsidRPr="00217397">
        <w:rPr>
          <w:i/>
          <w:iCs/>
          <w:sz w:val="22"/>
          <w:szCs w:val="22"/>
        </w:rPr>
        <w:t>transfer</w:t>
      </w:r>
      <w:r w:rsidRPr="00217397">
        <w:rPr>
          <w:sz w:val="22"/>
          <w:szCs w:val="22"/>
        </w:rPr>
        <w:t xml:space="preserve"> is typically used to describe obligations to pay cash or convey assets, while the term </w:t>
      </w:r>
      <w:r w:rsidRPr="00217397">
        <w:rPr>
          <w:i/>
          <w:iCs/>
          <w:sz w:val="22"/>
          <w:szCs w:val="22"/>
        </w:rPr>
        <w:t>provide</w:t>
      </w:r>
      <w:r w:rsidRPr="00217397">
        <w:rPr>
          <w:sz w:val="22"/>
          <w:szCs w:val="22"/>
        </w:rPr>
        <w:t xml:space="preserve"> is used to describe obligations to provide services or stand by to do so.) </w:t>
      </w:r>
    </w:p>
    <w:p w14:paraId="317D26B3" w14:textId="77777777" w:rsidR="00217397" w:rsidRPr="00217397" w:rsidRDefault="00217397" w:rsidP="00217397">
      <w:pPr>
        <w:rPr>
          <w:b/>
          <w:bCs/>
          <w:color w:val="111822"/>
          <w:sz w:val="22"/>
          <w:szCs w:val="22"/>
          <w:shd w:val="clear" w:color="auto" w:fill="F7FCFF"/>
        </w:rPr>
      </w:pPr>
    </w:p>
    <w:p w14:paraId="29425BC6" w14:textId="77777777" w:rsidR="00217397" w:rsidRPr="00217397" w:rsidRDefault="00217397" w:rsidP="00217397">
      <w:pPr>
        <w:tabs>
          <w:tab w:val="left" w:pos="630"/>
        </w:tabs>
        <w:jc w:val="both"/>
        <w:rPr>
          <w:bCs/>
          <w:sz w:val="22"/>
          <w:szCs w:val="22"/>
        </w:rPr>
      </w:pPr>
      <w:r w:rsidRPr="00217397">
        <w:rPr>
          <w:bCs/>
          <w:sz w:val="22"/>
          <w:szCs w:val="22"/>
        </w:rPr>
        <w:t>There are some existing GAAP and SAP standards which provide liability guidance which do not meet the existing or proposed revised definitions of a liability for GAAP or SAP. Because SAP treats the definitions of an asset and a liability as authoritative, updating these definitions requires careful consideration. Statutory accounting variations from the definition of a liability are typically topic specific items which are often for purposes of conservatism or implementing other regulatory objectives. Examples of existing SAP variations from the definition of a liability are:</w:t>
      </w:r>
    </w:p>
    <w:p w14:paraId="0D39428F" w14:textId="77777777" w:rsidR="00217397" w:rsidRPr="00217397" w:rsidRDefault="00217397" w:rsidP="00D64456">
      <w:pPr>
        <w:numPr>
          <w:ilvl w:val="0"/>
          <w:numId w:val="37"/>
        </w:numPr>
        <w:spacing w:after="100" w:afterAutospacing="1" w:line="259" w:lineRule="auto"/>
        <w:ind w:left="1080" w:hanging="540"/>
        <w:jc w:val="both"/>
        <w:textAlignment w:val="baseline"/>
        <w:rPr>
          <w:bCs/>
          <w:sz w:val="22"/>
          <w:szCs w:val="22"/>
        </w:rPr>
      </w:pPr>
      <w:r w:rsidRPr="00217397">
        <w:rPr>
          <w:bCs/>
          <w:i/>
          <w:iCs/>
          <w:sz w:val="22"/>
          <w:szCs w:val="22"/>
        </w:rPr>
        <w:t>SSAP No. 7—Asset Valuation Reserves and Interest Maintenance Reserves</w:t>
      </w:r>
      <w:r w:rsidRPr="00217397">
        <w:rPr>
          <w:bCs/>
          <w:sz w:val="22"/>
          <w:szCs w:val="22"/>
        </w:rPr>
        <w:t xml:space="preserve"> – AVR and IMR establish liabilities for regulatory objectives. </w:t>
      </w:r>
    </w:p>
    <w:p w14:paraId="68BB0DF0" w14:textId="3C44C797" w:rsidR="00217397" w:rsidRPr="00217397" w:rsidRDefault="00217397" w:rsidP="00D64456">
      <w:pPr>
        <w:numPr>
          <w:ilvl w:val="0"/>
          <w:numId w:val="37"/>
        </w:numPr>
        <w:spacing w:after="100" w:afterAutospacing="1" w:line="259" w:lineRule="auto"/>
        <w:ind w:left="1080" w:hanging="540"/>
        <w:jc w:val="both"/>
        <w:textAlignment w:val="baseline"/>
        <w:rPr>
          <w:bCs/>
          <w:sz w:val="22"/>
          <w:szCs w:val="22"/>
        </w:rPr>
      </w:pPr>
      <w:r w:rsidRPr="00217397">
        <w:rPr>
          <w:bCs/>
          <w:i/>
          <w:iCs/>
          <w:sz w:val="22"/>
          <w:szCs w:val="22"/>
        </w:rPr>
        <w:t>SSAP No. 62R—Property and Casualty Reinsurance</w:t>
      </w:r>
      <w:r w:rsidRPr="00217397">
        <w:rPr>
          <w:bCs/>
          <w:sz w:val="22"/>
          <w:szCs w:val="22"/>
        </w:rPr>
        <w:t xml:space="preserve"> – contains the provision for reinsurance liability guidance which results in a liability that is a regulatory valuation allowance for overdue and slow paying reinsurance </w:t>
      </w:r>
      <w:proofErr w:type="gramStart"/>
      <w:r w:rsidRPr="00217397">
        <w:rPr>
          <w:bCs/>
          <w:sz w:val="22"/>
          <w:szCs w:val="22"/>
        </w:rPr>
        <w:t>and also</w:t>
      </w:r>
      <w:proofErr w:type="gramEnd"/>
      <w:r w:rsidRPr="00217397">
        <w:rPr>
          <w:bCs/>
          <w:sz w:val="22"/>
          <w:szCs w:val="22"/>
        </w:rPr>
        <w:t xml:space="preserve"> enforces Credit for Reinsurance </w:t>
      </w:r>
      <w:r w:rsidR="000F7F66">
        <w:rPr>
          <w:bCs/>
          <w:sz w:val="22"/>
          <w:szCs w:val="22"/>
        </w:rPr>
        <w:t>(</w:t>
      </w:r>
      <w:r w:rsidR="000F7F66" w:rsidRPr="00217397">
        <w:rPr>
          <w:bCs/>
          <w:sz w:val="22"/>
          <w:szCs w:val="22"/>
        </w:rPr>
        <w:t>Model No. 785</w:t>
      </w:r>
      <w:r w:rsidR="000F7F66">
        <w:rPr>
          <w:bCs/>
          <w:sz w:val="22"/>
          <w:szCs w:val="22"/>
        </w:rPr>
        <w:t>)</w:t>
      </w:r>
      <w:r w:rsidR="000F7F66" w:rsidRPr="00217397">
        <w:rPr>
          <w:bCs/>
          <w:sz w:val="22"/>
          <w:szCs w:val="22"/>
        </w:rPr>
        <w:t xml:space="preserve"> </w:t>
      </w:r>
      <w:r w:rsidRPr="00217397">
        <w:rPr>
          <w:bCs/>
          <w:sz w:val="22"/>
          <w:szCs w:val="22"/>
        </w:rPr>
        <w:t xml:space="preserve">collateral requirements. </w:t>
      </w:r>
    </w:p>
    <w:p w14:paraId="6B128D8C" w14:textId="77777777" w:rsidR="00217397" w:rsidRPr="00217397" w:rsidRDefault="00217397" w:rsidP="00D64456">
      <w:pPr>
        <w:numPr>
          <w:ilvl w:val="0"/>
          <w:numId w:val="37"/>
        </w:numPr>
        <w:spacing w:after="100" w:afterAutospacing="1" w:line="259" w:lineRule="auto"/>
        <w:ind w:left="1080" w:hanging="540"/>
        <w:jc w:val="both"/>
        <w:textAlignment w:val="baseline"/>
        <w:rPr>
          <w:bCs/>
          <w:sz w:val="22"/>
          <w:szCs w:val="22"/>
        </w:rPr>
      </w:pPr>
      <w:r w:rsidRPr="00746F37">
        <w:rPr>
          <w:i/>
          <w:sz w:val="22"/>
          <w:szCs w:val="22"/>
        </w:rPr>
        <w:t>SSAP No. 92—Post Retirement Benefits Other than Pensions</w:t>
      </w:r>
      <w:r w:rsidRPr="00217397">
        <w:rPr>
          <w:bCs/>
          <w:sz w:val="22"/>
          <w:szCs w:val="22"/>
        </w:rPr>
        <w:t>, provides liability recognition, which adopts several GAAP standards with modifications.</w:t>
      </w:r>
    </w:p>
    <w:p w14:paraId="41CD1A23" w14:textId="77777777" w:rsidR="00217397" w:rsidRPr="00217397" w:rsidRDefault="00217397" w:rsidP="00217397">
      <w:pPr>
        <w:jc w:val="both"/>
        <w:textAlignment w:val="baseline"/>
        <w:rPr>
          <w:bCs/>
          <w:i/>
          <w:sz w:val="22"/>
          <w:szCs w:val="22"/>
          <w:u w:val="single"/>
        </w:rPr>
      </w:pPr>
      <w:r w:rsidRPr="00217397">
        <w:rPr>
          <w:bCs/>
          <w:i/>
          <w:sz w:val="22"/>
          <w:szCs w:val="22"/>
          <w:u w:val="single"/>
        </w:rPr>
        <w:t>Interested Parties’ Comments:</w:t>
      </w:r>
    </w:p>
    <w:p w14:paraId="7470884E" w14:textId="77777777" w:rsidR="00217397" w:rsidRPr="00217397" w:rsidRDefault="00217397" w:rsidP="00217397">
      <w:pPr>
        <w:rPr>
          <w:iCs/>
          <w:sz w:val="22"/>
          <w:szCs w:val="22"/>
        </w:rPr>
      </w:pPr>
      <w:r w:rsidRPr="00217397">
        <w:rPr>
          <w:iCs/>
          <w:sz w:val="22"/>
          <w:szCs w:val="22"/>
        </w:rPr>
        <w:t xml:space="preserve">Interested parties are currently reviewing the additional materials provided by NAIC staff and will comment </w:t>
      </w:r>
      <w:proofErr w:type="gramStart"/>
      <w:r w:rsidRPr="00217397">
        <w:rPr>
          <w:iCs/>
          <w:sz w:val="22"/>
          <w:szCs w:val="22"/>
        </w:rPr>
        <w:t>at a later date</w:t>
      </w:r>
      <w:proofErr w:type="gramEnd"/>
      <w:r w:rsidRPr="00217397">
        <w:rPr>
          <w:iCs/>
          <w:sz w:val="22"/>
          <w:szCs w:val="22"/>
        </w:rPr>
        <w:t xml:space="preserve">. </w:t>
      </w:r>
    </w:p>
    <w:p w14:paraId="1C29FF24" w14:textId="77777777" w:rsidR="00217397" w:rsidRPr="00217397" w:rsidRDefault="00217397" w:rsidP="00217397">
      <w:pPr>
        <w:tabs>
          <w:tab w:val="left" w:pos="630"/>
        </w:tabs>
        <w:jc w:val="both"/>
        <w:rPr>
          <w:b/>
          <w:sz w:val="22"/>
          <w:szCs w:val="22"/>
          <w:u w:val="single"/>
        </w:rPr>
      </w:pPr>
    </w:p>
    <w:p w14:paraId="122DC3A6" w14:textId="77777777" w:rsidR="00217397" w:rsidRPr="00217397" w:rsidRDefault="00217397" w:rsidP="00217397">
      <w:pPr>
        <w:jc w:val="both"/>
        <w:rPr>
          <w:bCs/>
          <w:i/>
          <w:kern w:val="32"/>
          <w:sz w:val="22"/>
          <w:szCs w:val="22"/>
          <w:u w:val="single"/>
        </w:rPr>
      </w:pPr>
      <w:r w:rsidRPr="00217397">
        <w:rPr>
          <w:bCs/>
          <w:i/>
          <w:kern w:val="32"/>
          <w:sz w:val="22"/>
          <w:szCs w:val="22"/>
          <w:u w:val="single"/>
        </w:rPr>
        <w:t>Recommendation:</w:t>
      </w:r>
    </w:p>
    <w:p w14:paraId="0DD4AB47" w14:textId="79B20754" w:rsidR="00217397" w:rsidRPr="00217397" w:rsidRDefault="00217397" w:rsidP="00217397">
      <w:pPr>
        <w:tabs>
          <w:tab w:val="left" w:pos="630"/>
        </w:tabs>
        <w:jc w:val="both"/>
        <w:rPr>
          <w:b/>
          <w:sz w:val="22"/>
          <w:szCs w:val="22"/>
        </w:rPr>
      </w:pPr>
      <w:r w:rsidRPr="00217397">
        <w:rPr>
          <w:b/>
          <w:sz w:val="22"/>
          <w:szCs w:val="22"/>
        </w:rPr>
        <w:t>NAIC staff recommends exposure of additional clarifications regarding: deferring to SSAP guidance which provides topic specific variations from the definition of a liability in SSAP No. 5</w:t>
      </w:r>
      <w:proofErr w:type="gramStart"/>
      <w:r w:rsidRPr="00217397">
        <w:rPr>
          <w:b/>
          <w:sz w:val="22"/>
          <w:szCs w:val="22"/>
        </w:rPr>
        <w:t>R</w:t>
      </w:r>
      <w:r w:rsidR="000576AF">
        <w:rPr>
          <w:b/>
          <w:sz w:val="22"/>
          <w:szCs w:val="22"/>
        </w:rPr>
        <w:t xml:space="preserve"> </w:t>
      </w:r>
      <w:r w:rsidR="0035046A">
        <w:rPr>
          <w:b/>
          <w:sz w:val="22"/>
          <w:szCs w:val="22"/>
        </w:rPr>
        <w:t xml:space="preserve"> and</w:t>
      </w:r>
      <w:proofErr w:type="gramEnd"/>
      <w:r w:rsidR="0035046A">
        <w:rPr>
          <w:b/>
          <w:sz w:val="22"/>
          <w:szCs w:val="22"/>
        </w:rPr>
        <w:t xml:space="preserve"> the related </w:t>
      </w:r>
      <w:r w:rsidR="0035046A" w:rsidRPr="00217397">
        <w:rPr>
          <w:bCs/>
          <w:i/>
          <w:iCs/>
          <w:sz w:val="22"/>
          <w:szCs w:val="22"/>
        </w:rPr>
        <w:t>Issue Paper No. 16X—Updates to the Definition of a Liability</w:t>
      </w:r>
      <w:r w:rsidR="000576AF" w:rsidRPr="00217397">
        <w:rPr>
          <w:i/>
          <w:sz w:val="22"/>
          <w:szCs w:val="22"/>
        </w:rPr>
        <w:t xml:space="preserve"> </w:t>
      </w:r>
      <w:r w:rsidRPr="00217397">
        <w:rPr>
          <w:b/>
          <w:sz w:val="22"/>
          <w:szCs w:val="22"/>
        </w:rPr>
        <w:t xml:space="preserve">as illustrated under “Proposed Revisions” below. </w:t>
      </w:r>
    </w:p>
    <w:p w14:paraId="32BB76FB" w14:textId="77777777" w:rsidR="00217397" w:rsidRPr="00217397" w:rsidRDefault="00217397" w:rsidP="00217397">
      <w:pPr>
        <w:tabs>
          <w:tab w:val="left" w:pos="630"/>
        </w:tabs>
        <w:jc w:val="both"/>
        <w:rPr>
          <w:b/>
          <w:sz w:val="22"/>
          <w:szCs w:val="22"/>
        </w:rPr>
      </w:pPr>
    </w:p>
    <w:p w14:paraId="5CD05582" w14:textId="1DEEE1B3" w:rsidR="00217397" w:rsidRPr="00217397" w:rsidRDefault="00217397" w:rsidP="00217397">
      <w:pPr>
        <w:tabs>
          <w:tab w:val="left" w:pos="720"/>
        </w:tabs>
        <w:jc w:val="both"/>
        <w:rPr>
          <w:bCs/>
          <w:sz w:val="22"/>
          <w:szCs w:val="22"/>
        </w:rPr>
      </w:pPr>
      <w:r w:rsidRPr="00217397">
        <w:rPr>
          <w:bCs/>
          <w:sz w:val="22"/>
          <w:szCs w:val="22"/>
        </w:rPr>
        <w:t xml:space="preserve">These clarifications are recommended because of the authoritative treatment that statutory accounting provides to the definition of an asset and a liability in SSAP No. 4 and SSAP No. 5R. For GAAP, the FASB Conceptual statements </w:t>
      </w:r>
      <w:r w:rsidR="005A5897">
        <w:rPr>
          <w:bCs/>
          <w:sz w:val="22"/>
          <w:szCs w:val="22"/>
        </w:rPr>
        <w:t xml:space="preserve">definitions </w:t>
      </w:r>
      <w:r w:rsidRPr="00217397">
        <w:rPr>
          <w:bCs/>
          <w:sz w:val="22"/>
          <w:szCs w:val="22"/>
        </w:rPr>
        <w:t xml:space="preserve">are not authoritative, but rather are concepts to consider when developing </w:t>
      </w:r>
      <w:r w:rsidR="005A5897">
        <w:rPr>
          <w:bCs/>
          <w:sz w:val="22"/>
          <w:szCs w:val="22"/>
        </w:rPr>
        <w:t xml:space="preserve">and applying </w:t>
      </w:r>
      <w:r w:rsidRPr="00217397">
        <w:rPr>
          <w:bCs/>
          <w:sz w:val="22"/>
          <w:szCs w:val="22"/>
        </w:rPr>
        <w:t xml:space="preserve">guidance. </w:t>
      </w:r>
      <w:r w:rsidR="00BD1F1B">
        <w:rPr>
          <w:bCs/>
          <w:sz w:val="22"/>
          <w:szCs w:val="22"/>
        </w:rPr>
        <w:t>The</w:t>
      </w:r>
      <w:r w:rsidRPr="00217397">
        <w:rPr>
          <w:bCs/>
          <w:sz w:val="22"/>
          <w:szCs w:val="22"/>
        </w:rPr>
        <w:t xml:space="preserve"> FASB basis for conclusions noted that some existing authoritative FASB literature regarding </w:t>
      </w:r>
      <w:r w:rsidRPr="00BD1F1B">
        <w:rPr>
          <w:sz w:val="22"/>
          <w:szCs w:val="22"/>
        </w:rPr>
        <w:t>liabilities</w:t>
      </w:r>
      <w:r w:rsidRPr="00217397">
        <w:rPr>
          <w:bCs/>
          <w:sz w:val="22"/>
          <w:szCs w:val="22"/>
        </w:rPr>
        <w:t xml:space="preserve"> is inconsistent with the updates to Concepts Statement No. 8.</w:t>
      </w:r>
      <w:r w:rsidRPr="00217397">
        <w:rPr>
          <w:b/>
          <w:sz w:val="22"/>
          <w:szCs w:val="22"/>
        </w:rPr>
        <w:t xml:space="preserve"> </w:t>
      </w:r>
      <w:r w:rsidR="00E61EC9">
        <w:rPr>
          <w:b/>
          <w:sz w:val="22"/>
          <w:szCs w:val="22"/>
        </w:rPr>
        <w:t xml:space="preserve">Therefore, a modification regarding topic specific </w:t>
      </w:r>
      <w:r w:rsidR="00D2475B">
        <w:rPr>
          <w:b/>
          <w:sz w:val="22"/>
          <w:szCs w:val="22"/>
        </w:rPr>
        <w:t xml:space="preserve">liabilities guidance is recommended. </w:t>
      </w:r>
    </w:p>
    <w:p w14:paraId="3F6D4803" w14:textId="77777777" w:rsidR="00217397" w:rsidRPr="00217397" w:rsidRDefault="00217397" w:rsidP="00217397">
      <w:pPr>
        <w:tabs>
          <w:tab w:val="left" w:pos="720"/>
        </w:tabs>
        <w:ind w:left="720" w:hanging="810"/>
        <w:jc w:val="both"/>
        <w:rPr>
          <w:bCs/>
          <w:sz w:val="22"/>
          <w:szCs w:val="22"/>
        </w:rPr>
      </w:pPr>
    </w:p>
    <w:p w14:paraId="39C982F6" w14:textId="2C95661B" w:rsidR="00217397" w:rsidRPr="0035046A" w:rsidRDefault="00217397" w:rsidP="00217397">
      <w:pPr>
        <w:jc w:val="both"/>
        <w:rPr>
          <w:b/>
          <w:sz w:val="22"/>
          <w:szCs w:val="22"/>
        </w:rPr>
      </w:pPr>
      <w:r w:rsidRPr="00217397">
        <w:rPr>
          <w:bCs/>
          <w:sz w:val="22"/>
          <w:szCs w:val="22"/>
        </w:rPr>
        <w:t xml:space="preserve">Lastly, because of previous comments on this agenda item from </w:t>
      </w:r>
      <w:r w:rsidR="00C3339F">
        <w:rPr>
          <w:bCs/>
          <w:sz w:val="22"/>
          <w:szCs w:val="22"/>
        </w:rPr>
        <w:t>i</w:t>
      </w:r>
      <w:r w:rsidRPr="00217397">
        <w:rPr>
          <w:bCs/>
          <w:sz w:val="22"/>
          <w:szCs w:val="22"/>
        </w:rPr>
        <w:t>nterested parties, NAIC staff have prepared a</w:t>
      </w:r>
      <w:r w:rsidR="00FB6B10">
        <w:rPr>
          <w:bCs/>
          <w:sz w:val="22"/>
          <w:szCs w:val="22"/>
        </w:rPr>
        <w:t xml:space="preserve"> </w:t>
      </w:r>
      <w:proofErr w:type="gramStart"/>
      <w:r w:rsidR="00FB6B10">
        <w:rPr>
          <w:bCs/>
          <w:sz w:val="22"/>
          <w:szCs w:val="22"/>
        </w:rPr>
        <w:t xml:space="preserve">new </w:t>
      </w:r>
      <w:r w:rsidRPr="00217397">
        <w:rPr>
          <w:bCs/>
          <w:sz w:val="22"/>
          <w:szCs w:val="22"/>
        </w:rPr>
        <w:t xml:space="preserve"> agenda</w:t>
      </w:r>
      <w:proofErr w:type="gramEnd"/>
      <w:r w:rsidRPr="00217397">
        <w:rPr>
          <w:bCs/>
          <w:sz w:val="22"/>
          <w:szCs w:val="22"/>
        </w:rPr>
        <w:t xml:space="preserve"> item in meeting which proposes a project to ensure that accounting guidance from annual statement instructions are incorporated into the SSAPs</w:t>
      </w:r>
      <w:r w:rsidR="00262F03">
        <w:rPr>
          <w:bCs/>
          <w:sz w:val="22"/>
          <w:szCs w:val="22"/>
        </w:rPr>
        <w:t xml:space="preserve"> - </w:t>
      </w:r>
      <w:r w:rsidR="00262F03" w:rsidRPr="00D64456">
        <w:rPr>
          <w:b/>
          <w:sz w:val="22"/>
          <w:szCs w:val="22"/>
        </w:rPr>
        <w:t>S</w:t>
      </w:r>
      <w:r w:rsidRPr="00D64456">
        <w:rPr>
          <w:b/>
          <w:sz w:val="22"/>
          <w:szCs w:val="22"/>
        </w:rPr>
        <w:t>ee agenda item 2023-</w:t>
      </w:r>
      <w:r w:rsidR="00D64456" w:rsidRPr="00D64456">
        <w:rPr>
          <w:b/>
          <w:sz w:val="22"/>
          <w:szCs w:val="22"/>
        </w:rPr>
        <w:t>01</w:t>
      </w:r>
      <w:r w:rsidRPr="00D64456">
        <w:rPr>
          <w:b/>
          <w:sz w:val="22"/>
          <w:szCs w:val="22"/>
        </w:rPr>
        <w:t>)</w:t>
      </w:r>
    </w:p>
    <w:p w14:paraId="02B1F029" w14:textId="77777777" w:rsidR="00217397" w:rsidRPr="00217397" w:rsidRDefault="00217397" w:rsidP="00217397">
      <w:pPr>
        <w:tabs>
          <w:tab w:val="left" w:pos="630"/>
        </w:tabs>
        <w:ind w:left="720"/>
        <w:jc w:val="both"/>
        <w:rPr>
          <w:bCs/>
          <w:sz w:val="22"/>
          <w:szCs w:val="22"/>
          <w:u w:val="single"/>
          <w:lang w:eastAsia="ja-JP"/>
        </w:rPr>
      </w:pPr>
    </w:p>
    <w:p w14:paraId="4A504605" w14:textId="1126699E" w:rsidR="00217397" w:rsidRPr="0035046A" w:rsidRDefault="00217397" w:rsidP="0035046A">
      <w:pPr>
        <w:pStyle w:val="ListParagraph"/>
        <w:numPr>
          <w:ilvl w:val="0"/>
          <w:numId w:val="44"/>
        </w:numPr>
        <w:spacing w:after="160" w:line="259" w:lineRule="auto"/>
        <w:jc w:val="both"/>
        <w:rPr>
          <w:b/>
          <w:sz w:val="22"/>
          <w:szCs w:val="22"/>
        </w:rPr>
      </w:pPr>
      <w:r w:rsidRPr="00217397">
        <w:rPr>
          <w:b/>
          <w:sz w:val="22"/>
          <w:szCs w:val="22"/>
        </w:rPr>
        <w:t>Proposed revisions – Topic Specific Footnote</w:t>
      </w:r>
      <w:r w:rsidRPr="00217397">
        <w:rPr>
          <w:bCs/>
          <w:sz w:val="22"/>
          <w:szCs w:val="22"/>
        </w:rPr>
        <w:t xml:space="preserve"> - This language is proposed for incorporation as a footnote to the liability definition in SSAP No. 5R and its related </w:t>
      </w:r>
      <w:r w:rsidR="0035046A" w:rsidRPr="0035046A">
        <w:rPr>
          <w:bCs/>
          <w:sz w:val="22"/>
          <w:szCs w:val="22"/>
        </w:rPr>
        <w:t xml:space="preserve">and </w:t>
      </w:r>
      <w:r w:rsidRPr="0035046A">
        <w:rPr>
          <w:i/>
          <w:sz w:val="22"/>
          <w:szCs w:val="22"/>
        </w:rPr>
        <w:t xml:space="preserve">Issue Paper </w:t>
      </w:r>
      <w:r w:rsidR="0035046A" w:rsidRPr="0035046A">
        <w:rPr>
          <w:bCs/>
          <w:i/>
          <w:iCs/>
          <w:sz w:val="22"/>
          <w:szCs w:val="22"/>
        </w:rPr>
        <w:t xml:space="preserve">No. </w:t>
      </w:r>
      <w:r w:rsidRPr="0035046A">
        <w:rPr>
          <w:i/>
          <w:sz w:val="22"/>
          <w:szCs w:val="22"/>
        </w:rPr>
        <w:t>16X</w:t>
      </w:r>
      <w:r w:rsidR="0035046A" w:rsidRPr="0035046A">
        <w:rPr>
          <w:bCs/>
          <w:i/>
          <w:iCs/>
          <w:sz w:val="22"/>
          <w:szCs w:val="22"/>
        </w:rPr>
        <w:t>—Updates to the Definition of a Liability</w:t>
      </w:r>
      <w:r w:rsidRPr="0035046A">
        <w:rPr>
          <w:bCs/>
          <w:sz w:val="22"/>
          <w:szCs w:val="22"/>
        </w:rPr>
        <w:t>.</w:t>
      </w:r>
    </w:p>
    <w:p w14:paraId="049B0DCE" w14:textId="77777777" w:rsidR="00217397" w:rsidRPr="00217397" w:rsidRDefault="00217397" w:rsidP="00217397">
      <w:pPr>
        <w:ind w:left="1440"/>
        <w:jc w:val="both"/>
        <w:rPr>
          <w:rFonts w:ascii="Arial" w:hAnsi="Arial" w:cs="Arial"/>
          <w:u w:val="single"/>
        </w:rPr>
      </w:pPr>
      <w:r w:rsidRPr="00217397">
        <w:rPr>
          <w:rFonts w:ascii="Arial" w:hAnsi="Arial" w:cs="Arial"/>
          <w:u w:val="single"/>
        </w:rPr>
        <w:t xml:space="preserve">New Footnote: </w:t>
      </w:r>
    </w:p>
    <w:p w14:paraId="4B6D3F19" w14:textId="77777777" w:rsidR="00217397" w:rsidRPr="00217397" w:rsidRDefault="00217397" w:rsidP="00217397">
      <w:pPr>
        <w:ind w:left="1440"/>
        <w:jc w:val="both"/>
        <w:rPr>
          <w:rFonts w:ascii="Arial" w:hAnsi="Arial" w:cs="Arial"/>
          <w:u w:val="single"/>
        </w:rPr>
      </w:pPr>
      <w:r w:rsidRPr="00217397">
        <w:rPr>
          <w:rFonts w:ascii="Arial" w:hAnsi="Arial" w:cs="Arial"/>
          <w:u w:val="single"/>
        </w:rPr>
        <w:t>The guidance in this statement regarding the definition of a</w:t>
      </w:r>
      <w:r w:rsidRPr="00D226F4">
        <w:rPr>
          <w:rFonts w:ascii="Arial" w:hAnsi="Arial" w:cs="Arial"/>
          <w:u w:val="single"/>
        </w:rPr>
        <w:t xml:space="preserve"> liability</w:t>
      </w:r>
      <w:r w:rsidRPr="00217397">
        <w:rPr>
          <w:rFonts w:ascii="Arial" w:hAnsi="Arial" w:cs="Arial"/>
          <w:u w:val="single"/>
        </w:rPr>
        <w:t xml:space="preserve"> is applicable unless another authoritative statement </w:t>
      </w:r>
      <w:r w:rsidRPr="00217397">
        <w:rPr>
          <w:rFonts w:ascii="Arial" w:hAnsi="Arial" w:cs="Arial"/>
          <w:bCs/>
          <w:u w:val="single"/>
        </w:rPr>
        <w:t xml:space="preserve">of statutory accounting principles </w:t>
      </w:r>
      <w:r w:rsidRPr="00217397">
        <w:rPr>
          <w:rFonts w:ascii="Arial" w:hAnsi="Arial" w:cs="Arial"/>
          <w:u w:val="single"/>
        </w:rPr>
        <w:t xml:space="preserve">provides more topic specific contradictory guidance. In such cases the topic specific guidance shall apply. </w:t>
      </w:r>
    </w:p>
    <w:p w14:paraId="391A82D1" w14:textId="77777777" w:rsidR="00217397" w:rsidRPr="00217397" w:rsidRDefault="00217397" w:rsidP="00217397">
      <w:pPr>
        <w:ind w:left="720"/>
        <w:jc w:val="both"/>
        <w:rPr>
          <w:rFonts w:ascii="Arial" w:hAnsi="Arial" w:cs="Arial"/>
          <w:b/>
          <w:bCs/>
          <w:u w:val="single"/>
        </w:rPr>
      </w:pPr>
    </w:p>
    <w:p w14:paraId="70FC50B0" w14:textId="77777777" w:rsidR="00217397" w:rsidRPr="00217397" w:rsidRDefault="00217397" w:rsidP="0035046A">
      <w:pPr>
        <w:pStyle w:val="ListParagraph"/>
        <w:numPr>
          <w:ilvl w:val="0"/>
          <w:numId w:val="44"/>
        </w:numPr>
        <w:spacing w:after="160" w:line="259" w:lineRule="auto"/>
        <w:jc w:val="both"/>
        <w:rPr>
          <w:i/>
          <w:iCs/>
          <w:color w:val="000000"/>
          <w:sz w:val="22"/>
          <w:szCs w:val="22"/>
        </w:rPr>
      </w:pPr>
      <w:r w:rsidRPr="00217397">
        <w:rPr>
          <w:color w:val="000000"/>
          <w:sz w:val="22"/>
          <w:szCs w:val="22"/>
        </w:rPr>
        <w:t xml:space="preserve">Proposed revisions to </w:t>
      </w:r>
      <w:r w:rsidRPr="00217397">
        <w:rPr>
          <w:i/>
          <w:iCs/>
          <w:color w:val="000000"/>
          <w:sz w:val="22"/>
          <w:szCs w:val="22"/>
        </w:rPr>
        <w:t xml:space="preserve">SSAP No. 5R—Liabilities, Contingencies and Impairment of Assets </w:t>
      </w:r>
      <w:r w:rsidRPr="00217397">
        <w:rPr>
          <w:color w:val="000000"/>
          <w:sz w:val="22"/>
          <w:szCs w:val="22"/>
        </w:rPr>
        <w:t>and</w:t>
      </w:r>
      <w:r w:rsidRPr="00217397">
        <w:rPr>
          <w:i/>
          <w:iCs/>
          <w:color w:val="000000"/>
          <w:sz w:val="22"/>
          <w:szCs w:val="22"/>
        </w:rPr>
        <w:t xml:space="preserve"> Issue Paper No. 16X—Updates to the Definition of a Liability</w:t>
      </w:r>
      <w:r w:rsidRPr="00217397">
        <w:rPr>
          <w:color w:val="000000"/>
          <w:sz w:val="22"/>
          <w:szCs w:val="22"/>
        </w:rPr>
        <w:t xml:space="preserve"> (</w:t>
      </w:r>
      <w:r w:rsidRPr="00217397">
        <w:rPr>
          <w:color w:val="000000"/>
          <w:sz w:val="22"/>
          <w:szCs w:val="22"/>
          <w:highlight w:val="lightGray"/>
        </w:rPr>
        <w:t>New language shaded</w:t>
      </w:r>
      <w:r w:rsidRPr="00217397">
        <w:rPr>
          <w:color w:val="000000"/>
          <w:sz w:val="22"/>
          <w:szCs w:val="22"/>
        </w:rPr>
        <w:t>)</w:t>
      </w:r>
      <w:r w:rsidRPr="00217397">
        <w:rPr>
          <w:i/>
          <w:iCs/>
          <w:color w:val="000000"/>
          <w:sz w:val="22"/>
          <w:szCs w:val="22"/>
        </w:rPr>
        <w:t>:</w:t>
      </w:r>
    </w:p>
    <w:p w14:paraId="7CC272B8" w14:textId="77777777" w:rsidR="00217397" w:rsidRDefault="00217397" w:rsidP="0035046A">
      <w:pPr>
        <w:keepNext/>
        <w:ind w:firstLine="720"/>
        <w:jc w:val="both"/>
        <w:outlineLvl w:val="2"/>
        <w:rPr>
          <w:rFonts w:ascii="Arial" w:hAnsi="Arial" w:cs="Arial"/>
          <w:b/>
        </w:rPr>
      </w:pPr>
      <w:bookmarkStart w:id="4" w:name="_Toc391291511"/>
      <w:bookmarkStart w:id="5" w:name="_Toc391876363"/>
      <w:bookmarkStart w:id="6" w:name="_Toc93489498"/>
      <w:r w:rsidRPr="0035046A">
        <w:rPr>
          <w:rFonts w:ascii="Arial" w:hAnsi="Arial" w:cs="Arial"/>
          <w:b/>
        </w:rPr>
        <w:t>Relevant Literature</w:t>
      </w:r>
      <w:bookmarkEnd w:id="4"/>
      <w:bookmarkEnd w:id="5"/>
      <w:bookmarkEnd w:id="6"/>
    </w:p>
    <w:p w14:paraId="3D702EF1" w14:textId="77777777" w:rsidR="0035046A" w:rsidRPr="0035046A" w:rsidRDefault="0035046A" w:rsidP="0035046A">
      <w:pPr>
        <w:keepNext/>
        <w:ind w:firstLine="720"/>
        <w:jc w:val="both"/>
        <w:outlineLvl w:val="2"/>
        <w:rPr>
          <w:rFonts w:ascii="Arial" w:hAnsi="Arial" w:cs="Arial"/>
          <w:b/>
          <w:bCs/>
        </w:rPr>
      </w:pPr>
    </w:p>
    <w:p w14:paraId="4E37B978" w14:textId="756C6BD4" w:rsidR="00DE264D" w:rsidRDefault="00217397" w:rsidP="00451719">
      <w:pPr>
        <w:keepNext/>
        <w:spacing w:after="220" w:line="259" w:lineRule="auto"/>
        <w:ind w:left="720"/>
        <w:jc w:val="both"/>
        <w:rPr>
          <w:rFonts w:ascii="Arial" w:hAnsi="Arial" w:cs="Arial"/>
        </w:rPr>
      </w:pPr>
      <w:r w:rsidRPr="00217397">
        <w:rPr>
          <w:rFonts w:ascii="Arial" w:hAnsi="Arial" w:cs="Arial"/>
        </w:rPr>
        <w:t>39.</w:t>
      </w:r>
      <w:r w:rsidRPr="00217397">
        <w:rPr>
          <w:rFonts w:ascii="Arial" w:hAnsi="Arial" w:cs="Arial"/>
        </w:rPr>
        <w:tab/>
        <w:t xml:space="preserve">This statement adopts </w:t>
      </w:r>
      <w:r w:rsidRPr="00217397">
        <w:rPr>
          <w:rFonts w:ascii="Arial" w:hAnsi="Arial" w:cs="Arial"/>
          <w:i/>
        </w:rPr>
        <w:t>FASB Statement No. 5, Accounting for Contingencies</w:t>
      </w:r>
      <w:r w:rsidRPr="00217397">
        <w:rPr>
          <w:rFonts w:ascii="Arial" w:hAnsi="Arial" w:cs="Arial"/>
        </w:rPr>
        <w:t xml:space="preserve"> (FAS 5), </w:t>
      </w:r>
      <w:r w:rsidRPr="00217397">
        <w:rPr>
          <w:rFonts w:ascii="Arial" w:hAnsi="Arial" w:cs="Arial"/>
          <w:i/>
        </w:rPr>
        <w:t xml:space="preserve">FASB Statement 114, Accounting by Creditors for Impairment of a Loan </w:t>
      </w:r>
      <w:r w:rsidRPr="00217397">
        <w:rPr>
          <w:rFonts w:ascii="Arial" w:hAnsi="Arial" w:cs="Arial"/>
        </w:rPr>
        <w:t xml:space="preserve">only as it amends in part FAS 5 </w:t>
      </w:r>
      <w:del w:id="7" w:author="Pinegar, Jim" w:date="2022-02-24T13:56:00Z">
        <w:r w:rsidRPr="00217397" w:rsidDel="00231084">
          <w:rPr>
            <w:rFonts w:ascii="Arial" w:hAnsi="Arial" w:cs="Arial"/>
          </w:rPr>
          <w:delText xml:space="preserve">and paragraphs 35 and 36 of </w:delText>
        </w:r>
        <w:r w:rsidRPr="00217397" w:rsidDel="00231084">
          <w:rPr>
            <w:rFonts w:ascii="Arial" w:hAnsi="Arial" w:cs="Arial"/>
            <w:i/>
          </w:rPr>
          <w:delText>FASB Statement of Financial Accounting Concepts No. 6—Elements of Financial Statements</w:delText>
        </w:r>
      </w:del>
      <w:r w:rsidRPr="00217397">
        <w:rPr>
          <w:rFonts w:ascii="Arial" w:hAnsi="Arial" w:cs="Arial"/>
          <w:i/>
        </w:rPr>
        <w:t xml:space="preserve">. FASB Interpretation No. 14, Reasonable Estimation of the Amount of a Loss, An Interpretation </w:t>
      </w:r>
      <w:r w:rsidRPr="00217397">
        <w:rPr>
          <w:rFonts w:ascii="Arial" w:hAnsi="Arial" w:cs="Arial"/>
          <w:i/>
        </w:rPr>
        <w:lastRenderedPageBreak/>
        <w:t>of FASB Statement No. 5</w:t>
      </w:r>
      <w:r w:rsidRPr="00217397">
        <w:rPr>
          <w:rFonts w:ascii="Arial" w:hAnsi="Arial" w:cs="Arial"/>
        </w:rPr>
        <w:t xml:space="preserve"> (FIN No. 14) is adopted with the modification to accrue the loss amount as the midpoint of the range rather than the minimum as discussed in paragraph 3 of FIN No. 14. This statement adopts with modification </w:t>
      </w:r>
      <w:r w:rsidRPr="00217397">
        <w:rPr>
          <w:rFonts w:ascii="Arial" w:hAnsi="Arial" w:cs="Arial"/>
          <w:i/>
        </w:rPr>
        <w:t xml:space="preserve">ASU 2013-04, Obligations Resulting from Joint and Several Liability Arrangements for Which the Total Amount of the Obligation is Fixed at the Reporting Date </w:t>
      </w:r>
      <w:r w:rsidRPr="00217397">
        <w:rPr>
          <w:rFonts w:ascii="Arial" w:hAnsi="Arial" w:cs="Arial"/>
        </w:rPr>
        <w:t>with the same statutory modification adopted for FIN 14.</w:t>
      </w:r>
      <w:ins w:id="8" w:author="Pinegar, Jim" w:date="2022-02-24T13:56:00Z">
        <w:r w:rsidRPr="00217397">
          <w:rPr>
            <w:rFonts w:ascii="Arial" w:hAnsi="Arial" w:cs="Arial"/>
          </w:rPr>
          <w:t xml:space="preserve"> This statement incorporate</w:t>
        </w:r>
      </w:ins>
      <w:ins w:id="9" w:author="Pinegar, Jim" w:date="2022-03-09T12:19:00Z">
        <w:r w:rsidRPr="00217397">
          <w:rPr>
            <w:rFonts w:ascii="Arial" w:hAnsi="Arial" w:cs="Arial"/>
          </w:rPr>
          <w:t>s</w:t>
        </w:r>
      </w:ins>
      <w:ins w:id="10" w:author="Pinegar, Jim" w:date="2022-02-24T13:56:00Z">
        <w:r w:rsidRPr="00217397">
          <w:rPr>
            <w:rFonts w:ascii="Arial" w:hAnsi="Arial" w:cs="Arial"/>
          </w:rPr>
          <w:t xml:space="preserve"> the definition of a liability from </w:t>
        </w:r>
        <w:r w:rsidRPr="00217397">
          <w:rPr>
            <w:rFonts w:ascii="Arial" w:hAnsi="Arial" w:cs="Arial"/>
            <w:i/>
            <w:iCs/>
          </w:rPr>
          <w:t>FASB Statement of Financial Accounting Concepts No. 8, Chapter 4, Elements of Financial Statements,</w:t>
        </w:r>
        <w:r w:rsidRPr="00217397">
          <w:rPr>
            <w:rFonts w:ascii="Arial" w:hAnsi="Arial" w:cs="Arial"/>
          </w:rPr>
          <w:t xml:space="preserve"> paragraph</w:t>
        </w:r>
      </w:ins>
      <w:ins w:id="11" w:author="Pinegar, Jim" w:date="2022-02-24T13:57:00Z">
        <w:r w:rsidRPr="00217397">
          <w:rPr>
            <w:rFonts w:ascii="Arial" w:hAnsi="Arial" w:cs="Arial"/>
          </w:rPr>
          <w:t>s E37 and</w:t>
        </w:r>
      </w:ins>
      <w:ins w:id="12" w:author="Pinegar, Jim" w:date="2022-02-24T13:56:00Z">
        <w:r w:rsidRPr="00217397">
          <w:rPr>
            <w:rFonts w:ascii="Arial" w:hAnsi="Arial" w:cs="Arial"/>
          </w:rPr>
          <w:t xml:space="preserve"> E38</w:t>
        </w:r>
      </w:ins>
      <w:r w:rsidRPr="00217397">
        <w:rPr>
          <w:rFonts w:ascii="Arial" w:hAnsi="Arial" w:cs="Arial"/>
        </w:rPr>
        <w:t xml:space="preserve"> </w:t>
      </w:r>
      <w:ins w:id="13" w:author="Marcotte, Robin" w:date="2023-02-24T23:26:00Z">
        <w:r w:rsidRPr="00217397">
          <w:rPr>
            <w:rFonts w:ascii="Arial" w:hAnsi="Arial" w:cs="Arial"/>
            <w:highlight w:val="lightGray"/>
          </w:rPr>
          <w:t xml:space="preserve">with modification </w:t>
        </w:r>
      </w:ins>
      <w:ins w:id="14" w:author="Marcotte, Robin" w:date="2023-02-24T23:27:00Z">
        <w:r w:rsidRPr="00217397">
          <w:rPr>
            <w:rFonts w:ascii="Arial" w:hAnsi="Arial" w:cs="Arial"/>
            <w:highlight w:val="lightGray"/>
          </w:rPr>
          <w:t xml:space="preserve">reflected in this Statement </w:t>
        </w:r>
      </w:ins>
      <w:ins w:id="15" w:author="Marcotte, Robin" w:date="2023-02-24T23:26:00Z">
        <w:r w:rsidRPr="00217397">
          <w:rPr>
            <w:rFonts w:ascii="Arial" w:hAnsi="Arial" w:cs="Arial"/>
            <w:highlight w:val="lightGray"/>
          </w:rPr>
          <w:t>regarding topic specific guidance</w:t>
        </w:r>
      </w:ins>
      <w:ins w:id="16" w:author="Marcotte, Robin" w:date="2023-02-24T23:24:00Z">
        <w:r w:rsidRPr="00217397">
          <w:rPr>
            <w:rFonts w:ascii="Arial" w:hAnsi="Arial" w:cs="Arial"/>
            <w:highlight w:val="lightGray"/>
          </w:rPr>
          <w:t xml:space="preserve">. </w:t>
        </w:r>
      </w:ins>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7C15AB" w:rsidRPr="00BC47E9" w14:paraId="2B8576A7"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E4916AF" w14:textId="4D5D84AA" w:rsidR="007C15AB" w:rsidRPr="00BC47E9" w:rsidRDefault="0042305C">
            <w:pPr>
              <w:widowControl w:val="0"/>
              <w:jc w:val="center"/>
              <w:rPr>
                <w:bCs/>
                <w:color w:val="FFFFFF"/>
                <w:sz w:val="22"/>
                <w:szCs w:val="22"/>
              </w:rPr>
            </w:pPr>
            <w:r>
              <w:rPr>
                <w:color w:val="000000"/>
                <w:sz w:val="22"/>
                <w:szCs w:val="22"/>
              </w:rPr>
              <w:br w:type="page"/>
            </w:r>
          </w:p>
          <w:p w14:paraId="04F82C2B" w14:textId="77777777" w:rsidR="007C15AB" w:rsidRPr="00BC47E9" w:rsidRDefault="007C15AB">
            <w:pPr>
              <w:widowControl w:val="0"/>
              <w:jc w:val="center"/>
              <w:rPr>
                <w:bCs/>
                <w:color w:val="FFFFFF"/>
                <w:sz w:val="22"/>
                <w:szCs w:val="22"/>
              </w:rPr>
            </w:pPr>
            <w:r w:rsidRPr="00BC47E9">
              <w:rPr>
                <w:bCs/>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FC31303" w14:textId="77777777" w:rsidR="007C15AB" w:rsidRPr="00BC47E9" w:rsidRDefault="007C15AB">
            <w:pPr>
              <w:widowControl w:val="0"/>
              <w:jc w:val="center"/>
              <w:rPr>
                <w:bCs/>
                <w:color w:val="FFFFFF"/>
                <w:sz w:val="22"/>
                <w:szCs w:val="22"/>
              </w:rPr>
            </w:pPr>
          </w:p>
          <w:p w14:paraId="39BD2611" w14:textId="77777777" w:rsidR="007C15AB" w:rsidRPr="00BC47E9" w:rsidRDefault="007C15AB">
            <w:pPr>
              <w:widowControl w:val="0"/>
              <w:jc w:val="center"/>
              <w:rPr>
                <w:bCs/>
                <w:color w:val="FFFFFF"/>
                <w:sz w:val="22"/>
                <w:szCs w:val="22"/>
              </w:rPr>
            </w:pPr>
            <w:r w:rsidRPr="00BC47E9">
              <w:rPr>
                <w:bCs/>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286A3B0F" w14:textId="77777777" w:rsidR="007C15AB" w:rsidRPr="00BC47E9" w:rsidRDefault="007C15AB">
            <w:pPr>
              <w:widowControl w:val="0"/>
              <w:jc w:val="center"/>
              <w:rPr>
                <w:bCs/>
                <w:color w:val="FFFFFF"/>
                <w:sz w:val="22"/>
                <w:szCs w:val="22"/>
              </w:rPr>
            </w:pPr>
          </w:p>
          <w:p w14:paraId="0E6882F9" w14:textId="77777777" w:rsidR="007C15AB" w:rsidRPr="00BC47E9" w:rsidRDefault="007C15AB">
            <w:pPr>
              <w:widowControl w:val="0"/>
              <w:jc w:val="center"/>
              <w:rPr>
                <w:bCs/>
                <w:color w:val="FFFFFF"/>
                <w:sz w:val="22"/>
                <w:szCs w:val="22"/>
              </w:rPr>
            </w:pPr>
            <w:r w:rsidRPr="00BC47E9">
              <w:rPr>
                <w:bCs/>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A7539BC" w14:textId="77777777" w:rsidR="007C15AB" w:rsidRPr="00BC47E9" w:rsidRDefault="007C15AB">
            <w:pPr>
              <w:widowControl w:val="0"/>
              <w:jc w:val="center"/>
              <w:rPr>
                <w:bCs/>
                <w:color w:val="FFFFFF"/>
                <w:sz w:val="22"/>
                <w:szCs w:val="22"/>
              </w:rPr>
            </w:pPr>
            <w:r w:rsidRPr="00BC47E9">
              <w:rPr>
                <w:bCs/>
              </w:rPr>
              <w:t>Agreement with Exposed Document?</w:t>
            </w:r>
            <w:r w:rsidRPr="00BC47E9">
              <w:rPr>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5E34D2BD" w14:textId="77777777" w:rsidR="007C15AB" w:rsidRPr="00BC47E9" w:rsidRDefault="007C15AB">
            <w:pPr>
              <w:widowControl w:val="0"/>
              <w:jc w:val="center"/>
              <w:rPr>
                <w:bCs/>
                <w:color w:val="FFFFFF"/>
                <w:sz w:val="22"/>
                <w:szCs w:val="22"/>
              </w:rPr>
            </w:pPr>
            <w:r w:rsidRPr="00BC47E9">
              <w:rPr>
                <w:bCs/>
              </w:rPr>
              <w:t>Comment Letter Page Number</w:t>
            </w:r>
          </w:p>
        </w:tc>
      </w:tr>
      <w:tr w:rsidR="007C15AB" w:rsidRPr="005D286F" w14:paraId="7193BFC0" w14:textId="77777777">
        <w:trPr>
          <w:trHeight w:val="800"/>
        </w:trPr>
        <w:tc>
          <w:tcPr>
            <w:tcW w:w="1615" w:type="dxa"/>
            <w:tcBorders>
              <w:top w:val="single" w:sz="4" w:space="0" w:color="FFFFFF"/>
            </w:tcBorders>
            <w:shd w:val="clear" w:color="auto" w:fill="F2F2F2"/>
            <w:vAlign w:val="center"/>
          </w:tcPr>
          <w:p w14:paraId="3A259DEA" w14:textId="6E0814F5" w:rsidR="007C15AB" w:rsidRDefault="007C15AB">
            <w:pPr>
              <w:widowControl w:val="0"/>
              <w:jc w:val="center"/>
              <w:rPr>
                <w:b/>
                <w:sz w:val="22"/>
                <w:szCs w:val="22"/>
              </w:rPr>
            </w:pPr>
            <w:r>
              <w:rPr>
                <w:b/>
                <w:sz w:val="22"/>
                <w:szCs w:val="22"/>
              </w:rPr>
              <w:t>2022-11</w:t>
            </w:r>
          </w:p>
          <w:p w14:paraId="5027EB28" w14:textId="77777777" w:rsidR="007C15AB" w:rsidRPr="005D286F" w:rsidRDefault="007C15AB">
            <w:pPr>
              <w:widowControl w:val="0"/>
              <w:jc w:val="center"/>
              <w:rPr>
                <w:b/>
                <w:sz w:val="22"/>
                <w:szCs w:val="22"/>
              </w:rPr>
            </w:pPr>
            <w:r>
              <w:rPr>
                <w:b/>
                <w:sz w:val="22"/>
                <w:szCs w:val="22"/>
              </w:rPr>
              <w:t>(Robin)</w:t>
            </w:r>
          </w:p>
        </w:tc>
        <w:tc>
          <w:tcPr>
            <w:tcW w:w="3198" w:type="dxa"/>
            <w:tcBorders>
              <w:top w:val="single" w:sz="4" w:space="0" w:color="FFFFFF"/>
            </w:tcBorders>
            <w:shd w:val="clear" w:color="auto" w:fill="F2F2F2"/>
            <w:vAlign w:val="center"/>
          </w:tcPr>
          <w:p w14:paraId="26752C82" w14:textId="4640C822" w:rsidR="007C15AB" w:rsidRPr="005D286F" w:rsidRDefault="007C15AB">
            <w:pPr>
              <w:pStyle w:val="Heading2"/>
              <w:rPr>
                <w:iCs/>
                <w:sz w:val="22"/>
                <w:szCs w:val="22"/>
              </w:rPr>
            </w:pPr>
            <w:r>
              <w:rPr>
                <w:iCs/>
                <w:sz w:val="22"/>
                <w:szCs w:val="22"/>
              </w:rPr>
              <w:t>Collateral for Loans</w:t>
            </w:r>
          </w:p>
        </w:tc>
        <w:tc>
          <w:tcPr>
            <w:tcW w:w="2112" w:type="dxa"/>
            <w:tcBorders>
              <w:top w:val="single" w:sz="4" w:space="0" w:color="FFFFFF"/>
            </w:tcBorders>
            <w:shd w:val="clear" w:color="auto" w:fill="F2F2F2"/>
            <w:vAlign w:val="center"/>
          </w:tcPr>
          <w:p w14:paraId="78393BEF" w14:textId="26032D3F" w:rsidR="007C15AB" w:rsidRPr="005D286F" w:rsidRDefault="001368FA">
            <w:pPr>
              <w:widowControl w:val="0"/>
              <w:jc w:val="center"/>
              <w:rPr>
                <w:b/>
                <w:sz w:val="22"/>
                <w:szCs w:val="22"/>
              </w:rPr>
            </w:pPr>
            <w:r>
              <w:rPr>
                <w:b/>
                <w:sz w:val="22"/>
                <w:szCs w:val="22"/>
              </w:rPr>
              <w:t>1</w:t>
            </w:r>
            <w:r w:rsidR="00325D92">
              <w:rPr>
                <w:b/>
                <w:sz w:val="22"/>
                <w:szCs w:val="22"/>
              </w:rPr>
              <w:t>3</w:t>
            </w:r>
            <w:r w:rsidR="007C15AB">
              <w:rPr>
                <w:b/>
                <w:sz w:val="22"/>
                <w:szCs w:val="22"/>
              </w:rPr>
              <w:t xml:space="preserve"> – </w:t>
            </w:r>
            <w:r>
              <w:rPr>
                <w:b/>
                <w:sz w:val="22"/>
                <w:szCs w:val="22"/>
              </w:rPr>
              <w:t>Agenda Item</w:t>
            </w:r>
          </w:p>
        </w:tc>
        <w:tc>
          <w:tcPr>
            <w:tcW w:w="1710" w:type="dxa"/>
            <w:tcBorders>
              <w:top w:val="single" w:sz="4" w:space="0" w:color="FFFFFF"/>
            </w:tcBorders>
            <w:shd w:val="clear" w:color="auto" w:fill="F2F2F2"/>
            <w:vAlign w:val="center"/>
          </w:tcPr>
          <w:p w14:paraId="46BD2F51" w14:textId="7CFEFA1A" w:rsidR="007C15AB" w:rsidRPr="005D286F" w:rsidRDefault="007C15AB">
            <w:pPr>
              <w:widowControl w:val="0"/>
              <w:jc w:val="center"/>
              <w:rPr>
                <w:b/>
                <w:sz w:val="22"/>
                <w:szCs w:val="22"/>
              </w:rPr>
            </w:pPr>
            <w:r>
              <w:rPr>
                <w:b/>
                <w:sz w:val="22"/>
                <w:szCs w:val="22"/>
              </w:rPr>
              <w:t>Comments Received</w:t>
            </w:r>
          </w:p>
        </w:tc>
        <w:tc>
          <w:tcPr>
            <w:tcW w:w="1440" w:type="dxa"/>
            <w:tcBorders>
              <w:top w:val="single" w:sz="4" w:space="0" w:color="FFFFFF"/>
            </w:tcBorders>
            <w:shd w:val="clear" w:color="auto" w:fill="F2F2F2"/>
            <w:vAlign w:val="center"/>
          </w:tcPr>
          <w:p w14:paraId="62CD1B0D" w14:textId="0ED4685A" w:rsidR="007C15AB" w:rsidRPr="005D286F" w:rsidRDefault="00E93F2D">
            <w:pPr>
              <w:widowControl w:val="0"/>
              <w:jc w:val="center"/>
              <w:rPr>
                <w:b/>
                <w:sz w:val="22"/>
                <w:szCs w:val="22"/>
              </w:rPr>
            </w:pPr>
            <w:r>
              <w:rPr>
                <w:b/>
                <w:sz w:val="22"/>
                <w:szCs w:val="22"/>
              </w:rPr>
              <w:t>IP-2</w:t>
            </w:r>
          </w:p>
        </w:tc>
      </w:tr>
    </w:tbl>
    <w:p w14:paraId="4C301685" w14:textId="77777777" w:rsidR="007C15AB" w:rsidRDefault="007C15AB" w:rsidP="007C15AB">
      <w:pPr>
        <w:rPr>
          <w:sz w:val="22"/>
          <w:szCs w:val="22"/>
        </w:rPr>
      </w:pPr>
    </w:p>
    <w:p w14:paraId="6BDCCA33" w14:textId="77777777" w:rsidR="007C15AB" w:rsidRPr="007A4CDA" w:rsidRDefault="007C15AB" w:rsidP="007C15AB">
      <w:pPr>
        <w:jc w:val="both"/>
        <w:rPr>
          <w:sz w:val="22"/>
          <w:szCs w:val="22"/>
          <w:u w:val="single"/>
        </w:rPr>
      </w:pPr>
      <w:r w:rsidRPr="007A4CDA">
        <w:rPr>
          <w:i/>
          <w:sz w:val="22"/>
          <w:szCs w:val="22"/>
          <w:u w:val="single"/>
        </w:rPr>
        <w:t>Summary:</w:t>
      </w:r>
      <w:r w:rsidRPr="007A4CDA">
        <w:rPr>
          <w:sz w:val="22"/>
          <w:szCs w:val="22"/>
          <w:u w:val="single"/>
        </w:rPr>
        <w:t xml:space="preserve"> </w:t>
      </w:r>
    </w:p>
    <w:p w14:paraId="1045F739" w14:textId="427452F0" w:rsidR="007C15AB" w:rsidRPr="00DF0CD5" w:rsidRDefault="007C15AB" w:rsidP="00DF0CD5">
      <w:pPr>
        <w:pStyle w:val="BodyText2"/>
        <w:jc w:val="both"/>
        <w:rPr>
          <w:b/>
          <w:bCs/>
          <w:color w:val="111822"/>
          <w:sz w:val="22"/>
          <w:szCs w:val="22"/>
          <w:shd w:val="clear" w:color="auto" w:fill="F7FCFF"/>
        </w:rPr>
      </w:pPr>
      <w:r w:rsidRPr="00DF0CD5">
        <w:rPr>
          <w:iCs/>
          <w:sz w:val="22"/>
          <w:szCs w:val="22"/>
        </w:rPr>
        <w:t xml:space="preserve">During the 2022 Fall National Meeting, the Working Group </w:t>
      </w:r>
      <w:r w:rsidR="00DF0CD5" w:rsidRPr="00DF0CD5">
        <w:rPr>
          <w:sz w:val="22"/>
          <w:szCs w:val="22"/>
        </w:rPr>
        <w:t>re-exposed revisions to SSAP No. 21R to clarify that invested assets pledged as collateral for admitted collateral loans must qualify as admitted invested assets.</w:t>
      </w:r>
    </w:p>
    <w:p w14:paraId="672A0060" w14:textId="77777777" w:rsidR="007C15AB" w:rsidRPr="004D7179" w:rsidRDefault="007C15AB" w:rsidP="007C15AB">
      <w:pPr>
        <w:pStyle w:val="BodyText2"/>
        <w:jc w:val="both"/>
        <w:rPr>
          <w:iCs/>
          <w:sz w:val="22"/>
          <w:szCs w:val="22"/>
        </w:rPr>
      </w:pPr>
    </w:p>
    <w:p w14:paraId="515D4554" w14:textId="77777777" w:rsidR="007C15AB" w:rsidRPr="00C2691E" w:rsidRDefault="007C15AB" w:rsidP="006E3FB1">
      <w:pPr>
        <w:pStyle w:val="paragraph"/>
        <w:keepNext/>
        <w:spacing w:before="0" w:beforeAutospacing="0" w:after="0" w:afterAutospacing="0"/>
        <w:jc w:val="both"/>
        <w:textAlignment w:val="baseline"/>
        <w:rPr>
          <w:bCs/>
          <w:i/>
          <w:sz w:val="22"/>
          <w:szCs w:val="22"/>
          <w:u w:val="single"/>
        </w:rPr>
      </w:pPr>
      <w:r w:rsidRPr="00C2691E">
        <w:rPr>
          <w:bCs/>
          <w:i/>
          <w:sz w:val="22"/>
          <w:szCs w:val="22"/>
          <w:u w:val="single"/>
        </w:rPr>
        <w:t>Interested Parties’ Comments:</w:t>
      </w:r>
    </w:p>
    <w:p w14:paraId="72D3FCA4" w14:textId="77777777" w:rsidR="00C2691E" w:rsidRPr="00C2691E" w:rsidRDefault="00C2691E" w:rsidP="006E3FB1">
      <w:pPr>
        <w:pStyle w:val="xmsonormal"/>
        <w:keepNext/>
        <w:jc w:val="both"/>
        <w:rPr>
          <w:rFonts w:ascii="Times New Roman" w:hAnsi="Times New Roman" w:cs="Times New Roman"/>
        </w:rPr>
      </w:pPr>
      <w:r w:rsidRPr="00C2691E">
        <w:rPr>
          <w:rFonts w:ascii="Times New Roman" w:hAnsi="Times New Roman" w:cs="Times New Roman"/>
          <w:color w:val="000000" w:themeColor="text1"/>
        </w:rPr>
        <w:t xml:space="preserve">The impact of the new exposed language can be interpreted to affect requirements for collateral loans which are backed by investments in joint ventures, partnerships, and LLCs. As commented during the </w:t>
      </w:r>
      <w:r w:rsidRPr="00C2691E">
        <w:rPr>
          <w:rFonts w:ascii="Times New Roman" w:hAnsi="Times New Roman" w:cs="Times New Roman"/>
        </w:rPr>
        <w:t>2022 NAIC National Fall Meeting, we believe that audits of joint ventures, partnerships, and LLCs, while required under SSAP No. 97 and SSAP No. 48 for those assets held directly, are not necessarily suited for the task of assessing sufficiency of collateral, because an audit does not validate fair value of the investment, which is a core standard of collateral guidance, and audits may be unreasonably costly for this narrow purpose.</w:t>
      </w:r>
    </w:p>
    <w:p w14:paraId="4990204E" w14:textId="77777777" w:rsidR="00C2691E" w:rsidRPr="00C2691E" w:rsidRDefault="00C2691E" w:rsidP="00C2691E">
      <w:pPr>
        <w:pStyle w:val="xmsonormal"/>
        <w:jc w:val="both"/>
        <w:rPr>
          <w:rFonts w:ascii="Times New Roman" w:hAnsi="Times New Roman" w:cs="Times New Roman"/>
        </w:rPr>
      </w:pPr>
      <w:r w:rsidRPr="00C2691E">
        <w:rPr>
          <w:rFonts w:ascii="Times New Roman" w:hAnsi="Times New Roman" w:cs="Times New Roman"/>
        </w:rPr>
        <w:t> </w:t>
      </w:r>
    </w:p>
    <w:p w14:paraId="39342C93" w14:textId="6D5EE16D" w:rsidR="00C2691E" w:rsidRPr="00C2691E" w:rsidRDefault="00C2691E" w:rsidP="00C2691E">
      <w:pPr>
        <w:pStyle w:val="xmsonormal"/>
        <w:jc w:val="both"/>
        <w:rPr>
          <w:rFonts w:ascii="Times New Roman" w:hAnsi="Times New Roman" w:cs="Times New Roman"/>
        </w:rPr>
      </w:pPr>
      <w:r w:rsidRPr="00C2691E">
        <w:rPr>
          <w:rFonts w:ascii="Times New Roman" w:hAnsi="Times New Roman" w:cs="Times New Roman"/>
        </w:rPr>
        <w:t>Interested parties noted that regulators indicated concern over arrangements in which the collateral asset or the collateral loan itself may be related to or affiliated with the reporting entity.</w:t>
      </w:r>
      <w:r w:rsidR="00837CEC">
        <w:rPr>
          <w:rFonts w:ascii="Times New Roman" w:hAnsi="Times New Roman" w:cs="Times New Roman"/>
        </w:rPr>
        <w:t xml:space="preserve"> </w:t>
      </w:r>
      <w:r w:rsidRPr="00C2691E">
        <w:rPr>
          <w:rFonts w:ascii="Times New Roman" w:hAnsi="Times New Roman" w:cs="Times New Roman"/>
        </w:rPr>
        <w:t>We believe that this concern is more directly addressed in recent industry exposures and adoptions over related party reporting; a collateral loan involving a related party is required to be labeled as such in annual statement filings.</w:t>
      </w:r>
      <w:r w:rsidR="00837CEC">
        <w:rPr>
          <w:rFonts w:ascii="Times New Roman" w:hAnsi="Times New Roman" w:cs="Times New Roman"/>
        </w:rPr>
        <w:t xml:space="preserve"> </w:t>
      </w:r>
      <w:r w:rsidRPr="00C2691E">
        <w:rPr>
          <w:rFonts w:ascii="Times New Roman" w:hAnsi="Times New Roman" w:cs="Times New Roman"/>
        </w:rPr>
        <w:t>A collateral loan which is backed by a related joint venture, partnership, or LLC, is expected to be disclosed as such under existing SSAP No. 25 guidance.</w:t>
      </w:r>
      <w:r w:rsidR="00837CEC">
        <w:rPr>
          <w:rFonts w:ascii="Times New Roman" w:hAnsi="Times New Roman" w:cs="Times New Roman"/>
        </w:rPr>
        <w:t xml:space="preserve"> </w:t>
      </w:r>
      <w:r w:rsidRPr="00C2691E">
        <w:rPr>
          <w:rFonts w:ascii="Times New Roman" w:hAnsi="Times New Roman" w:cs="Times New Roman"/>
        </w:rPr>
        <w:t>It is our view that in cases where an audit is not performed, allowing an unrelated third party to perform a fair value assessment would address objectivity concerns for this narrow purpose, noting that primary guidance over related party transactions is addressed elsewhere outside of SSAP No. 21R.</w:t>
      </w:r>
    </w:p>
    <w:p w14:paraId="219ECDE2" w14:textId="77777777" w:rsidR="00C2691E" w:rsidRPr="00C2691E" w:rsidRDefault="00C2691E" w:rsidP="00C2691E">
      <w:pPr>
        <w:pStyle w:val="xmsonormal"/>
        <w:jc w:val="both"/>
        <w:rPr>
          <w:rFonts w:ascii="Times New Roman" w:hAnsi="Times New Roman" w:cs="Times New Roman"/>
        </w:rPr>
      </w:pPr>
      <w:r w:rsidRPr="00C2691E">
        <w:rPr>
          <w:rFonts w:ascii="Times New Roman" w:hAnsi="Times New Roman" w:cs="Times New Roman"/>
        </w:rPr>
        <w:t> </w:t>
      </w:r>
    </w:p>
    <w:p w14:paraId="644D1FB5" w14:textId="18A2E484" w:rsidR="00C2691E" w:rsidRPr="00C2691E" w:rsidRDefault="00C2691E" w:rsidP="00C2691E">
      <w:pPr>
        <w:pStyle w:val="xmsonormal"/>
        <w:jc w:val="both"/>
        <w:rPr>
          <w:rFonts w:ascii="Times New Roman" w:hAnsi="Times New Roman" w:cs="Times New Roman"/>
        </w:rPr>
      </w:pPr>
      <w:r w:rsidRPr="00C2691E">
        <w:rPr>
          <w:rFonts w:ascii="Times New Roman" w:hAnsi="Times New Roman" w:cs="Times New Roman"/>
        </w:rPr>
        <w:t>Interested parties propose that the following footnote be included in SSAP No. 21R which would effectively permit companies with these investments to obtain a third-party valuation assessment in place of an audit, where the third-party assessment would satisfy both the admitted asset requirement as well as the fair value sufficiency requirement applicable to collateral assets.</w:t>
      </w:r>
      <w:r w:rsidR="00837CEC">
        <w:rPr>
          <w:rFonts w:ascii="Times New Roman" w:hAnsi="Times New Roman" w:cs="Times New Roman"/>
        </w:rPr>
        <w:t xml:space="preserve"> </w:t>
      </w:r>
    </w:p>
    <w:p w14:paraId="7DC63CF7" w14:textId="77777777" w:rsidR="00C2691E" w:rsidRPr="00C2691E" w:rsidRDefault="00C2691E" w:rsidP="00C2691E">
      <w:pPr>
        <w:pStyle w:val="xmsonormal"/>
        <w:jc w:val="both"/>
        <w:rPr>
          <w:rFonts w:ascii="Times New Roman" w:hAnsi="Times New Roman" w:cs="Times New Roman"/>
        </w:rPr>
      </w:pPr>
      <w:r w:rsidRPr="00C2691E">
        <w:rPr>
          <w:rFonts w:ascii="Times New Roman" w:hAnsi="Times New Roman" w:cs="Times New Roman"/>
        </w:rPr>
        <w:t> </w:t>
      </w:r>
    </w:p>
    <w:p w14:paraId="391DC43F" w14:textId="77777777" w:rsidR="00C2691E" w:rsidRPr="00C2691E" w:rsidRDefault="00C2691E" w:rsidP="00C2691E">
      <w:pPr>
        <w:pStyle w:val="xmsonormal"/>
        <w:ind w:left="720"/>
        <w:jc w:val="both"/>
        <w:rPr>
          <w:rFonts w:ascii="Times New Roman" w:hAnsi="Times New Roman" w:cs="Times New Roman"/>
        </w:rPr>
      </w:pPr>
      <w:r w:rsidRPr="00C2691E">
        <w:rPr>
          <w:rFonts w:ascii="Times New Roman" w:hAnsi="Times New Roman" w:cs="Times New Roman"/>
        </w:rPr>
        <w:t>Footnote:</w:t>
      </w:r>
    </w:p>
    <w:p w14:paraId="45FE69BF" w14:textId="77777777" w:rsidR="00C2691E" w:rsidRPr="00C2691E" w:rsidRDefault="00C2691E" w:rsidP="00C2691E">
      <w:pPr>
        <w:ind w:left="1440"/>
        <w:jc w:val="both"/>
        <w:rPr>
          <w:sz w:val="22"/>
          <w:szCs w:val="22"/>
        </w:rPr>
      </w:pPr>
      <w:r w:rsidRPr="00C2691E">
        <w:rPr>
          <w:sz w:val="22"/>
          <w:szCs w:val="22"/>
        </w:rPr>
        <w:t>Because an audit, which is required for certain investments in joint ventures, partnerships, and LLCs to be admitted assets, does not necessarily provide assurance over the fair value of such an investment which is collateral for a loan, companies are permitted to obtain a fair value assessment provided by an unrelated third party in place of an audit, in order for a collateral asset which is a joint venture, partnership, or LLC to qualify as an admitted asset under this standard.</w:t>
      </w:r>
    </w:p>
    <w:p w14:paraId="3AAF5170" w14:textId="77777777" w:rsidR="00C2691E" w:rsidRPr="00C2691E" w:rsidRDefault="00C2691E" w:rsidP="00C2691E">
      <w:pPr>
        <w:pStyle w:val="paragraph"/>
        <w:spacing w:before="0" w:beforeAutospacing="0" w:after="0" w:afterAutospacing="0"/>
        <w:jc w:val="both"/>
        <w:textAlignment w:val="baseline"/>
        <w:rPr>
          <w:b/>
          <w:i/>
          <w:sz w:val="22"/>
          <w:szCs w:val="22"/>
          <w:u w:val="single"/>
        </w:rPr>
      </w:pPr>
    </w:p>
    <w:p w14:paraId="5E8B6A7E" w14:textId="6F8994D5" w:rsidR="007C15AB" w:rsidRPr="00A20DAC" w:rsidRDefault="007C15AB" w:rsidP="007C15AB">
      <w:pPr>
        <w:pStyle w:val="ListContinue"/>
        <w:numPr>
          <w:ilvl w:val="0"/>
          <w:numId w:val="0"/>
        </w:numPr>
        <w:spacing w:after="0"/>
        <w:jc w:val="both"/>
        <w:rPr>
          <w:i/>
          <w:kern w:val="32"/>
          <w:sz w:val="22"/>
          <w:szCs w:val="22"/>
          <w:u w:val="single"/>
        </w:rPr>
      </w:pPr>
      <w:r w:rsidRPr="00A20DAC">
        <w:rPr>
          <w:i/>
          <w:kern w:val="32"/>
          <w:sz w:val="22"/>
          <w:szCs w:val="22"/>
          <w:u w:val="single"/>
        </w:rPr>
        <w:t>Recommendation:</w:t>
      </w:r>
    </w:p>
    <w:p w14:paraId="26F8BC01" w14:textId="6D31CC7C" w:rsidR="008708F1" w:rsidRDefault="00900D6B" w:rsidP="007E46F2">
      <w:pPr>
        <w:jc w:val="both"/>
        <w:rPr>
          <w:color w:val="000000" w:themeColor="text1"/>
          <w:sz w:val="22"/>
          <w:szCs w:val="22"/>
        </w:rPr>
      </w:pPr>
      <w:r>
        <w:rPr>
          <w:b/>
          <w:bCs/>
          <w:color w:val="000000" w:themeColor="text1"/>
          <w:sz w:val="22"/>
          <w:szCs w:val="22"/>
        </w:rPr>
        <w:t xml:space="preserve">NAIC staff recommends </w:t>
      </w:r>
      <w:r w:rsidR="004A03C0">
        <w:rPr>
          <w:b/>
          <w:bCs/>
          <w:color w:val="000000" w:themeColor="text1"/>
          <w:sz w:val="22"/>
          <w:szCs w:val="22"/>
        </w:rPr>
        <w:t xml:space="preserve">revisions to SSAP No. </w:t>
      </w:r>
      <w:r w:rsidR="00CF0835">
        <w:rPr>
          <w:b/>
          <w:bCs/>
          <w:color w:val="000000" w:themeColor="text1"/>
          <w:sz w:val="22"/>
          <w:szCs w:val="22"/>
        </w:rPr>
        <w:t>21R b</w:t>
      </w:r>
      <w:r>
        <w:rPr>
          <w:b/>
          <w:bCs/>
          <w:color w:val="000000" w:themeColor="text1"/>
          <w:sz w:val="22"/>
          <w:szCs w:val="22"/>
        </w:rPr>
        <w:t>e re</w:t>
      </w:r>
      <w:r w:rsidR="00CF0835">
        <w:rPr>
          <w:b/>
          <w:bCs/>
          <w:color w:val="000000" w:themeColor="text1"/>
          <w:sz w:val="22"/>
          <w:szCs w:val="22"/>
        </w:rPr>
        <w:t>-</w:t>
      </w:r>
      <w:r>
        <w:rPr>
          <w:b/>
          <w:bCs/>
          <w:color w:val="000000" w:themeColor="text1"/>
          <w:sz w:val="22"/>
          <w:szCs w:val="22"/>
        </w:rPr>
        <w:t>ex</w:t>
      </w:r>
      <w:r w:rsidR="00CF0835">
        <w:rPr>
          <w:b/>
          <w:bCs/>
          <w:color w:val="000000" w:themeColor="text1"/>
          <w:sz w:val="22"/>
          <w:szCs w:val="22"/>
        </w:rPr>
        <w:t>p</w:t>
      </w:r>
      <w:r>
        <w:rPr>
          <w:b/>
          <w:bCs/>
          <w:color w:val="000000" w:themeColor="text1"/>
          <w:sz w:val="22"/>
          <w:szCs w:val="22"/>
        </w:rPr>
        <w:t xml:space="preserve">osed with the shaded revisions </w:t>
      </w:r>
      <w:r w:rsidR="00CF0835">
        <w:rPr>
          <w:b/>
          <w:bCs/>
          <w:color w:val="000000" w:themeColor="text1"/>
          <w:sz w:val="22"/>
          <w:szCs w:val="22"/>
        </w:rPr>
        <w:t xml:space="preserve">illustrated under proposed revisions </w:t>
      </w:r>
      <w:r>
        <w:rPr>
          <w:b/>
          <w:bCs/>
          <w:color w:val="000000" w:themeColor="text1"/>
          <w:sz w:val="22"/>
          <w:szCs w:val="22"/>
        </w:rPr>
        <w:t>below.</w:t>
      </w:r>
    </w:p>
    <w:p w14:paraId="4AD8B956" w14:textId="77777777" w:rsidR="00293318" w:rsidRPr="003609D1" w:rsidRDefault="00293318" w:rsidP="007E46F2">
      <w:pPr>
        <w:jc w:val="both"/>
        <w:rPr>
          <w:color w:val="000000" w:themeColor="text1"/>
          <w:sz w:val="22"/>
          <w:szCs w:val="22"/>
        </w:rPr>
      </w:pPr>
    </w:p>
    <w:p w14:paraId="7F390295" w14:textId="0095EAFE" w:rsidR="00813FA4" w:rsidRPr="00BF5F9B" w:rsidRDefault="00E81EA3" w:rsidP="00813FA4">
      <w:pPr>
        <w:jc w:val="both"/>
        <w:rPr>
          <w:sz w:val="22"/>
          <w:szCs w:val="22"/>
        </w:rPr>
      </w:pPr>
      <w:r w:rsidRPr="00BF5F9B">
        <w:rPr>
          <w:sz w:val="22"/>
          <w:szCs w:val="22"/>
        </w:rPr>
        <w:lastRenderedPageBreak/>
        <w:t xml:space="preserve">The regulators which originated the request for this agenda item </w:t>
      </w:r>
      <w:r w:rsidR="00026A89" w:rsidRPr="00BF5F9B">
        <w:rPr>
          <w:sz w:val="22"/>
          <w:szCs w:val="22"/>
        </w:rPr>
        <w:t xml:space="preserve">believe it is </w:t>
      </w:r>
      <w:r w:rsidR="003A4A72" w:rsidRPr="00BF5F9B">
        <w:rPr>
          <w:sz w:val="22"/>
          <w:szCs w:val="22"/>
        </w:rPr>
        <w:t xml:space="preserve">imperative to uphold the existing requirement to </w:t>
      </w:r>
      <w:r w:rsidRPr="00BF5F9B">
        <w:rPr>
          <w:sz w:val="22"/>
          <w:szCs w:val="22"/>
        </w:rPr>
        <w:t xml:space="preserve">maintain audit requirements if </w:t>
      </w:r>
      <w:r w:rsidR="00754EA5" w:rsidRPr="00BF5F9B">
        <w:rPr>
          <w:sz w:val="22"/>
          <w:szCs w:val="22"/>
        </w:rPr>
        <w:t>j</w:t>
      </w:r>
      <w:r w:rsidRPr="00BF5F9B">
        <w:rPr>
          <w:sz w:val="22"/>
          <w:szCs w:val="22"/>
        </w:rPr>
        <w:t>oint venture</w:t>
      </w:r>
      <w:r w:rsidR="00B2797A" w:rsidRPr="00BF5F9B">
        <w:rPr>
          <w:sz w:val="22"/>
          <w:szCs w:val="22"/>
        </w:rPr>
        <w:t xml:space="preserve">, </w:t>
      </w:r>
      <w:r w:rsidR="009E2674" w:rsidRPr="00BF5F9B">
        <w:rPr>
          <w:sz w:val="22"/>
          <w:szCs w:val="22"/>
        </w:rPr>
        <w:t>partnerships,</w:t>
      </w:r>
      <w:r w:rsidR="0088664E" w:rsidRPr="00BF5F9B">
        <w:rPr>
          <w:sz w:val="22"/>
          <w:szCs w:val="22"/>
        </w:rPr>
        <w:t xml:space="preserve"> limited </w:t>
      </w:r>
      <w:r w:rsidR="00025963" w:rsidRPr="00BF5F9B">
        <w:rPr>
          <w:sz w:val="22"/>
          <w:szCs w:val="22"/>
        </w:rPr>
        <w:t>liability companies</w:t>
      </w:r>
      <w:r w:rsidR="009E2674" w:rsidRPr="00BF5F9B">
        <w:rPr>
          <w:sz w:val="22"/>
          <w:szCs w:val="22"/>
        </w:rPr>
        <w:t xml:space="preserve"> </w:t>
      </w:r>
      <w:r w:rsidRPr="00BF5F9B">
        <w:rPr>
          <w:sz w:val="22"/>
          <w:szCs w:val="22"/>
        </w:rPr>
        <w:t xml:space="preserve">or </w:t>
      </w:r>
      <w:r w:rsidR="00FD7DAA">
        <w:rPr>
          <w:sz w:val="22"/>
          <w:szCs w:val="22"/>
        </w:rPr>
        <w:t xml:space="preserve">investments that would qualify as </w:t>
      </w:r>
      <w:r w:rsidR="002D7A7C" w:rsidRPr="00BF5F9B">
        <w:rPr>
          <w:sz w:val="22"/>
          <w:szCs w:val="22"/>
        </w:rPr>
        <w:t xml:space="preserve">subsidiary </w:t>
      </w:r>
      <w:r w:rsidR="00293D5F" w:rsidRPr="00BF5F9B">
        <w:rPr>
          <w:sz w:val="22"/>
          <w:szCs w:val="22"/>
        </w:rPr>
        <w:t>controlled or affiliated entities</w:t>
      </w:r>
      <w:r w:rsidR="00F1485A" w:rsidRPr="00BF5F9B">
        <w:rPr>
          <w:sz w:val="22"/>
          <w:szCs w:val="22"/>
        </w:rPr>
        <w:t xml:space="preserve"> (SCA</w:t>
      </w:r>
      <w:r w:rsidR="00174287" w:rsidRPr="00BF5F9B">
        <w:rPr>
          <w:sz w:val="22"/>
          <w:szCs w:val="22"/>
        </w:rPr>
        <w:t>)</w:t>
      </w:r>
      <w:r w:rsidR="00F1485A" w:rsidRPr="00BF5F9B">
        <w:rPr>
          <w:sz w:val="22"/>
          <w:szCs w:val="22"/>
        </w:rPr>
        <w:t xml:space="preserve"> if the collateral was directly held</w:t>
      </w:r>
      <w:r w:rsidR="00BF5F9B" w:rsidRPr="00BF5F9B">
        <w:rPr>
          <w:sz w:val="22"/>
          <w:szCs w:val="22"/>
        </w:rPr>
        <w:t xml:space="preserve"> as these investments must qualify as admitted investments under SSAP No. 48 and SSAP No. 97 to </w:t>
      </w:r>
      <w:r w:rsidR="006D5887">
        <w:rPr>
          <w:sz w:val="22"/>
          <w:szCs w:val="22"/>
        </w:rPr>
        <w:t>qualify</w:t>
      </w:r>
      <w:r w:rsidR="00BF5F9B" w:rsidRPr="00BF5F9B">
        <w:rPr>
          <w:sz w:val="22"/>
          <w:szCs w:val="22"/>
        </w:rPr>
        <w:t xml:space="preserve"> </w:t>
      </w:r>
      <w:r w:rsidRPr="00BF5F9B">
        <w:rPr>
          <w:sz w:val="22"/>
          <w:szCs w:val="22"/>
        </w:rPr>
        <w:t>as collateral for loans. In their view, allowing fair value without an audit would lower the collateral requirement standard</w:t>
      </w:r>
      <w:r w:rsidR="00BF5F9B" w:rsidRPr="00BF5F9B">
        <w:rPr>
          <w:sz w:val="22"/>
          <w:szCs w:val="22"/>
        </w:rPr>
        <w:t xml:space="preserve"> and allow potential arbitrage within RBC and admissibility of assets by using a collateral loan as the conduit</w:t>
      </w:r>
      <w:r w:rsidRPr="00BF5F9B">
        <w:rPr>
          <w:sz w:val="22"/>
          <w:szCs w:val="22"/>
        </w:rPr>
        <w:t xml:space="preserve">. </w:t>
      </w:r>
      <w:r w:rsidR="00BF5F9B" w:rsidRPr="00BF5F9B">
        <w:rPr>
          <w:sz w:val="22"/>
          <w:szCs w:val="22"/>
        </w:rPr>
        <w:t>Additionally, t</w:t>
      </w:r>
      <w:r w:rsidRPr="00BF5F9B">
        <w:rPr>
          <w:sz w:val="22"/>
          <w:szCs w:val="22"/>
        </w:rPr>
        <w:t>hey note concerns that</w:t>
      </w:r>
      <w:r w:rsidR="00BF5F9B" w:rsidRPr="00BF5F9B">
        <w:rPr>
          <w:sz w:val="22"/>
          <w:szCs w:val="22"/>
        </w:rPr>
        <w:t xml:space="preserve"> a level 3</w:t>
      </w:r>
      <w:r w:rsidRPr="00BF5F9B">
        <w:rPr>
          <w:sz w:val="22"/>
          <w:szCs w:val="22"/>
        </w:rPr>
        <w:t xml:space="preserve"> fair value without a deep active secondary market is subject to varying expert opinions</w:t>
      </w:r>
      <w:r w:rsidR="00BF5F9B" w:rsidRPr="00BF5F9B">
        <w:rPr>
          <w:sz w:val="22"/>
          <w:szCs w:val="22"/>
        </w:rPr>
        <w:t xml:space="preserve"> </w:t>
      </w:r>
      <w:r w:rsidR="00813FA4" w:rsidRPr="00BF5F9B">
        <w:rPr>
          <w:sz w:val="22"/>
          <w:szCs w:val="22"/>
        </w:rPr>
        <w:t>and is difficult to take regulatory action on.</w:t>
      </w:r>
    </w:p>
    <w:p w14:paraId="7B5C8930" w14:textId="77777777" w:rsidR="00E81EA3" w:rsidRPr="00E81EA3" w:rsidRDefault="00E81EA3" w:rsidP="00E81EA3">
      <w:pPr>
        <w:jc w:val="both"/>
        <w:rPr>
          <w:sz w:val="22"/>
          <w:szCs w:val="22"/>
        </w:rPr>
      </w:pPr>
    </w:p>
    <w:p w14:paraId="52F875A2" w14:textId="7F063790" w:rsidR="00E81EA3" w:rsidRPr="00401B33" w:rsidRDefault="00580DDA" w:rsidP="00E81EA3">
      <w:pPr>
        <w:jc w:val="both"/>
        <w:rPr>
          <w:sz w:val="22"/>
          <w:szCs w:val="22"/>
        </w:rPr>
      </w:pPr>
      <w:r>
        <w:rPr>
          <w:sz w:val="22"/>
          <w:szCs w:val="22"/>
        </w:rPr>
        <w:t>NAIC s</w:t>
      </w:r>
      <w:r w:rsidR="00E81EA3" w:rsidRPr="00401B33">
        <w:rPr>
          <w:sz w:val="22"/>
          <w:szCs w:val="22"/>
        </w:rPr>
        <w:t xml:space="preserve">taff recommends continuing to require the use of audits of collateral </w:t>
      </w:r>
      <w:proofErr w:type="gramStart"/>
      <w:r w:rsidR="00212AF7">
        <w:rPr>
          <w:sz w:val="22"/>
          <w:szCs w:val="22"/>
        </w:rPr>
        <w:t>where</w:t>
      </w:r>
      <w:proofErr w:type="gramEnd"/>
      <w:r w:rsidR="00212AF7">
        <w:rPr>
          <w:sz w:val="22"/>
          <w:szCs w:val="22"/>
        </w:rPr>
        <w:t xml:space="preserve"> indicated for admissibility and</w:t>
      </w:r>
      <w:r w:rsidR="00401B33" w:rsidRPr="00401B33">
        <w:rPr>
          <w:sz w:val="22"/>
          <w:szCs w:val="22"/>
        </w:rPr>
        <w:t xml:space="preserve"> to revise the standard to note that a </w:t>
      </w:r>
      <w:r w:rsidR="00212AF7">
        <w:rPr>
          <w:sz w:val="22"/>
          <w:szCs w:val="22"/>
        </w:rPr>
        <w:t>fair value</w:t>
      </w:r>
      <w:r w:rsidR="00401B33" w:rsidRPr="00401B33">
        <w:rPr>
          <w:sz w:val="22"/>
          <w:szCs w:val="22"/>
        </w:rPr>
        <w:t xml:space="preserve"> comparison is required unless the collateral would be considered a SSAP No. 48</w:t>
      </w:r>
      <w:r w:rsidR="00212AF7">
        <w:rPr>
          <w:sz w:val="22"/>
          <w:szCs w:val="22"/>
        </w:rPr>
        <w:t xml:space="preserve"> or a SSAP No. </w:t>
      </w:r>
      <w:r w:rsidR="00401B33" w:rsidRPr="00401B33">
        <w:rPr>
          <w:sz w:val="22"/>
          <w:szCs w:val="22"/>
        </w:rPr>
        <w:t>97 investment, in which case the comparison is to audited net equity value.</w:t>
      </w:r>
      <w:r w:rsidR="00784262">
        <w:rPr>
          <w:sz w:val="22"/>
          <w:szCs w:val="22"/>
        </w:rPr>
        <w:t xml:space="preserve"> </w:t>
      </w:r>
      <w:r w:rsidR="00401B33" w:rsidRPr="00401B33">
        <w:rPr>
          <w:sz w:val="22"/>
          <w:szCs w:val="22"/>
        </w:rPr>
        <w:t xml:space="preserve"> We note that audited equity value reflects the value that would likely be the day 2 value reported in the event the collateral was used to make the debt holder whole</w:t>
      </w:r>
      <w:r w:rsidR="000C0BCD">
        <w:rPr>
          <w:sz w:val="22"/>
          <w:szCs w:val="22"/>
        </w:rPr>
        <w:t xml:space="preserve"> for these assets</w:t>
      </w:r>
      <w:r w:rsidR="00401B33" w:rsidRPr="00401B33">
        <w:rPr>
          <w:sz w:val="22"/>
          <w:szCs w:val="22"/>
        </w:rPr>
        <w:t xml:space="preserve">. </w:t>
      </w:r>
      <w:r w:rsidR="00784262">
        <w:rPr>
          <w:sz w:val="22"/>
          <w:szCs w:val="22"/>
        </w:rPr>
        <w:t xml:space="preserve"> </w:t>
      </w:r>
      <w:r w:rsidR="00401B33" w:rsidRPr="00401B33">
        <w:rPr>
          <w:sz w:val="22"/>
          <w:szCs w:val="22"/>
        </w:rPr>
        <w:t xml:space="preserve">(At initial recognition, the reporting entity would report the investment at fair value, but with the guidance in SSAP No. 48/97, the reporting entity would then subsequently report the investment at net audited equity value.) </w:t>
      </w:r>
    </w:p>
    <w:p w14:paraId="5C784727" w14:textId="77777777" w:rsidR="00614E49" w:rsidRDefault="00614E49" w:rsidP="00614E49">
      <w:pPr>
        <w:jc w:val="both"/>
      </w:pPr>
      <w:r>
        <w:t> </w:t>
      </w:r>
    </w:p>
    <w:p w14:paraId="47B541E8" w14:textId="0BCFFFA1" w:rsidR="00EC2480" w:rsidRPr="00900D6B" w:rsidRDefault="00EC2480" w:rsidP="00EC2480">
      <w:pPr>
        <w:spacing w:after="220"/>
        <w:jc w:val="both"/>
        <w:rPr>
          <w:sz w:val="22"/>
          <w:u w:val="single"/>
        </w:rPr>
      </w:pPr>
      <w:r w:rsidRPr="00BE6531">
        <w:rPr>
          <w:sz w:val="22"/>
        </w:rPr>
        <w:t>Proposed revisions to</w:t>
      </w:r>
      <w:r>
        <w:rPr>
          <w:b/>
          <w:bCs/>
          <w:i/>
          <w:iCs/>
          <w:sz w:val="22"/>
        </w:rPr>
        <w:t xml:space="preserve"> </w:t>
      </w:r>
      <w:r w:rsidRPr="00EE6D6E">
        <w:rPr>
          <w:b/>
          <w:bCs/>
          <w:i/>
          <w:iCs/>
          <w:sz w:val="22"/>
        </w:rPr>
        <w:t>SSAP No. 21 – Revised—Other Admitted Assets</w:t>
      </w:r>
      <w:r>
        <w:rPr>
          <w:i/>
          <w:iCs/>
          <w:sz w:val="22"/>
        </w:rPr>
        <w:t xml:space="preserve"> </w:t>
      </w:r>
      <w:r w:rsidR="00900D6B">
        <w:rPr>
          <w:sz w:val="22"/>
        </w:rPr>
        <w:t xml:space="preserve">(new wording shown </w:t>
      </w:r>
      <w:r w:rsidR="00900D6B" w:rsidRPr="00900D6B">
        <w:rPr>
          <w:sz w:val="22"/>
          <w:highlight w:val="lightGray"/>
        </w:rPr>
        <w:t>tracked and shaded)</w:t>
      </w:r>
    </w:p>
    <w:p w14:paraId="0FAE4DDB" w14:textId="77777777" w:rsidR="00EC2480" w:rsidRPr="00584D30" w:rsidRDefault="00EC2480" w:rsidP="00EC2480">
      <w:pPr>
        <w:keepNext/>
        <w:spacing w:after="220"/>
        <w:ind w:left="720"/>
        <w:jc w:val="both"/>
        <w:outlineLvl w:val="2"/>
        <w:rPr>
          <w:rFonts w:ascii="Arial" w:hAnsi="Arial" w:cs="Arial"/>
          <w:b/>
        </w:rPr>
      </w:pPr>
      <w:r w:rsidRPr="00584D30">
        <w:rPr>
          <w:rFonts w:ascii="Arial" w:hAnsi="Arial" w:cs="Arial"/>
          <w:b/>
        </w:rPr>
        <w:t>Collateral Loans</w:t>
      </w:r>
    </w:p>
    <w:p w14:paraId="2CED859B" w14:textId="77777777" w:rsidR="00EC2480" w:rsidRPr="00584D30" w:rsidRDefault="00EC2480" w:rsidP="00EC2480">
      <w:pPr>
        <w:spacing w:after="220"/>
        <w:ind w:left="720"/>
        <w:jc w:val="both"/>
        <w:rPr>
          <w:rFonts w:ascii="Arial" w:hAnsi="Arial" w:cs="Arial"/>
        </w:rPr>
      </w:pPr>
      <w:r>
        <w:rPr>
          <w:rFonts w:ascii="Arial" w:hAnsi="Arial" w:cs="Arial"/>
        </w:rPr>
        <w:t>4.</w:t>
      </w:r>
      <w:r>
        <w:rPr>
          <w:rFonts w:ascii="Arial" w:hAnsi="Arial" w:cs="Arial"/>
        </w:rPr>
        <w:tab/>
      </w:r>
      <w:r w:rsidRPr="00584D30">
        <w:rPr>
          <w:rFonts w:ascii="Arial" w:hAnsi="Arial" w:cs="Arial"/>
        </w:rPr>
        <w:t>Collateral loans are unconditional obligations</w:t>
      </w:r>
      <w:r w:rsidRPr="00174DF8">
        <w:rPr>
          <w:rFonts w:ascii="Arial" w:hAnsi="Arial" w:cs="Arial"/>
          <w:vertAlign w:val="superscript"/>
        </w:rPr>
        <w:t>1</w:t>
      </w:r>
      <w:r w:rsidRPr="00584D30">
        <w:rPr>
          <w:rFonts w:ascii="Arial" w:hAnsi="Arial" w:cs="Arial"/>
        </w:rPr>
        <w:t xml:space="preserve"> for the payment of money secured by the pledge of a</w:t>
      </w:r>
      <w:del w:id="17" w:author="Marcotte, Robin" w:date="2022-07-11T17:08:00Z">
        <w:r w:rsidRPr="00584D30" w:rsidDel="007E4FF8">
          <w:rPr>
            <w:rFonts w:ascii="Arial" w:hAnsi="Arial" w:cs="Arial"/>
          </w:rPr>
          <w:delText>n</w:delText>
        </w:r>
      </w:del>
      <w:ins w:id="18" w:author="Marcotte, Robin" w:date="2022-07-11T17:08:00Z">
        <w:r w:rsidRPr="00584D30">
          <w:rPr>
            <w:rFonts w:ascii="Arial" w:hAnsi="Arial" w:cs="Arial"/>
          </w:rPr>
          <w:t xml:space="preserve"> qualifying</w:t>
        </w:r>
      </w:ins>
      <w:r w:rsidRPr="00584D30">
        <w:rPr>
          <w:rFonts w:ascii="Arial" w:hAnsi="Arial" w:cs="Arial"/>
        </w:rPr>
        <w:t xml:space="preserve"> investment</w:t>
      </w:r>
      <w:r w:rsidRPr="00174DF8">
        <w:rPr>
          <w:rFonts w:ascii="Arial" w:hAnsi="Arial" w:cs="Arial"/>
          <w:vertAlign w:val="superscript"/>
        </w:rPr>
        <w:t>2</w:t>
      </w:r>
      <w:r w:rsidRPr="00584D30">
        <w:rPr>
          <w:rFonts w:ascii="Arial" w:hAnsi="Arial" w:cs="Arial"/>
        </w:rPr>
        <w:t xml:space="preserve"> and meet the definition of assets as defined in SSAP </w:t>
      </w:r>
      <w:proofErr w:type="gramStart"/>
      <w:r w:rsidRPr="00584D30">
        <w:rPr>
          <w:rFonts w:ascii="Arial" w:hAnsi="Arial" w:cs="Arial"/>
        </w:rPr>
        <w:t>No. 4, and</w:t>
      </w:r>
      <w:proofErr w:type="gramEnd"/>
      <w:r w:rsidRPr="00584D30">
        <w:rPr>
          <w:rFonts w:ascii="Arial" w:hAnsi="Arial" w:cs="Arial"/>
        </w:rPr>
        <w:t xml:space="preserve"> are admitted assets to the extent they conform to the requirements of this statement. The outstanding principal balance on the loan and any related accrued interest shall be recorded as an admitted asset subject to the following limitations:</w:t>
      </w:r>
    </w:p>
    <w:p w14:paraId="2F2B43E1" w14:textId="77777777" w:rsidR="00EC2480" w:rsidRPr="00584D30" w:rsidRDefault="00EC2480" w:rsidP="00EC2480">
      <w:pPr>
        <w:pStyle w:val="ListParagraph"/>
        <w:numPr>
          <w:ilvl w:val="0"/>
          <w:numId w:val="41"/>
        </w:numPr>
        <w:tabs>
          <w:tab w:val="num" w:pos="0"/>
        </w:tabs>
        <w:spacing w:after="220"/>
        <w:ind w:hanging="720"/>
        <w:jc w:val="both"/>
        <w:rPr>
          <w:rFonts w:ascii="Arial" w:hAnsi="Arial" w:cs="Arial"/>
          <w:sz w:val="20"/>
          <w:szCs w:val="20"/>
        </w:rPr>
      </w:pPr>
      <w:r w:rsidRPr="00584D30">
        <w:rPr>
          <w:rFonts w:ascii="Arial" w:hAnsi="Arial" w:cs="Arial"/>
          <w:sz w:val="20"/>
          <w:szCs w:val="20"/>
        </w:rPr>
        <w:t xml:space="preserve">Loan Impairment—Determination as to the impairment of a collateral loan shall be based on current information and events. When it is considered probable that any portion of amounts due under the contractual terms of the loan will not be collected the loan is considered impaired. </w:t>
      </w:r>
      <w:r w:rsidRPr="00580DDA">
        <w:rPr>
          <w:rFonts w:ascii="Arial" w:hAnsi="Arial" w:cs="Arial"/>
          <w:sz w:val="20"/>
          <w:szCs w:val="20"/>
        </w:rPr>
        <w:t>The impairment shall be measured based on the fair value of the collateral less estimated costs to obtain and sell the collateral.</w:t>
      </w:r>
      <w:r w:rsidRPr="00584D30">
        <w:rPr>
          <w:rFonts w:ascii="Arial" w:hAnsi="Arial" w:cs="Arial"/>
          <w:sz w:val="20"/>
          <w:szCs w:val="20"/>
        </w:rPr>
        <w:t xml:space="preserve"> The difference between the net value of the collateral and the recorded asset shall be written off in accordance with </w:t>
      </w:r>
      <w:r w:rsidRPr="00584D30">
        <w:rPr>
          <w:rFonts w:ascii="Arial" w:hAnsi="Arial" w:cs="Arial"/>
          <w:i/>
          <w:sz w:val="20"/>
          <w:szCs w:val="20"/>
        </w:rPr>
        <w:t xml:space="preserve">SSAP No. 5R—Liabilities, Contingencies and Impairments of </w:t>
      </w:r>
      <w:proofErr w:type="gramStart"/>
      <w:r w:rsidRPr="00584D30">
        <w:rPr>
          <w:rFonts w:ascii="Arial" w:hAnsi="Arial" w:cs="Arial"/>
          <w:i/>
          <w:sz w:val="20"/>
          <w:szCs w:val="20"/>
        </w:rPr>
        <w:t>Assets</w:t>
      </w:r>
      <w:r w:rsidRPr="00584D30">
        <w:rPr>
          <w:rFonts w:ascii="Arial" w:hAnsi="Arial" w:cs="Arial"/>
          <w:sz w:val="20"/>
          <w:szCs w:val="20"/>
        </w:rPr>
        <w:t>;</w:t>
      </w:r>
      <w:proofErr w:type="gramEnd"/>
    </w:p>
    <w:p w14:paraId="29D7EDE6" w14:textId="77777777" w:rsidR="00EC2480" w:rsidRPr="00584D30" w:rsidRDefault="00EC2480" w:rsidP="00EC2480">
      <w:pPr>
        <w:pStyle w:val="ListParagraph"/>
        <w:tabs>
          <w:tab w:val="num" w:pos="0"/>
        </w:tabs>
        <w:spacing w:after="220"/>
        <w:ind w:left="2160"/>
        <w:jc w:val="both"/>
        <w:rPr>
          <w:rFonts w:ascii="Arial" w:hAnsi="Arial" w:cs="Arial"/>
          <w:sz w:val="20"/>
          <w:szCs w:val="20"/>
        </w:rPr>
      </w:pPr>
    </w:p>
    <w:p w14:paraId="2AD39397" w14:textId="7483685B" w:rsidR="000C0BCD" w:rsidRPr="000456B8" w:rsidRDefault="00EC2480" w:rsidP="007E1897">
      <w:pPr>
        <w:pStyle w:val="ListParagraph"/>
        <w:numPr>
          <w:ilvl w:val="0"/>
          <w:numId w:val="41"/>
        </w:numPr>
        <w:tabs>
          <w:tab w:val="num" w:pos="0"/>
        </w:tabs>
        <w:spacing w:after="220"/>
        <w:ind w:hanging="720"/>
        <w:jc w:val="both"/>
        <w:rPr>
          <w:ins w:id="19" w:author="Marcotte, Robin" w:date="2023-02-28T16:34:00Z"/>
          <w:rFonts w:ascii="Arial" w:hAnsi="Arial" w:cs="Arial"/>
          <w:sz w:val="20"/>
          <w:szCs w:val="20"/>
          <w:highlight w:val="lightGray"/>
        </w:rPr>
      </w:pPr>
      <w:r w:rsidRPr="000C0BCD">
        <w:rPr>
          <w:rFonts w:ascii="Arial" w:hAnsi="Arial" w:cs="Arial"/>
          <w:sz w:val="20"/>
          <w:szCs w:val="20"/>
        </w:rPr>
        <w:t xml:space="preserve">Nonadmitted Asset—In accordance with </w:t>
      </w:r>
      <w:r w:rsidRPr="000C0BCD">
        <w:rPr>
          <w:rFonts w:ascii="Arial" w:hAnsi="Arial" w:cs="Arial"/>
          <w:i/>
          <w:sz w:val="20"/>
          <w:szCs w:val="20"/>
        </w:rPr>
        <w:t>SSAP No. 20—Nonadmitted Assets</w:t>
      </w:r>
      <w:r w:rsidRPr="000C0BCD">
        <w:rPr>
          <w:rFonts w:ascii="Arial" w:hAnsi="Arial" w:cs="Arial"/>
          <w:sz w:val="20"/>
          <w:szCs w:val="20"/>
        </w:rPr>
        <w:t xml:space="preserve">, collateral loans secured by assets that do not qualify as investments </w:t>
      </w:r>
      <w:ins w:id="20" w:author="Marcotte, Robin" w:date="2022-07-11T17:27:00Z">
        <w:r w:rsidRPr="000C0BCD">
          <w:rPr>
            <w:rFonts w:ascii="Arial" w:hAnsi="Arial" w:cs="Arial"/>
            <w:sz w:val="20"/>
            <w:szCs w:val="20"/>
          </w:rPr>
          <w:t xml:space="preserve">which would otherwise be admitted </w:t>
        </w:r>
      </w:ins>
      <w:r w:rsidRPr="000C0BCD">
        <w:rPr>
          <w:rFonts w:ascii="Arial" w:hAnsi="Arial" w:cs="Arial"/>
          <w:sz w:val="20"/>
          <w:szCs w:val="20"/>
        </w:rPr>
        <w:t xml:space="preserve">shall be nonadmitted. Further, any amount of the loan outstanding which is </w:t>
      </w:r>
      <w:proofErr w:type="gramStart"/>
      <w:r w:rsidRPr="000C0BCD">
        <w:rPr>
          <w:rFonts w:ascii="Arial" w:hAnsi="Arial" w:cs="Arial"/>
          <w:sz w:val="20"/>
          <w:szCs w:val="20"/>
        </w:rPr>
        <w:t>in excess of</w:t>
      </w:r>
      <w:proofErr w:type="gramEnd"/>
      <w:r w:rsidRPr="000C0BCD">
        <w:rPr>
          <w:rFonts w:ascii="Arial" w:hAnsi="Arial" w:cs="Arial"/>
          <w:sz w:val="20"/>
          <w:szCs w:val="20"/>
        </w:rPr>
        <w:t xml:space="preserve"> the permitted relationship of fair value of the pledged investment to the collateral loan shall be treated as a nonadmitted asset.</w:t>
      </w:r>
      <w:ins w:id="21" w:author="Marcotte, Robin" w:date="2023-02-28T11:31:00Z">
        <w:r w:rsidR="008A1322" w:rsidRPr="000C0BCD">
          <w:rPr>
            <w:rFonts w:ascii="Arial" w:hAnsi="Arial" w:cs="Arial"/>
            <w:sz w:val="20"/>
            <w:szCs w:val="20"/>
          </w:rPr>
          <w:t xml:space="preserve"> </w:t>
        </w:r>
      </w:ins>
      <w:ins w:id="22" w:author="Marcotte, Robin" w:date="2023-02-28T16:34:00Z">
        <w:r w:rsidR="000C0BCD" w:rsidRPr="000456B8">
          <w:rPr>
            <w:rFonts w:ascii="Arial" w:hAnsi="Arial" w:cs="Arial"/>
            <w:sz w:val="20"/>
            <w:szCs w:val="20"/>
            <w:highlight w:val="lightGray"/>
          </w:rPr>
          <w:t xml:space="preserve">For </w:t>
        </w:r>
      </w:ins>
      <w:ins w:id="23" w:author="Marcotte, Robin" w:date="2023-03-02T16:56:00Z">
        <w:r w:rsidR="00EB0561">
          <w:rPr>
            <w:rFonts w:ascii="Arial" w:hAnsi="Arial" w:cs="Arial"/>
            <w:sz w:val="20"/>
            <w:szCs w:val="20"/>
            <w:highlight w:val="lightGray"/>
          </w:rPr>
          <w:t>qualifyin</w:t>
        </w:r>
      </w:ins>
      <w:ins w:id="24" w:author="Marcotte, Robin" w:date="2023-03-02T16:57:00Z">
        <w:r w:rsidR="00086896">
          <w:rPr>
            <w:rFonts w:ascii="Arial" w:hAnsi="Arial" w:cs="Arial"/>
            <w:sz w:val="20"/>
            <w:szCs w:val="20"/>
            <w:highlight w:val="lightGray"/>
          </w:rPr>
          <w:t>g</w:t>
        </w:r>
      </w:ins>
      <w:ins w:id="25" w:author="Marcotte, Robin" w:date="2023-03-02T16:56:00Z">
        <w:r w:rsidR="00EB0561">
          <w:rPr>
            <w:rFonts w:ascii="Arial" w:hAnsi="Arial" w:cs="Arial"/>
            <w:sz w:val="20"/>
            <w:szCs w:val="20"/>
            <w:highlight w:val="lightGray"/>
          </w:rPr>
          <w:t xml:space="preserve"> investments</w:t>
        </w:r>
      </w:ins>
      <w:ins w:id="26" w:author="Marcotte, Robin" w:date="2023-03-02T16:58:00Z">
        <w:r w:rsidR="00086896">
          <w:rPr>
            <w:rFonts w:ascii="Arial" w:hAnsi="Arial" w:cs="Arial"/>
            <w:sz w:val="20"/>
            <w:szCs w:val="20"/>
            <w:highlight w:val="lightGray"/>
          </w:rPr>
          <w:t xml:space="preserve"> which are </w:t>
        </w:r>
      </w:ins>
      <w:ins w:id="27" w:author="Marcotte, Robin" w:date="2023-03-02T17:03:00Z">
        <w:r w:rsidR="00C563B9">
          <w:rPr>
            <w:rFonts w:ascii="Arial" w:hAnsi="Arial" w:cs="Arial"/>
            <w:sz w:val="20"/>
            <w:szCs w:val="20"/>
            <w:highlight w:val="lightGray"/>
          </w:rPr>
          <w:t>pledged</w:t>
        </w:r>
      </w:ins>
      <w:ins w:id="28" w:author="Marcotte, Robin" w:date="2023-03-02T16:58:00Z">
        <w:r w:rsidR="00086896">
          <w:rPr>
            <w:rFonts w:ascii="Arial" w:hAnsi="Arial" w:cs="Arial"/>
            <w:sz w:val="20"/>
            <w:szCs w:val="20"/>
            <w:highlight w:val="lightGray"/>
          </w:rPr>
          <w:t xml:space="preserve"> as collateral</w:t>
        </w:r>
      </w:ins>
      <w:ins w:id="29" w:author="Marcotte, Robin" w:date="2023-03-02T16:56:00Z">
        <w:r w:rsidR="00EB0561">
          <w:rPr>
            <w:rFonts w:ascii="Arial" w:hAnsi="Arial" w:cs="Arial"/>
            <w:sz w:val="20"/>
            <w:szCs w:val="20"/>
            <w:highlight w:val="lightGray"/>
          </w:rPr>
          <w:t xml:space="preserve"> </w:t>
        </w:r>
      </w:ins>
      <w:ins w:id="30" w:author="Marcotte, Robin" w:date="2023-03-02T16:57:00Z">
        <w:r w:rsidR="00382123">
          <w:rPr>
            <w:rFonts w:ascii="Arial" w:hAnsi="Arial" w:cs="Arial"/>
            <w:sz w:val="20"/>
            <w:szCs w:val="20"/>
            <w:highlight w:val="lightGray"/>
          </w:rPr>
          <w:t xml:space="preserve">that would be in </w:t>
        </w:r>
        <w:r w:rsidR="00382123" w:rsidRPr="000456B8">
          <w:rPr>
            <w:rFonts w:ascii="Arial" w:hAnsi="Arial" w:cs="Arial"/>
            <w:sz w:val="20"/>
            <w:szCs w:val="20"/>
            <w:highlight w:val="lightGray"/>
          </w:rPr>
          <w:t xml:space="preserve">the scope of SSAP No. </w:t>
        </w:r>
      </w:ins>
      <w:ins w:id="31" w:author="Marcotte, Robin" w:date="2023-02-28T16:34:00Z">
        <w:r w:rsidR="000C0BCD" w:rsidRPr="000456B8">
          <w:rPr>
            <w:rFonts w:ascii="Arial" w:hAnsi="Arial" w:cs="Arial"/>
            <w:sz w:val="20"/>
            <w:szCs w:val="20"/>
            <w:highlight w:val="lightGray"/>
          </w:rPr>
          <w:t xml:space="preserve">48 </w:t>
        </w:r>
        <w:r w:rsidR="000C0BCD">
          <w:rPr>
            <w:rFonts w:ascii="Arial" w:hAnsi="Arial" w:cs="Arial"/>
            <w:sz w:val="20"/>
            <w:szCs w:val="20"/>
            <w:highlight w:val="lightGray"/>
          </w:rPr>
          <w:t>or</w:t>
        </w:r>
        <w:r w:rsidR="000C0BCD" w:rsidRPr="000456B8">
          <w:rPr>
            <w:rFonts w:ascii="Arial" w:hAnsi="Arial" w:cs="Arial"/>
            <w:sz w:val="20"/>
            <w:szCs w:val="20"/>
            <w:highlight w:val="lightGray"/>
          </w:rPr>
          <w:t xml:space="preserve"> SSAP No. 97 </w:t>
        </w:r>
        <w:r w:rsidR="000C0BCD">
          <w:rPr>
            <w:rFonts w:ascii="Arial" w:hAnsi="Arial" w:cs="Arial"/>
            <w:sz w:val="20"/>
            <w:szCs w:val="20"/>
            <w:highlight w:val="lightGray"/>
          </w:rPr>
          <w:t>if held directly by the reporting entity</w:t>
        </w:r>
        <w:r w:rsidR="000C0BCD" w:rsidRPr="000456B8">
          <w:rPr>
            <w:rFonts w:ascii="Arial" w:hAnsi="Arial" w:cs="Arial"/>
            <w:sz w:val="20"/>
            <w:szCs w:val="20"/>
            <w:highlight w:val="lightGray"/>
          </w:rPr>
          <w:t xml:space="preserve">, </w:t>
        </w:r>
      </w:ins>
      <w:ins w:id="32" w:author="Marcotte, Robin" w:date="2023-03-02T16:58:00Z">
        <w:r w:rsidR="00086896">
          <w:rPr>
            <w:rFonts w:ascii="Arial" w:hAnsi="Arial" w:cs="Arial"/>
            <w:sz w:val="20"/>
            <w:szCs w:val="20"/>
            <w:highlight w:val="lightGray"/>
          </w:rPr>
          <w:t>such as</w:t>
        </w:r>
      </w:ins>
      <w:ins w:id="33" w:author="Marcotte, Robin" w:date="2023-02-28T16:34:00Z">
        <w:r w:rsidR="000C0BCD">
          <w:rPr>
            <w:rFonts w:ascii="Arial" w:hAnsi="Arial" w:cs="Arial"/>
            <w:sz w:val="20"/>
            <w:szCs w:val="20"/>
            <w:highlight w:val="lightGray"/>
          </w:rPr>
          <w:t xml:space="preserve"> </w:t>
        </w:r>
        <w:r w:rsidR="000C0BCD" w:rsidRPr="000456B8">
          <w:rPr>
            <w:rFonts w:ascii="Arial" w:hAnsi="Arial" w:cs="Arial"/>
            <w:sz w:val="20"/>
            <w:szCs w:val="20"/>
            <w:highlight w:val="lightGray"/>
          </w:rPr>
          <w:t xml:space="preserve">joint ventures, </w:t>
        </w:r>
        <w:r w:rsidR="000C0BCD">
          <w:rPr>
            <w:rFonts w:ascii="Arial" w:hAnsi="Arial" w:cs="Arial"/>
            <w:sz w:val="20"/>
            <w:szCs w:val="20"/>
            <w:highlight w:val="lightGray"/>
          </w:rPr>
          <w:t>partnerships</w:t>
        </w:r>
      </w:ins>
      <w:ins w:id="34" w:author="Marcotte, Robin" w:date="2023-03-02T16:56:00Z">
        <w:r w:rsidR="009906AE">
          <w:rPr>
            <w:rFonts w:ascii="Arial" w:hAnsi="Arial" w:cs="Arial"/>
            <w:sz w:val="20"/>
            <w:szCs w:val="20"/>
            <w:highlight w:val="lightGray"/>
          </w:rPr>
          <w:t xml:space="preserve"> and limited liability comp</w:t>
        </w:r>
        <w:r w:rsidR="00382123">
          <w:rPr>
            <w:rFonts w:ascii="Arial" w:hAnsi="Arial" w:cs="Arial"/>
            <w:sz w:val="20"/>
            <w:szCs w:val="20"/>
            <w:highlight w:val="lightGray"/>
          </w:rPr>
          <w:t>anies</w:t>
        </w:r>
      </w:ins>
      <w:ins w:id="35" w:author="Marcotte, Robin" w:date="2023-02-28T16:34:00Z">
        <w:r w:rsidR="000C0BCD">
          <w:rPr>
            <w:rFonts w:ascii="Arial" w:hAnsi="Arial" w:cs="Arial"/>
            <w:sz w:val="20"/>
            <w:szCs w:val="20"/>
            <w:highlight w:val="lightGray"/>
          </w:rPr>
          <w:t xml:space="preserve"> and investments that would qualify as SCAs</w:t>
        </w:r>
      </w:ins>
      <w:ins w:id="36" w:author="Marcotte, Robin" w:date="2023-03-02T16:59:00Z">
        <w:r w:rsidR="00D4565A">
          <w:rPr>
            <w:rFonts w:ascii="Arial" w:hAnsi="Arial" w:cs="Arial"/>
            <w:sz w:val="20"/>
            <w:szCs w:val="20"/>
            <w:highlight w:val="lightGray"/>
          </w:rPr>
          <w:t xml:space="preserve"> if held directly</w:t>
        </w:r>
      </w:ins>
      <w:ins w:id="37" w:author="Marcotte, Robin" w:date="2023-02-28T16:34:00Z">
        <w:r w:rsidR="000C0BCD" w:rsidRPr="000456B8">
          <w:rPr>
            <w:rFonts w:ascii="Arial" w:hAnsi="Arial" w:cs="Arial"/>
            <w:sz w:val="20"/>
            <w:szCs w:val="20"/>
            <w:highlight w:val="lightGray"/>
          </w:rPr>
          <w:t>, the proportionate audited equity valuation shall be used for the comparison for the adequacy of pledged collateral</w:t>
        </w:r>
        <w:r w:rsidR="000C0BCD">
          <w:rPr>
            <w:rFonts w:ascii="Arial" w:hAnsi="Arial" w:cs="Arial"/>
            <w:sz w:val="20"/>
            <w:szCs w:val="20"/>
            <w:highlight w:val="lightGray"/>
          </w:rPr>
          <w:t>. If the collateral loan exceeds the audited equity valuation of these pledged investments, then the excess shall be nonadmitted</w:t>
        </w:r>
        <w:r w:rsidR="000C0BCD" w:rsidRPr="000456B8">
          <w:rPr>
            <w:rFonts w:ascii="Arial" w:hAnsi="Arial" w:cs="Arial"/>
            <w:sz w:val="20"/>
            <w:szCs w:val="20"/>
            <w:highlight w:val="lightGray"/>
          </w:rPr>
          <w:t>.</w:t>
        </w:r>
      </w:ins>
      <w:r w:rsidR="000C0BCD" w:rsidRPr="000456B8">
        <w:rPr>
          <w:rFonts w:ascii="Arial" w:hAnsi="Arial" w:cs="Arial"/>
          <w:sz w:val="20"/>
          <w:szCs w:val="20"/>
          <w:highlight w:val="lightGray"/>
        </w:rPr>
        <w:t xml:space="preserve">  </w:t>
      </w:r>
    </w:p>
    <w:p w14:paraId="1702CB51" w14:textId="77777777" w:rsidR="00EC2480" w:rsidRPr="000C0BCD" w:rsidRDefault="00EC2480">
      <w:pPr>
        <w:rPr>
          <w:rFonts w:ascii="Arial" w:hAnsi="Arial" w:cs="Arial"/>
        </w:rPr>
      </w:pPr>
    </w:p>
    <w:p w14:paraId="613EA4E3" w14:textId="77777777" w:rsidR="00EC2480" w:rsidRPr="00584D30" w:rsidRDefault="00EC2480" w:rsidP="00EC2480">
      <w:pPr>
        <w:pStyle w:val="FootnoteText"/>
        <w:spacing w:after="180"/>
        <w:ind w:left="720"/>
        <w:jc w:val="both"/>
        <w:rPr>
          <w:rFonts w:ascii="Arial" w:hAnsi="Arial" w:cs="Arial"/>
        </w:rPr>
      </w:pPr>
      <w:r w:rsidRPr="00174DF8">
        <w:rPr>
          <w:rFonts w:ascii="Arial" w:hAnsi="Arial" w:cs="Arial"/>
          <w:b/>
          <w:bCs/>
        </w:rPr>
        <w:t>Footnote 1:</w:t>
      </w:r>
      <w:r>
        <w:rPr>
          <w:rFonts w:ascii="Arial" w:hAnsi="Arial" w:cs="Arial"/>
        </w:rPr>
        <w:t xml:space="preserve"> F</w:t>
      </w:r>
      <w:r w:rsidRPr="00584D30">
        <w:rPr>
          <w:rFonts w:ascii="Arial" w:hAnsi="Arial" w:cs="Arial"/>
        </w:rPr>
        <w:t xml:space="preserve">or purposes of determining a collateral loan in scope of this statement, a collateral loan does not include investments captured in scope of other statements. For example, </w:t>
      </w:r>
      <w:r w:rsidRPr="00584D30">
        <w:rPr>
          <w:rFonts w:ascii="Arial" w:hAnsi="Arial" w:cs="Arial"/>
          <w:i/>
          <w:iCs/>
        </w:rPr>
        <w:t>SSAP No. 26R—Bonds</w:t>
      </w:r>
      <w:r w:rsidRPr="00584D30">
        <w:rPr>
          <w:rFonts w:ascii="Arial" w:hAnsi="Arial" w:cs="Arial"/>
        </w:rPr>
        <w:t xml:space="preserve"> includes securities (as defined in that statement) representing a creditor relationship whereby there is a fixed schedule for one or more future payments. Investments captured in SSAP No. 26R that are also secured with collateral shall continue to be captured within scope of SSAP No. 26R.</w:t>
      </w:r>
    </w:p>
    <w:p w14:paraId="3B4876BA" w14:textId="7BB78004" w:rsidR="00EC2480" w:rsidRDefault="00EC2480" w:rsidP="00EC2480">
      <w:pPr>
        <w:ind w:left="720"/>
        <w:jc w:val="both"/>
        <w:rPr>
          <w:rFonts w:ascii="Arial" w:hAnsi="Arial" w:cs="Arial"/>
        </w:rPr>
      </w:pPr>
      <w:r w:rsidRPr="00174DF8">
        <w:rPr>
          <w:rFonts w:ascii="Arial" w:hAnsi="Arial" w:cs="Arial"/>
          <w:b/>
          <w:bCs/>
        </w:rPr>
        <w:t>Footnote 2:</w:t>
      </w:r>
      <w:r>
        <w:rPr>
          <w:rFonts w:ascii="Arial" w:hAnsi="Arial" w:cs="Arial"/>
        </w:rPr>
        <w:t xml:space="preserve"> </w:t>
      </w:r>
      <w:ins w:id="38" w:author="Marcotte, Robin" w:date="2022-07-11T17:24:00Z">
        <w:r w:rsidRPr="00584D30">
          <w:rPr>
            <w:rFonts w:ascii="Arial" w:hAnsi="Arial" w:cs="Arial"/>
          </w:rPr>
          <w:t>A qualify</w:t>
        </w:r>
      </w:ins>
      <w:ins w:id="39" w:author="Marcotte, Robin" w:date="2022-07-11T17:25:00Z">
        <w:r w:rsidRPr="00584D30">
          <w:rPr>
            <w:rFonts w:ascii="Arial" w:hAnsi="Arial" w:cs="Arial"/>
          </w:rPr>
          <w:t xml:space="preserve">ing </w:t>
        </w:r>
      </w:ins>
      <w:del w:id="40" w:author="Marcotte, Robin" w:date="2022-07-11T17:25:00Z">
        <w:r w:rsidRPr="00584D30" w:rsidDel="00A71C71">
          <w:rPr>
            <w:rFonts w:ascii="Arial" w:hAnsi="Arial" w:cs="Arial"/>
          </w:rPr>
          <w:delText>I</w:delText>
        </w:r>
      </w:del>
      <w:ins w:id="41" w:author="Marcotte, Robin" w:date="2022-07-11T17:25:00Z">
        <w:r w:rsidRPr="00584D30">
          <w:rPr>
            <w:rFonts w:ascii="Arial" w:hAnsi="Arial" w:cs="Arial"/>
          </w:rPr>
          <w:t>i</w:t>
        </w:r>
      </w:ins>
      <w:r w:rsidRPr="00584D30">
        <w:rPr>
          <w:rFonts w:ascii="Arial" w:hAnsi="Arial" w:cs="Arial"/>
        </w:rPr>
        <w:t xml:space="preserve">nvestment defined as those assets listed in Section 3 of </w:t>
      </w:r>
      <w:r w:rsidRPr="00584D30">
        <w:rPr>
          <w:rFonts w:ascii="Arial" w:hAnsi="Arial" w:cs="Arial"/>
          <w:i/>
        </w:rPr>
        <w:t>Appendix A-001—</w:t>
      </w:r>
      <w:r w:rsidRPr="00584D30">
        <w:rPr>
          <w:rFonts w:ascii="Arial" w:hAnsi="Arial" w:cs="Arial"/>
          <w:i/>
          <w:iCs/>
        </w:rPr>
        <w:t>Investments of Reporting Entities</w:t>
      </w:r>
      <w:ins w:id="42" w:author="Marcotte, Robin" w:date="2022-07-08T13:32:00Z">
        <w:r w:rsidRPr="00584D30">
          <w:rPr>
            <w:rFonts w:ascii="Arial" w:hAnsi="Arial" w:cs="Arial"/>
          </w:rPr>
          <w:t xml:space="preserve"> which would </w:t>
        </w:r>
      </w:ins>
      <w:del w:id="43" w:author="Marcotte, Robin" w:date="2022-07-11T17:25:00Z">
        <w:r w:rsidRPr="00584D30" w:rsidDel="00A71C71">
          <w:rPr>
            <w:rFonts w:ascii="Arial" w:hAnsi="Arial" w:cs="Arial"/>
          </w:rPr>
          <w:delText>.</w:delText>
        </w:r>
      </w:del>
      <w:ins w:id="44" w:author="Marcotte, Robin" w:date="2022-07-11T17:24:00Z">
        <w:r w:rsidRPr="00584D30">
          <w:rPr>
            <w:rFonts w:ascii="Arial" w:hAnsi="Arial" w:cs="Arial"/>
          </w:rPr>
          <w:t>if held by the insurer qualify for admittance.</w:t>
        </w:r>
      </w:ins>
      <w:r w:rsidRPr="00584D30">
        <w:rPr>
          <w:rFonts w:ascii="Arial" w:hAnsi="Arial" w:cs="Arial"/>
        </w:rPr>
        <w:t xml:space="preserve"> </w:t>
      </w:r>
      <w:r w:rsidR="00784262">
        <w:rPr>
          <w:rFonts w:ascii="Arial" w:hAnsi="Arial" w:cs="Arial"/>
        </w:rPr>
        <w:t xml:space="preserve"> </w:t>
      </w:r>
      <w:ins w:id="45" w:author="Marcotte, Robin" w:date="2022-07-11T17:24:00Z">
        <w:r w:rsidRPr="00584D30">
          <w:rPr>
            <w:rFonts w:ascii="Arial" w:hAnsi="Arial" w:cs="Arial"/>
          </w:rPr>
          <w:t>For example, if the collateral would not qualify for admittance under SSAP No. 4 due to encumbrances or other third-</w:t>
        </w:r>
        <w:r w:rsidRPr="00584D30">
          <w:rPr>
            <w:rFonts w:ascii="Arial" w:hAnsi="Arial" w:cs="Arial"/>
          </w:rPr>
          <w:lastRenderedPageBreak/>
          <w:t>party interests, then it does not meet the definition of "qualifying" and the collateral loan</w:t>
        </w:r>
      </w:ins>
      <w:ins w:id="46" w:author="Marcotte, Robin" w:date="2022-07-26T16:45:00Z">
        <w:r w:rsidRPr="00584D30">
          <w:rPr>
            <w:rFonts w:ascii="Arial" w:hAnsi="Arial" w:cs="Arial"/>
          </w:rPr>
          <w:t>, or any portion thereof which is not adequately collateralized</w:t>
        </w:r>
      </w:ins>
      <w:ins w:id="47" w:author="Marcotte, Robin" w:date="2022-07-26T16:46:00Z">
        <w:r w:rsidRPr="00584D30">
          <w:rPr>
            <w:rFonts w:ascii="Arial" w:hAnsi="Arial" w:cs="Arial"/>
          </w:rPr>
          <w:t xml:space="preserve">, </w:t>
        </w:r>
      </w:ins>
      <w:ins w:id="48" w:author="Marcotte, Robin" w:date="2022-07-11T17:24:00Z">
        <w:r w:rsidRPr="00584D30">
          <w:rPr>
            <w:rFonts w:ascii="Arial" w:hAnsi="Arial" w:cs="Arial"/>
          </w:rPr>
          <w:t>is not permitted to be admitted. </w:t>
        </w:r>
      </w:ins>
      <w:r w:rsidR="00133ABB" w:rsidRPr="00C84CAC">
        <w:rPr>
          <w:rFonts w:ascii="Arial" w:hAnsi="Arial" w:cs="Arial"/>
          <w:color w:val="FF0000"/>
          <w:highlight w:val="lightGray"/>
          <w:u w:val="single" w:color="FF0000"/>
        </w:rPr>
        <w:t>In</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the</w:t>
      </w:r>
      <w:r w:rsidR="00133ABB" w:rsidRPr="00C84CAC">
        <w:rPr>
          <w:rFonts w:ascii="Arial" w:hAnsi="Arial" w:cs="Arial"/>
          <w:color w:val="FF0000"/>
          <w:spacing w:val="-4"/>
          <w:highlight w:val="lightGray"/>
          <w:u w:val="single" w:color="FF0000"/>
        </w:rPr>
        <w:t xml:space="preserve"> </w:t>
      </w:r>
      <w:r w:rsidR="00133ABB" w:rsidRPr="00C84CAC">
        <w:rPr>
          <w:rFonts w:ascii="Arial" w:hAnsi="Arial" w:cs="Arial"/>
          <w:color w:val="FF0000"/>
          <w:highlight w:val="lightGray"/>
          <w:u w:val="single" w:color="FF0000"/>
        </w:rPr>
        <w:t>cases</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where</w:t>
      </w:r>
      <w:r w:rsidR="00133ABB" w:rsidRPr="00C84CAC">
        <w:rPr>
          <w:rFonts w:ascii="Arial" w:hAnsi="Arial" w:cs="Arial"/>
          <w:color w:val="FF0000"/>
          <w:spacing w:val="-2"/>
          <w:highlight w:val="lightGray"/>
          <w:u w:val="single" w:color="FF0000"/>
        </w:rPr>
        <w:t xml:space="preserve"> </w:t>
      </w:r>
      <w:r w:rsidR="00133ABB">
        <w:rPr>
          <w:rFonts w:ascii="Arial" w:hAnsi="Arial" w:cs="Arial"/>
          <w:color w:val="FF0000"/>
          <w:spacing w:val="-2"/>
          <w:highlight w:val="lightGray"/>
          <w:u w:val="single" w:color="FF0000"/>
        </w:rPr>
        <w:t xml:space="preserve">the collateral is </w:t>
      </w:r>
      <w:r w:rsidR="00133ABB" w:rsidRPr="00C84CAC">
        <w:rPr>
          <w:rFonts w:ascii="Arial" w:hAnsi="Arial" w:cs="Arial"/>
          <w:color w:val="FF0000"/>
          <w:highlight w:val="lightGray"/>
          <w:u w:val="single" w:color="FF0000"/>
        </w:rPr>
        <w:t>an</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equity/unit</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investment</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in</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a</w:t>
      </w:r>
      <w:r w:rsidR="00133ABB" w:rsidRPr="00C84CAC">
        <w:rPr>
          <w:rFonts w:ascii="Arial" w:hAnsi="Arial" w:cs="Arial"/>
          <w:color w:val="FF0000"/>
          <w:spacing w:val="-4"/>
          <w:highlight w:val="lightGray"/>
          <w:u w:val="single" w:color="FF0000"/>
        </w:rPr>
        <w:t xml:space="preserve"> </w:t>
      </w:r>
      <w:r w:rsidR="00133ABB" w:rsidRPr="00C84CAC">
        <w:rPr>
          <w:rFonts w:ascii="Arial" w:hAnsi="Arial" w:cs="Arial"/>
          <w:color w:val="FF0000"/>
          <w:highlight w:val="lightGray"/>
          <w:u w:val="single" w:color="FF0000"/>
        </w:rPr>
        <w:t>joint</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venture,</w:t>
      </w:r>
      <w:r w:rsidR="00133ABB" w:rsidRPr="00C84CAC">
        <w:rPr>
          <w:rFonts w:ascii="Arial" w:hAnsi="Arial" w:cs="Arial"/>
          <w:color w:val="FF0000"/>
          <w:spacing w:val="-6"/>
          <w:highlight w:val="lightGray"/>
          <w:u w:val="single" w:color="FF0000"/>
        </w:rPr>
        <w:t xml:space="preserve"> </w:t>
      </w:r>
      <w:r w:rsidR="00133ABB" w:rsidRPr="00C84CAC">
        <w:rPr>
          <w:rFonts w:ascii="Arial" w:hAnsi="Arial" w:cs="Arial"/>
          <w:color w:val="FF0000"/>
          <w:highlight w:val="lightGray"/>
          <w:u w:val="single" w:color="FF0000"/>
        </w:rPr>
        <w:t>partnership</w:t>
      </w:r>
      <w:ins w:id="49" w:author="Marcotte, Robin" w:date="2023-03-02T17:00:00Z">
        <w:r w:rsidR="00670E32">
          <w:rPr>
            <w:rFonts w:ascii="Arial" w:hAnsi="Arial" w:cs="Arial"/>
            <w:color w:val="FF0000"/>
            <w:spacing w:val="-3"/>
            <w:highlight w:val="lightGray"/>
            <w:u w:val="single" w:color="FF0000"/>
          </w:rPr>
          <w:t>,</w:t>
        </w:r>
      </w:ins>
      <w:r w:rsidR="00133ABB" w:rsidRPr="00C84CAC">
        <w:rPr>
          <w:rFonts w:ascii="Arial" w:hAnsi="Arial" w:cs="Arial"/>
          <w:color w:val="FF0000"/>
          <w:highlight w:val="lightGray"/>
        </w:rPr>
        <w:t xml:space="preserve"> </w:t>
      </w:r>
      <w:r w:rsidR="00133ABB" w:rsidRPr="00C84CAC">
        <w:rPr>
          <w:rFonts w:ascii="Arial" w:hAnsi="Arial" w:cs="Arial"/>
          <w:color w:val="FF0000"/>
          <w:highlight w:val="lightGray"/>
          <w:u w:val="single" w:color="FF0000"/>
        </w:rPr>
        <w:t>limited liability company</w:t>
      </w:r>
      <w:ins w:id="50" w:author="Marcotte, Robin" w:date="2023-03-02T17:00:00Z">
        <w:r w:rsidR="00225B84">
          <w:rPr>
            <w:rFonts w:ascii="Arial" w:hAnsi="Arial" w:cs="Arial"/>
            <w:color w:val="FF0000"/>
            <w:highlight w:val="lightGray"/>
            <w:u w:val="single" w:color="FF0000"/>
          </w:rPr>
          <w:t>, and or SCA</w:t>
        </w:r>
      </w:ins>
      <w:r w:rsidR="00133ABB" w:rsidRPr="00C84CAC">
        <w:rPr>
          <w:rFonts w:ascii="Arial" w:hAnsi="Arial" w:cs="Arial"/>
          <w:color w:val="FF0000"/>
          <w:highlight w:val="lightGray"/>
          <w:u w:val="single" w:color="FF0000"/>
        </w:rPr>
        <w:t xml:space="preserve"> is pledged as collateral in a collateral loan, audited financial</w:t>
      </w:r>
      <w:r w:rsidR="00133ABB" w:rsidRPr="00C84CAC">
        <w:rPr>
          <w:rFonts w:ascii="Arial" w:hAnsi="Arial" w:cs="Arial"/>
          <w:color w:val="FF0000"/>
          <w:highlight w:val="lightGray"/>
        </w:rPr>
        <w:t xml:space="preserve"> </w:t>
      </w:r>
      <w:r w:rsidR="00133ABB" w:rsidRPr="00C84CAC">
        <w:rPr>
          <w:rFonts w:ascii="Arial" w:hAnsi="Arial" w:cs="Arial"/>
          <w:color w:val="FF0000"/>
          <w:highlight w:val="lightGray"/>
          <w:u w:val="single" w:color="FF0000"/>
        </w:rPr>
        <w:t>statements</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on</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a</w:t>
      </w:r>
      <w:r w:rsidR="00133ABB" w:rsidRPr="00C84CAC">
        <w:rPr>
          <w:rFonts w:ascii="Arial" w:hAnsi="Arial" w:cs="Arial"/>
          <w:color w:val="FF0000"/>
          <w:spacing w:val="2"/>
          <w:highlight w:val="lightGray"/>
          <w:u w:val="single" w:color="FF0000"/>
        </w:rPr>
        <w:t xml:space="preserve"> </w:t>
      </w:r>
      <w:r w:rsidR="00133ABB" w:rsidRPr="00C84CAC">
        <w:rPr>
          <w:rFonts w:ascii="Arial" w:hAnsi="Arial" w:cs="Arial"/>
          <w:color w:val="FF0000"/>
          <w:highlight w:val="lightGray"/>
          <w:u w:val="single" w:color="FF0000"/>
        </w:rPr>
        <w:t>consistent</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annual</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basis</w:t>
      </w:r>
      <w:r w:rsidR="00133ABB" w:rsidRPr="00C84CAC">
        <w:rPr>
          <w:rFonts w:ascii="Arial" w:hAnsi="Arial" w:cs="Arial"/>
          <w:color w:val="FF0000"/>
          <w:spacing w:val="4"/>
          <w:highlight w:val="lightGray"/>
          <w:u w:val="single" w:color="FF0000"/>
        </w:rPr>
        <w:t xml:space="preserve"> </w:t>
      </w:r>
      <w:r w:rsidR="00133ABB" w:rsidRPr="00C84CAC">
        <w:rPr>
          <w:rFonts w:ascii="Arial" w:hAnsi="Arial" w:cs="Arial"/>
          <w:color w:val="FF0000"/>
          <w:highlight w:val="lightGray"/>
          <w:u w:val="single" w:color="FF0000"/>
        </w:rPr>
        <w:t>are</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always</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highlight w:val="lightGray"/>
          <w:u w:val="single" w:color="FF0000"/>
        </w:rPr>
        <w:t>required</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in</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accordance</w:t>
      </w:r>
      <w:r w:rsidR="00133ABB" w:rsidRPr="00C84CAC">
        <w:rPr>
          <w:rFonts w:ascii="Arial" w:hAnsi="Arial" w:cs="Arial"/>
          <w:color w:val="FF0000"/>
          <w:spacing w:val="2"/>
          <w:highlight w:val="lightGray"/>
          <w:u w:val="single" w:color="FF0000"/>
        </w:rPr>
        <w:t xml:space="preserve"> </w:t>
      </w:r>
      <w:r w:rsidR="00133ABB" w:rsidRPr="00C84CAC">
        <w:rPr>
          <w:rFonts w:ascii="Arial" w:hAnsi="Arial" w:cs="Arial"/>
          <w:color w:val="FF0000"/>
          <w:highlight w:val="lightGray"/>
          <w:u w:val="single" w:color="FF0000"/>
        </w:rPr>
        <w:t>with</w:t>
      </w:r>
      <w:r w:rsidR="00133ABB" w:rsidRPr="00C84CAC">
        <w:rPr>
          <w:rFonts w:ascii="Arial" w:hAnsi="Arial" w:cs="Arial"/>
          <w:color w:val="FF0000"/>
          <w:spacing w:val="1"/>
          <w:highlight w:val="lightGray"/>
          <w:u w:val="single" w:color="FF0000"/>
        </w:rPr>
        <w:t xml:space="preserve"> </w:t>
      </w:r>
      <w:r w:rsidR="00133ABB" w:rsidRPr="00C84CAC">
        <w:rPr>
          <w:rFonts w:ascii="Arial" w:hAnsi="Arial" w:cs="Arial"/>
          <w:color w:val="FF0000"/>
          <w:highlight w:val="lightGray"/>
          <w:u w:val="single" w:color="FF0000"/>
        </w:rPr>
        <w:t>SSAP</w:t>
      </w:r>
      <w:r w:rsidR="00133ABB" w:rsidRPr="00C84CAC">
        <w:rPr>
          <w:rFonts w:ascii="Arial" w:hAnsi="Arial" w:cs="Arial"/>
          <w:color w:val="FF0000"/>
          <w:spacing w:val="3"/>
          <w:highlight w:val="lightGray"/>
          <w:u w:val="single" w:color="FF0000"/>
        </w:rPr>
        <w:t xml:space="preserve"> </w:t>
      </w:r>
      <w:r w:rsidR="00133ABB" w:rsidRPr="00C84CAC">
        <w:rPr>
          <w:rFonts w:ascii="Arial" w:hAnsi="Arial" w:cs="Arial"/>
          <w:color w:val="FF0000"/>
          <w:spacing w:val="-5"/>
          <w:highlight w:val="lightGray"/>
          <w:u w:val="single" w:color="FF0000"/>
        </w:rPr>
        <w:t>No.</w:t>
      </w:r>
      <w:r w:rsidR="00133ABB">
        <w:rPr>
          <w:rFonts w:ascii="Arial" w:hAnsi="Arial" w:cs="Arial"/>
          <w:color w:val="FF0000"/>
          <w:spacing w:val="-5"/>
          <w:highlight w:val="lightGray"/>
          <w:u w:val="single" w:color="FF0000"/>
        </w:rPr>
        <w:t xml:space="preserve"> </w:t>
      </w:r>
      <w:r w:rsidR="00133ABB" w:rsidRPr="00C84CAC">
        <w:rPr>
          <w:rFonts w:ascii="Arial" w:hAnsi="Arial" w:cs="Arial"/>
          <w:color w:val="FF0000"/>
          <w:highlight w:val="lightGray"/>
          <w:u w:val="single" w:color="FF0000"/>
        </w:rPr>
        <w:t>48</w:t>
      </w:r>
      <w:r w:rsidR="00133ABB">
        <w:rPr>
          <w:rFonts w:ascii="Arial" w:hAnsi="Arial" w:cs="Arial"/>
          <w:color w:val="FF0000"/>
          <w:highlight w:val="lightGray"/>
          <w:u w:val="single" w:color="FF0000"/>
        </w:rPr>
        <w:t xml:space="preserve"> and or SSAP No. 97</w:t>
      </w:r>
      <w:r w:rsidR="00133ABB" w:rsidRPr="00C84CAC">
        <w:rPr>
          <w:rFonts w:ascii="Arial" w:hAnsi="Arial" w:cs="Arial"/>
          <w:color w:val="FF0000"/>
          <w:highlight w:val="lightGray"/>
          <w:u w:val="single" w:color="FF0000"/>
        </w:rPr>
        <w:t>.</w:t>
      </w:r>
    </w:p>
    <w:p w14:paraId="46D79591" w14:textId="77777777" w:rsidR="00BD55EA" w:rsidRDefault="00BD55EA" w:rsidP="00EC2480">
      <w:pPr>
        <w:ind w:left="720"/>
        <w:jc w:val="both"/>
        <w:rPr>
          <w:rFonts w:ascii="Arial" w:hAnsi="Arial" w:cs="Arial"/>
        </w:rPr>
      </w:pPr>
    </w:p>
    <w:p w14:paraId="40304E1E" w14:textId="77777777" w:rsidR="006226A3" w:rsidRDefault="006226A3" w:rsidP="00EC2480">
      <w:pPr>
        <w:ind w:left="720"/>
        <w:jc w:val="both"/>
        <w:rPr>
          <w:rFonts w:ascii="Arial" w:hAnsi="Arial" w:cs="Arial"/>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C2691E" w:rsidRPr="00F45BC3" w14:paraId="1768A683"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9213350" w14:textId="77777777" w:rsidR="00C2691E" w:rsidRPr="00F45BC3" w:rsidRDefault="00C2691E">
            <w:pPr>
              <w:widowControl w:val="0"/>
              <w:jc w:val="center"/>
              <w:rPr>
                <w:b/>
                <w:color w:val="FFFFFF"/>
                <w:sz w:val="22"/>
                <w:szCs w:val="22"/>
              </w:rPr>
            </w:pPr>
          </w:p>
          <w:p w14:paraId="79BA5F19" w14:textId="77777777" w:rsidR="00C2691E" w:rsidRPr="00F45BC3" w:rsidRDefault="00C2691E">
            <w:pPr>
              <w:widowControl w:val="0"/>
              <w:jc w:val="center"/>
              <w:rPr>
                <w:b/>
                <w:color w:val="FFFFFF"/>
                <w:sz w:val="22"/>
                <w:szCs w:val="22"/>
              </w:rPr>
            </w:pPr>
            <w:r w:rsidRPr="00F45BC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7DDF3684" w14:textId="77777777" w:rsidR="00C2691E" w:rsidRPr="00F45BC3" w:rsidRDefault="00C2691E">
            <w:pPr>
              <w:widowControl w:val="0"/>
              <w:jc w:val="center"/>
              <w:rPr>
                <w:b/>
                <w:color w:val="FFFFFF"/>
                <w:sz w:val="22"/>
                <w:szCs w:val="22"/>
              </w:rPr>
            </w:pPr>
          </w:p>
          <w:p w14:paraId="773B70A4" w14:textId="77777777" w:rsidR="00C2691E" w:rsidRPr="00F45BC3" w:rsidRDefault="00C2691E">
            <w:pPr>
              <w:widowControl w:val="0"/>
              <w:jc w:val="center"/>
              <w:rPr>
                <w:b/>
                <w:color w:val="FFFFFF"/>
                <w:sz w:val="22"/>
                <w:szCs w:val="22"/>
              </w:rPr>
            </w:pPr>
            <w:r w:rsidRPr="00F45BC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3E5D4C2C" w14:textId="77777777" w:rsidR="00C2691E" w:rsidRPr="00F45BC3" w:rsidRDefault="00C2691E">
            <w:pPr>
              <w:widowControl w:val="0"/>
              <w:jc w:val="center"/>
              <w:rPr>
                <w:b/>
                <w:color w:val="FFFFFF"/>
                <w:sz w:val="22"/>
                <w:szCs w:val="22"/>
              </w:rPr>
            </w:pPr>
          </w:p>
          <w:p w14:paraId="1C4012EC" w14:textId="77777777" w:rsidR="00C2691E" w:rsidRPr="00F45BC3" w:rsidRDefault="00C2691E">
            <w:pPr>
              <w:widowControl w:val="0"/>
              <w:jc w:val="center"/>
              <w:rPr>
                <w:b/>
                <w:color w:val="FFFFFF"/>
                <w:sz w:val="22"/>
                <w:szCs w:val="22"/>
              </w:rPr>
            </w:pPr>
            <w:r w:rsidRPr="00F45BC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6122A087" w14:textId="77777777" w:rsidR="00C2691E" w:rsidRPr="00F45BC3" w:rsidRDefault="00C2691E">
            <w:pPr>
              <w:widowControl w:val="0"/>
              <w:jc w:val="center"/>
              <w:rPr>
                <w:b/>
                <w:bCs/>
                <w:color w:val="FFFFFF"/>
                <w:sz w:val="22"/>
                <w:szCs w:val="22"/>
              </w:rPr>
            </w:pPr>
            <w:r w:rsidRPr="00F45BC3">
              <w:rPr>
                <w:b/>
                <w:bCs/>
                <w:sz w:val="22"/>
                <w:szCs w:val="22"/>
              </w:rPr>
              <w:t>Agreement with Exposed Document?</w:t>
            </w:r>
            <w:r w:rsidRPr="00F45BC3">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08754F1C" w14:textId="77777777" w:rsidR="00C2691E" w:rsidRPr="00F45BC3" w:rsidRDefault="00C2691E">
            <w:pPr>
              <w:widowControl w:val="0"/>
              <w:jc w:val="center"/>
              <w:rPr>
                <w:b/>
                <w:bCs/>
                <w:color w:val="FFFFFF"/>
                <w:sz w:val="22"/>
                <w:szCs w:val="22"/>
              </w:rPr>
            </w:pPr>
            <w:r w:rsidRPr="00F45BC3">
              <w:rPr>
                <w:b/>
                <w:bCs/>
                <w:sz w:val="22"/>
                <w:szCs w:val="22"/>
              </w:rPr>
              <w:t>Comment Letter Page Number</w:t>
            </w:r>
          </w:p>
        </w:tc>
      </w:tr>
      <w:tr w:rsidR="00C2691E" w:rsidRPr="00F45BC3" w14:paraId="33F3E3CC" w14:textId="77777777">
        <w:trPr>
          <w:trHeight w:val="800"/>
        </w:trPr>
        <w:tc>
          <w:tcPr>
            <w:tcW w:w="1615" w:type="dxa"/>
            <w:tcBorders>
              <w:top w:val="single" w:sz="4" w:space="0" w:color="FFFFFF"/>
            </w:tcBorders>
            <w:shd w:val="clear" w:color="auto" w:fill="F2F2F2"/>
            <w:vAlign w:val="center"/>
          </w:tcPr>
          <w:p w14:paraId="24C8B20E" w14:textId="61CF21FE" w:rsidR="00C2691E" w:rsidRPr="00F45BC3" w:rsidRDefault="00C2691E">
            <w:pPr>
              <w:widowControl w:val="0"/>
              <w:jc w:val="center"/>
              <w:rPr>
                <w:b/>
                <w:sz w:val="22"/>
                <w:szCs w:val="22"/>
              </w:rPr>
            </w:pPr>
            <w:r w:rsidRPr="00F45BC3">
              <w:rPr>
                <w:b/>
                <w:sz w:val="22"/>
                <w:szCs w:val="22"/>
              </w:rPr>
              <w:t>2022-12</w:t>
            </w:r>
          </w:p>
          <w:p w14:paraId="42637AFC" w14:textId="77777777" w:rsidR="00C2691E" w:rsidRPr="00F45BC3" w:rsidRDefault="00C2691E">
            <w:pPr>
              <w:widowControl w:val="0"/>
              <w:jc w:val="center"/>
              <w:rPr>
                <w:b/>
                <w:sz w:val="22"/>
                <w:szCs w:val="22"/>
              </w:rPr>
            </w:pPr>
            <w:r w:rsidRPr="006F53F3">
              <w:rPr>
                <w:b/>
                <w:sz w:val="22"/>
                <w:szCs w:val="22"/>
              </w:rPr>
              <w:t>(Robin)</w:t>
            </w:r>
          </w:p>
        </w:tc>
        <w:tc>
          <w:tcPr>
            <w:tcW w:w="3198" w:type="dxa"/>
            <w:tcBorders>
              <w:top w:val="single" w:sz="4" w:space="0" w:color="FFFFFF"/>
            </w:tcBorders>
            <w:shd w:val="clear" w:color="auto" w:fill="F2F2F2"/>
            <w:vAlign w:val="center"/>
          </w:tcPr>
          <w:p w14:paraId="7D71DC5A" w14:textId="22FDBD96" w:rsidR="00C2691E" w:rsidRPr="00F45BC3" w:rsidRDefault="00C2691E">
            <w:pPr>
              <w:pStyle w:val="Heading2"/>
              <w:rPr>
                <w:iCs/>
                <w:sz w:val="22"/>
                <w:szCs w:val="22"/>
              </w:rPr>
            </w:pPr>
            <w:r w:rsidRPr="00F45BC3">
              <w:rPr>
                <w:iCs/>
                <w:sz w:val="22"/>
                <w:szCs w:val="22"/>
              </w:rPr>
              <w:t xml:space="preserve">Review of </w:t>
            </w:r>
            <w:r w:rsidRPr="00F45BC3">
              <w:rPr>
                <w:i/>
                <w:sz w:val="22"/>
                <w:szCs w:val="22"/>
              </w:rPr>
              <w:t xml:space="preserve">INT 03-02: Modification to an Existing Intercompany Pooling </w:t>
            </w:r>
            <w:r w:rsidR="00BB60FA" w:rsidRPr="00F45BC3">
              <w:rPr>
                <w:i/>
                <w:sz w:val="22"/>
                <w:szCs w:val="22"/>
              </w:rPr>
              <w:t>Arrangement</w:t>
            </w:r>
          </w:p>
        </w:tc>
        <w:tc>
          <w:tcPr>
            <w:tcW w:w="2112" w:type="dxa"/>
            <w:tcBorders>
              <w:top w:val="single" w:sz="4" w:space="0" w:color="FFFFFF"/>
            </w:tcBorders>
            <w:shd w:val="clear" w:color="auto" w:fill="F2F2F2"/>
            <w:vAlign w:val="center"/>
          </w:tcPr>
          <w:p w14:paraId="68514FE1" w14:textId="013A932F" w:rsidR="00C2691E" w:rsidRDefault="00C35494">
            <w:pPr>
              <w:widowControl w:val="0"/>
              <w:jc w:val="center"/>
              <w:rPr>
                <w:b/>
                <w:sz w:val="22"/>
                <w:szCs w:val="22"/>
              </w:rPr>
            </w:pPr>
            <w:r>
              <w:rPr>
                <w:b/>
                <w:sz w:val="22"/>
                <w:szCs w:val="22"/>
              </w:rPr>
              <w:t>1</w:t>
            </w:r>
            <w:r w:rsidR="00325D92">
              <w:rPr>
                <w:b/>
                <w:sz w:val="22"/>
                <w:szCs w:val="22"/>
              </w:rPr>
              <w:t>4</w:t>
            </w:r>
            <w:r w:rsidR="00C2691E" w:rsidRPr="00F45BC3">
              <w:rPr>
                <w:b/>
                <w:sz w:val="22"/>
                <w:szCs w:val="22"/>
              </w:rPr>
              <w:t xml:space="preserve"> – </w:t>
            </w:r>
            <w:r>
              <w:rPr>
                <w:b/>
                <w:sz w:val="22"/>
                <w:szCs w:val="22"/>
              </w:rPr>
              <w:t>Agenda Item</w:t>
            </w:r>
          </w:p>
          <w:p w14:paraId="141F5B7D" w14:textId="4006BAEA" w:rsidR="00C2691E" w:rsidRPr="00F45BC3" w:rsidRDefault="00AF2F00">
            <w:pPr>
              <w:widowControl w:val="0"/>
              <w:jc w:val="center"/>
              <w:rPr>
                <w:b/>
                <w:sz w:val="22"/>
                <w:szCs w:val="22"/>
              </w:rPr>
            </w:pPr>
            <w:r>
              <w:rPr>
                <w:b/>
                <w:sz w:val="22"/>
                <w:szCs w:val="22"/>
              </w:rPr>
              <w:t>1</w:t>
            </w:r>
            <w:r w:rsidR="00325D92">
              <w:rPr>
                <w:b/>
                <w:sz w:val="22"/>
                <w:szCs w:val="22"/>
              </w:rPr>
              <w:t>5</w:t>
            </w:r>
            <w:r>
              <w:rPr>
                <w:b/>
                <w:sz w:val="22"/>
                <w:szCs w:val="22"/>
              </w:rPr>
              <w:t xml:space="preserve"> </w:t>
            </w:r>
            <w:r w:rsidRPr="00F45BC3">
              <w:rPr>
                <w:b/>
                <w:sz w:val="22"/>
                <w:szCs w:val="22"/>
              </w:rPr>
              <w:t>–</w:t>
            </w:r>
            <w:r>
              <w:rPr>
                <w:b/>
                <w:sz w:val="22"/>
                <w:szCs w:val="22"/>
              </w:rPr>
              <w:t xml:space="preserve"> INT 03-02</w:t>
            </w:r>
          </w:p>
        </w:tc>
        <w:tc>
          <w:tcPr>
            <w:tcW w:w="1710" w:type="dxa"/>
            <w:tcBorders>
              <w:top w:val="single" w:sz="4" w:space="0" w:color="FFFFFF"/>
            </w:tcBorders>
            <w:shd w:val="clear" w:color="auto" w:fill="F2F2F2"/>
            <w:vAlign w:val="center"/>
          </w:tcPr>
          <w:p w14:paraId="12058861" w14:textId="5CA7B004" w:rsidR="00C2691E" w:rsidRPr="00F45BC3" w:rsidRDefault="00457909">
            <w:pPr>
              <w:widowControl w:val="0"/>
              <w:jc w:val="center"/>
              <w:rPr>
                <w:b/>
                <w:sz w:val="22"/>
                <w:szCs w:val="22"/>
              </w:rPr>
            </w:pPr>
            <w:r>
              <w:rPr>
                <w:b/>
                <w:sz w:val="22"/>
                <w:szCs w:val="22"/>
              </w:rPr>
              <w:t>Comments Received</w:t>
            </w:r>
          </w:p>
        </w:tc>
        <w:tc>
          <w:tcPr>
            <w:tcW w:w="1440" w:type="dxa"/>
            <w:tcBorders>
              <w:top w:val="single" w:sz="4" w:space="0" w:color="FFFFFF"/>
            </w:tcBorders>
            <w:shd w:val="clear" w:color="auto" w:fill="F2F2F2"/>
            <w:vAlign w:val="center"/>
          </w:tcPr>
          <w:p w14:paraId="794DAD07" w14:textId="76FB0100" w:rsidR="00C2691E" w:rsidRPr="00F45BC3" w:rsidRDefault="00973E90">
            <w:pPr>
              <w:widowControl w:val="0"/>
              <w:jc w:val="center"/>
              <w:rPr>
                <w:b/>
                <w:sz w:val="22"/>
                <w:szCs w:val="22"/>
              </w:rPr>
            </w:pPr>
            <w:r>
              <w:rPr>
                <w:b/>
                <w:sz w:val="22"/>
                <w:szCs w:val="22"/>
              </w:rPr>
              <w:t>IP-3</w:t>
            </w:r>
          </w:p>
        </w:tc>
      </w:tr>
    </w:tbl>
    <w:p w14:paraId="2E76E57F" w14:textId="77777777" w:rsidR="00C2691E" w:rsidRPr="00F45BC3" w:rsidRDefault="00C2691E" w:rsidP="00C2691E">
      <w:pPr>
        <w:rPr>
          <w:sz w:val="22"/>
          <w:szCs w:val="22"/>
        </w:rPr>
      </w:pPr>
    </w:p>
    <w:p w14:paraId="224F118E" w14:textId="77777777" w:rsidR="00C2691E" w:rsidRPr="007A4CDA" w:rsidRDefault="00C2691E" w:rsidP="00C2691E">
      <w:pPr>
        <w:jc w:val="both"/>
        <w:rPr>
          <w:sz w:val="22"/>
          <w:szCs w:val="22"/>
          <w:u w:val="single"/>
        </w:rPr>
      </w:pPr>
      <w:r w:rsidRPr="007A4CDA">
        <w:rPr>
          <w:i/>
          <w:sz w:val="22"/>
          <w:szCs w:val="22"/>
          <w:u w:val="single"/>
        </w:rPr>
        <w:t>Summary:</w:t>
      </w:r>
      <w:r w:rsidRPr="007A4CDA">
        <w:rPr>
          <w:sz w:val="22"/>
          <w:szCs w:val="22"/>
          <w:u w:val="single"/>
        </w:rPr>
        <w:t xml:space="preserve"> </w:t>
      </w:r>
    </w:p>
    <w:p w14:paraId="4E6134F3" w14:textId="4F583306" w:rsidR="00C2691E" w:rsidRPr="00F45BC3" w:rsidRDefault="00C2691E" w:rsidP="00B71A1D">
      <w:pPr>
        <w:pStyle w:val="BodyText2"/>
        <w:jc w:val="both"/>
        <w:rPr>
          <w:b/>
          <w:bCs/>
          <w:color w:val="111822"/>
          <w:sz w:val="22"/>
          <w:szCs w:val="22"/>
          <w:shd w:val="clear" w:color="auto" w:fill="F7FCFF"/>
        </w:rPr>
      </w:pPr>
      <w:r w:rsidRPr="00F45BC3">
        <w:rPr>
          <w:iCs/>
          <w:sz w:val="22"/>
          <w:szCs w:val="22"/>
        </w:rPr>
        <w:t xml:space="preserve">During the 2022 Fall National Meeting, the Working Group re-exposed </w:t>
      </w:r>
      <w:r w:rsidR="004B0DE6" w:rsidRPr="00F45BC3">
        <w:rPr>
          <w:iCs/>
          <w:sz w:val="22"/>
          <w:szCs w:val="22"/>
        </w:rPr>
        <w:t xml:space="preserve">the intent to nullify INT 03-02. With this re-exposure, </w:t>
      </w:r>
      <w:r w:rsidR="00F30B29">
        <w:rPr>
          <w:iCs/>
          <w:sz w:val="22"/>
          <w:szCs w:val="22"/>
        </w:rPr>
        <w:t xml:space="preserve">the Working Group </w:t>
      </w:r>
      <w:r w:rsidR="004B0DE6" w:rsidRPr="00F45BC3">
        <w:rPr>
          <w:iCs/>
          <w:sz w:val="22"/>
          <w:szCs w:val="22"/>
        </w:rPr>
        <w:t>requested industry to provide comments on specific instances in which the interpretation was being applied</w:t>
      </w:r>
      <w:r w:rsidR="0024474F">
        <w:rPr>
          <w:iCs/>
          <w:sz w:val="22"/>
          <w:szCs w:val="22"/>
        </w:rPr>
        <w:t xml:space="preserve"> and specific </w:t>
      </w:r>
      <w:r w:rsidR="0037697C">
        <w:rPr>
          <w:iCs/>
          <w:sz w:val="22"/>
          <w:szCs w:val="22"/>
        </w:rPr>
        <w:t xml:space="preserve">staff identified </w:t>
      </w:r>
      <w:r w:rsidR="0024474F">
        <w:rPr>
          <w:iCs/>
          <w:sz w:val="22"/>
          <w:szCs w:val="22"/>
        </w:rPr>
        <w:t xml:space="preserve">items noted in the </w:t>
      </w:r>
      <w:r w:rsidR="00F507FB">
        <w:rPr>
          <w:iCs/>
          <w:sz w:val="22"/>
          <w:szCs w:val="22"/>
        </w:rPr>
        <w:t>agenda</w:t>
      </w:r>
      <w:r w:rsidR="004B0DE6" w:rsidRPr="00F45BC3">
        <w:rPr>
          <w:iCs/>
          <w:sz w:val="22"/>
          <w:szCs w:val="22"/>
        </w:rPr>
        <w:t xml:space="preserve">. </w:t>
      </w:r>
    </w:p>
    <w:p w14:paraId="0239293F" w14:textId="77777777" w:rsidR="00C2691E" w:rsidRPr="00F45BC3" w:rsidRDefault="00C2691E" w:rsidP="00C2691E">
      <w:pPr>
        <w:pStyle w:val="BodyText2"/>
        <w:jc w:val="both"/>
        <w:rPr>
          <w:iCs/>
          <w:sz w:val="22"/>
          <w:szCs w:val="22"/>
        </w:rPr>
      </w:pPr>
    </w:p>
    <w:p w14:paraId="65EFF6A1" w14:textId="77777777" w:rsidR="00C2691E" w:rsidRPr="00F45BC3" w:rsidRDefault="00C2691E" w:rsidP="00C2691E">
      <w:pPr>
        <w:pStyle w:val="paragraph"/>
        <w:spacing w:before="0" w:beforeAutospacing="0" w:after="0" w:afterAutospacing="0"/>
        <w:jc w:val="both"/>
        <w:textAlignment w:val="baseline"/>
        <w:rPr>
          <w:bCs/>
          <w:i/>
          <w:sz w:val="22"/>
          <w:szCs w:val="22"/>
          <w:u w:val="single"/>
        </w:rPr>
      </w:pPr>
      <w:r w:rsidRPr="00F45BC3">
        <w:rPr>
          <w:bCs/>
          <w:i/>
          <w:sz w:val="22"/>
          <w:szCs w:val="22"/>
          <w:u w:val="single"/>
        </w:rPr>
        <w:t>Interested Parties’ Comments:</w:t>
      </w:r>
    </w:p>
    <w:p w14:paraId="643193AA" w14:textId="72D544CB" w:rsidR="00F45BC3" w:rsidRPr="00F45BC3" w:rsidRDefault="00F45BC3" w:rsidP="0048194C">
      <w:pPr>
        <w:autoSpaceDE w:val="0"/>
        <w:autoSpaceDN w:val="0"/>
        <w:jc w:val="both"/>
        <w:rPr>
          <w:sz w:val="22"/>
          <w:szCs w:val="22"/>
        </w:rPr>
      </w:pPr>
      <w:r w:rsidRPr="00F45BC3">
        <w:rPr>
          <w:sz w:val="22"/>
          <w:szCs w:val="22"/>
        </w:rPr>
        <w:t>Staff provided the following comments regarding some of the key points from industry.</w:t>
      </w:r>
      <w:r w:rsidR="00837CEC">
        <w:rPr>
          <w:sz w:val="22"/>
          <w:szCs w:val="22"/>
        </w:rPr>
        <w:t xml:space="preserve"> </w:t>
      </w:r>
      <w:r w:rsidRPr="00F45BC3">
        <w:rPr>
          <w:sz w:val="22"/>
          <w:szCs w:val="22"/>
        </w:rPr>
        <w:t>Interested parties’ response to each comment is provided in italics below following each comment:</w:t>
      </w:r>
    </w:p>
    <w:p w14:paraId="5CFAD4F8" w14:textId="77777777" w:rsidR="00F45BC3" w:rsidRPr="00F45BC3" w:rsidRDefault="00F45BC3" w:rsidP="00F45BC3">
      <w:pPr>
        <w:autoSpaceDE w:val="0"/>
        <w:autoSpaceDN w:val="0"/>
        <w:spacing w:before="2"/>
        <w:jc w:val="both"/>
        <w:rPr>
          <w:sz w:val="22"/>
          <w:szCs w:val="22"/>
        </w:rPr>
      </w:pPr>
    </w:p>
    <w:p w14:paraId="1DC923BC" w14:textId="77777777" w:rsidR="00F45BC3" w:rsidRPr="00F45BC3" w:rsidRDefault="00F45BC3" w:rsidP="0048194C">
      <w:pPr>
        <w:widowControl w:val="0"/>
        <w:numPr>
          <w:ilvl w:val="0"/>
          <w:numId w:val="25"/>
        </w:numPr>
        <w:autoSpaceDE w:val="0"/>
        <w:autoSpaceDN w:val="0"/>
        <w:ind w:left="720"/>
        <w:jc w:val="both"/>
        <w:rPr>
          <w:sz w:val="22"/>
          <w:szCs w:val="22"/>
        </w:rPr>
      </w:pPr>
      <w:r w:rsidRPr="00F45BC3">
        <w:rPr>
          <w:sz w:val="22"/>
          <w:szCs w:val="22"/>
        </w:rPr>
        <w:t>In the current interest rate</w:t>
      </w:r>
      <w:r w:rsidRPr="00F45BC3">
        <w:rPr>
          <w:spacing w:val="-1"/>
          <w:sz w:val="22"/>
          <w:szCs w:val="22"/>
        </w:rPr>
        <w:t xml:space="preserve"> </w:t>
      </w:r>
      <w:r w:rsidRPr="00F45BC3">
        <w:rPr>
          <w:sz w:val="22"/>
          <w:szCs w:val="22"/>
        </w:rPr>
        <w:t>environment,</w:t>
      </w:r>
      <w:r w:rsidRPr="00F45BC3">
        <w:rPr>
          <w:spacing w:val="-1"/>
          <w:sz w:val="22"/>
          <w:szCs w:val="22"/>
        </w:rPr>
        <w:t xml:space="preserve"> </w:t>
      </w:r>
      <w:r w:rsidRPr="00F45BC3">
        <w:rPr>
          <w:sz w:val="22"/>
          <w:szCs w:val="22"/>
        </w:rPr>
        <w:t>the fair value</w:t>
      </w:r>
      <w:r w:rsidRPr="00F45BC3">
        <w:rPr>
          <w:spacing w:val="-1"/>
          <w:sz w:val="22"/>
          <w:szCs w:val="22"/>
        </w:rPr>
        <w:t xml:space="preserve"> </w:t>
      </w:r>
      <w:r w:rsidRPr="00F45BC3">
        <w:rPr>
          <w:sz w:val="22"/>
          <w:szCs w:val="22"/>
        </w:rPr>
        <w:t>of many bonds</w:t>
      </w:r>
      <w:r w:rsidRPr="00F45BC3">
        <w:rPr>
          <w:spacing w:val="-1"/>
          <w:sz w:val="22"/>
          <w:szCs w:val="22"/>
        </w:rPr>
        <w:t xml:space="preserve"> </w:t>
      </w:r>
      <w:r w:rsidRPr="00F45BC3">
        <w:rPr>
          <w:sz w:val="22"/>
          <w:szCs w:val="22"/>
        </w:rPr>
        <w:t>is below book value. For example,</w:t>
      </w:r>
      <w:r w:rsidRPr="00F45BC3">
        <w:rPr>
          <w:spacing w:val="-1"/>
          <w:sz w:val="22"/>
          <w:szCs w:val="22"/>
        </w:rPr>
        <w:t xml:space="preserve"> </w:t>
      </w:r>
      <w:r w:rsidRPr="00F45BC3">
        <w:rPr>
          <w:sz w:val="22"/>
          <w:szCs w:val="22"/>
        </w:rPr>
        <w:t>a bond</w:t>
      </w:r>
      <w:r w:rsidRPr="00F45BC3">
        <w:rPr>
          <w:spacing w:val="-6"/>
          <w:sz w:val="22"/>
          <w:szCs w:val="22"/>
        </w:rPr>
        <w:t xml:space="preserve"> </w:t>
      </w:r>
      <w:r w:rsidRPr="00F45BC3">
        <w:rPr>
          <w:sz w:val="22"/>
          <w:szCs w:val="22"/>
        </w:rPr>
        <w:t>with</w:t>
      </w:r>
      <w:r w:rsidRPr="00F45BC3">
        <w:rPr>
          <w:spacing w:val="-6"/>
          <w:sz w:val="22"/>
          <w:szCs w:val="22"/>
        </w:rPr>
        <w:t xml:space="preserve"> </w:t>
      </w:r>
      <w:r w:rsidRPr="00F45BC3">
        <w:rPr>
          <w:sz w:val="22"/>
          <w:szCs w:val="22"/>
        </w:rPr>
        <w:t>an</w:t>
      </w:r>
      <w:r w:rsidRPr="00F45BC3">
        <w:rPr>
          <w:spacing w:val="-8"/>
          <w:sz w:val="22"/>
          <w:szCs w:val="22"/>
        </w:rPr>
        <w:t xml:space="preserve"> </w:t>
      </w:r>
      <w:r w:rsidRPr="00F45BC3">
        <w:rPr>
          <w:sz w:val="22"/>
          <w:szCs w:val="22"/>
        </w:rPr>
        <w:t>amortized</w:t>
      </w:r>
      <w:r w:rsidRPr="00F45BC3">
        <w:rPr>
          <w:spacing w:val="-6"/>
          <w:sz w:val="22"/>
          <w:szCs w:val="22"/>
        </w:rPr>
        <w:t xml:space="preserve"> </w:t>
      </w:r>
      <w:r w:rsidRPr="00F45BC3">
        <w:rPr>
          <w:sz w:val="22"/>
          <w:szCs w:val="22"/>
        </w:rPr>
        <w:t>cost</w:t>
      </w:r>
      <w:r w:rsidRPr="00F45BC3">
        <w:rPr>
          <w:spacing w:val="-5"/>
          <w:sz w:val="22"/>
          <w:szCs w:val="22"/>
        </w:rPr>
        <w:t xml:space="preserve"> </w:t>
      </w:r>
      <w:r w:rsidRPr="00F45BC3">
        <w:rPr>
          <w:sz w:val="22"/>
          <w:szCs w:val="22"/>
        </w:rPr>
        <w:t>of</w:t>
      </w:r>
      <w:r w:rsidRPr="00F45BC3">
        <w:rPr>
          <w:spacing w:val="-5"/>
          <w:sz w:val="22"/>
          <w:szCs w:val="22"/>
        </w:rPr>
        <w:t xml:space="preserve"> $</w:t>
      </w:r>
      <w:r w:rsidRPr="00F45BC3">
        <w:rPr>
          <w:sz w:val="22"/>
          <w:szCs w:val="22"/>
        </w:rPr>
        <w:t>100</w:t>
      </w:r>
      <w:r w:rsidRPr="00F45BC3">
        <w:rPr>
          <w:spacing w:val="-6"/>
          <w:sz w:val="22"/>
          <w:szCs w:val="22"/>
        </w:rPr>
        <w:t xml:space="preserve"> </w:t>
      </w:r>
      <w:r w:rsidRPr="00F45BC3">
        <w:rPr>
          <w:sz w:val="22"/>
          <w:szCs w:val="22"/>
        </w:rPr>
        <w:t>with</w:t>
      </w:r>
      <w:r w:rsidRPr="00F45BC3">
        <w:rPr>
          <w:spacing w:val="-6"/>
          <w:sz w:val="22"/>
          <w:szCs w:val="22"/>
        </w:rPr>
        <w:t xml:space="preserve"> </w:t>
      </w:r>
      <w:r w:rsidRPr="00F45BC3">
        <w:rPr>
          <w:sz w:val="22"/>
          <w:szCs w:val="22"/>
        </w:rPr>
        <w:t>a</w:t>
      </w:r>
      <w:r w:rsidRPr="00F45BC3">
        <w:rPr>
          <w:spacing w:val="-8"/>
          <w:sz w:val="22"/>
          <w:szCs w:val="22"/>
        </w:rPr>
        <w:t xml:space="preserve"> </w:t>
      </w:r>
      <w:r w:rsidRPr="00F45BC3">
        <w:rPr>
          <w:sz w:val="22"/>
          <w:szCs w:val="22"/>
        </w:rPr>
        <w:t>fair</w:t>
      </w:r>
      <w:r w:rsidRPr="00F45BC3">
        <w:rPr>
          <w:spacing w:val="-5"/>
          <w:sz w:val="22"/>
          <w:szCs w:val="22"/>
        </w:rPr>
        <w:t xml:space="preserve"> </w:t>
      </w:r>
      <w:r w:rsidRPr="00F45BC3">
        <w:rPr>
          <w:sz w:val="22"/>
          <w:szCs w:val="22"/>
        </w:rPr>
        <w:t>value</w:t>
      </w:r>
      <w:r w:rsidRPr="00F45BC3">
        <w:rPr>
          <w:spacing w:val="-6"/>
          <w:sz w:val="22"/>
          <w:szCs w:val="22"/>
        </w:rPr>
        <w:t xml:space="preserve"> </w:t>
      </w:r>
      <w:r w:rsidRPr="00F45BC3">
        <w:rPr>
          <w:sz w:val="22"/>
          <w:szCs w:val="22"/>
        </w:rPr>
        <w:t>of</w:t>
      </w:r>
      <w:r w:rsidRPr="00F45BC3">
        <w:rPr>
          <w:spacing w:val="-8"/>
          <w:sz w:val="22"/>
          <w:szCs w:val="22"/>
        </w:rPr>
        <w:t xml:space="preserve"> $</w:t>
      </w:r>
      <w:r w:rsidRPr="00F45BC3">
        <w:rPr>
          <w:sz w:val="22"/>
          <w:szCs w:val="22"/>
        </w:rPr>
        <w:t>85.</w:t>
      </w:r>
      <w:r w:rsidRPr="00F45BC3">
        <w:rPr>
          <w:spacing w:val="-6"/>
          <w:sz w:val="22"/>
          <w:szCs w:val="22"/>
        </w:rPr>
        <w:t xml:space="preserve"> </w:t>
      </w:r>
      <w:r w:rsidRPr="00F45BC3">
        <w:rPr>
          <w:sz w:val="22"/>
          <w:szCs w:val="22"/>
        </w:rPr>
        <w:t>The</w:t>
      </w:r>
      <w:r w:rsidRPr="00F45BC3">
        <w:rPr>
          <w:spacing w:val="-6"/>
          <w:sz w:val="22"/>
          <w:szCs w:val="22"/>
        </w:rPr>
        <w:t xml:space="preserve"> </w:t>
      </w:r>
      <w:r w:rsidRPr="00F45BC3">
        <w:rPr>
          <w:sz w:val="22"/>
          <w:szCs w:val="22"/>
        </w:rPr>
        <w:t>way</w:t>
      </w:r>
      <w:r w:rsidRPr="00F45BC3">
        <w:rPr>
          <w:spacing w:val="-6"/>
          <w:sz w:val="22"/>
          <w:szCs w:val="22"/>
        </w:rPr>
        <w:t xml:space="preserve"> </w:t>
      </w:r>
      <w:r w:rsidRPr="00F45BC3">
        <w:rPr>
          <w:sz w:val="22"/>
          <w:szCs w:val="22"/>
        </w:rPr>
        <w:t>INT</w:t>
      </w:r>
      <w:r w:rsidRPr="00F45BC3">
        <w:rPr>
          <w:spacing w:val="-7"/>
          <w:sz w:val="22"/>
          <w:szCs w:val="22"/>
        </w:rPr>
        <w:t xml:space="preserve"> </w:t>
      </w:r>
      <w:r w:rsidRPr="00F45BC3">
        <w:rPr>
          <w:sz w:val="22"/>
          <w:szCs w:val="22"/>
        </w:rPr>
        <w:t>03-02</w:t>
      </w:r>
      <w:r w:rsidRPr="00F45BC3">
        <w:rPr>
          <w:spacing w:val="-6"/>
          <w:sz w:val="22"/>
          <w:szCs w:val="22"/>
        </w:rPr>
        <w:t xml:space="preserve"> </w:t>
      </w:r>
      <w:r w:rsidRPr="00F45BC3">
        <w:rPr>
          <w:sz w:val="22"/>
          <w:szCs w:val="22"/>
        </w:rPr>
        <w:t>is</w:t>
      </w:r>
      <w:r w:rsidRPr="00F45BC3">
        <w:rPr>
          <w:spacing w:val="-8"/>
          <w:sz w:val="22"/>
          <w:szCs w:val="22"/>
        </w:rPr>
        <w:t xml:space="preserve"> </w:t>
      </w:r>
      <w:r w:rsidRPr="00F45BC3">
        <w:rPr>
          <w:sz w:val="22"/>
          <w:szCs w:val="22"/>
        </w:rPr>
        <w:t>written</w:t>
      </w:r>
      <w:r w:rsidRPr="00F45BC3">
        <w:rPr>
          <w:spacing w:val="-9"/>
          <w:sz w:val="22"/>
          <w:szCs w:val="22"/>
        </w:rPr>
        <w:t xml:space="preserve"> </w:t>
      </w:r>
      <w:r w:rsidRPr="00F45BC3">
        <w:rPr>
          <w:sz w:val="22"/>
          <w:szCs w:val="22"/>
        </w:rPr>
        <w:t>a</w:t>
      </w:r>
      <w:r w:rsidRPr="00F45BC3">
        <w:rPr>
          <w:spacing w:val="-6"/>
          <w:sz w:val="22"/>
          <w:szCs w:val="22"/>
        </w:rPr>
        <w:t xml:space="preserve"> </w:t>
      </w:r>
      <w:r w:rsidRPr="00F45BC3">
        <w:rPr>
          <w:sz w:val="22"/>
          <w:szCs w:val="22"/>
        </w:rPr>
        <w:t>bond</w:t>
      </w:r>
      <w:r w:rsidRPr="00F45BC3">
        <w:rPr>
          <w:spacing w:val="-6"/>
          <w:sz w:val="22"/>
          <w:szCs w:val="22"/>
        </w:rPr>
        <w:t xml:space="preserve"> </w:t>
      </w:r>
      <w:r w:rsidRPr="00F45BC3">
        <w:rPr>
          <w:sz w:val="22"/>
          <w:szCs w:val="22"/>
        </w:rPr>
        <w:t>with</w:t>
      </w:r>
      <w:r w:rsidRPr="00F45BC3">
        <w:rPr>
          <w:spacing w:val="-6"/>
          <w:sz w:val="22"/>
          <w:szCs w:val="22"/>
        </w:rPr>
        <w:t xml:space="preserve"> </w:t>
      </w:r>
      <w:r w:rsidRPr="00F45BC3">
        <w:rPr>
          <w:sz w:val="22"/>
          <w:szCs w:val="22"/>
        </w:rPr>
        <w:t>a</w:t>
      </w:r>
      <w:r w:rsidRPr="00F45BC3">
        <w:rPr>
          <w:spacing w:val="-6"/>
          <w:sz w:val="22"/>
          <w:szCs w:val="22"/>
        </w:rPr>
        <w:t xml:space="preserve"> </w:t>
      </w:r>
      <w:r w:rsidRPr="00F45BC3">
        <w:rPr>
          <w:sz w:val="22"/>
          <w:szCs w:val="22"/>
        </w:rPr>
        <w:t>fair value</w:t>
      </w:r>
      <w:r w:rsidRPr="00F45BC3">
        <w:rPr>
          <w:spacing w:val="-2"/>
          <w:sz w:val="22"/>
          <w:szCs w:val="22"/>
        </w:rPr>
        <w:t xml:space="preserve"> </w:t>
      </w:r>
      <w:r w:rsidRPr="00F45BC3">
        <w:rPr>
          <w:sz w:val="22"/>
          <w:szCs w:val="22"/>
        </w:rPr>
        <w:t>of 85</w:t>
      </w:r>
      <w:r w:rsidRPr="00F45BC3">
        <w:rPr>
          <w:spacing w:val="-2"/>
          <w:sz w:val="22"/>
          <w:szCs w:val="22"/>
        </w:rPr>
        <w:t xml:space="preserve"> </w:t>
      </w:r>
      <w:r w:rsidRPr="00F45BC3">
        <w:rPr>
          <w:sz w:val="22"/>
          <w:szCs w:val="22"/>
        </w:rPr>
        <w:t>could</w:t>
      </w:r>
      <w:r w:rsidRPr="00F45BC3">
        <w:rPr>
          <w:spacing w:val="-2"/>
          <w:sz w:val="22"/>
          <w:szCs w:val="22"/>
        </w:rPr>
        <w:t xml:space="preserve"> </w:t>
      </w:r>
      <w:r w:rsidRPr="00F45BC3">
        <w:rPr>
          <w:sz w:val="22"/>
          <w:szCs w:val="22"/>
        </w:rPr>
        <w:t>be</w:t>
      </w:r>
      <w:r w:rsidRPr="00F45BC3">
        <w:rPr>
          <w:spacing w:val="-2"/>
          <w:sz w:val="22"/>
          <w:szCs w:val="22"/>
        </w:rPr>
        <w:t xml:space="preserve"> </w:t>
      </w:r>
      <w:r w:rsidRPr="00F45BC3">
        <w:rPr>
          <w:sz w:val="22"/>
          <w:szCs w:val="22"/>
        </w:rPr>
        <w:t>used</w:t>
      </w:r>
      <w:r w:rsidRPr="00F45BC3">
        <w:rPr>
          <w:spacing w:val="-2"/>
          <w:sz w:val="22"/>
          <w:szCs w:val="22"/>
        </w:rPr>
        <w:t xml:space="preserve"> </w:t>
      </w:r>
      <w:r w:rsidRPr="00F45BC3">
        <w:rPr>
          <w:sz w:val="22"/>
          <w:szCs w:val="22"/>
        </w:rPr>
        <w:t>to settle</w:t>
      </w:r>
      <w:r w:rsidRPr="00F45BC3">
        <w:rPr>
          <w:spacing w:val="-2"/>
          <w:sz w:val="22"/>
          <w:szCs w:val="22"/>
        </w:rPr>
        <w:t xml:space="preserve"> </w:t>
      </w:r>
      <w:r w:rsidRPr="00F45BC3">
        <w:rPr>
          <w:sz w:val="22"/>
          <w:szCs w:val="22"/>
        </w:rPr>
        <w:t>an</w:t>
      </w:r>
      <w:r w:rsidRPr="00F45BC3">
        <w:rPr>
          <w:spacing w:val="-2"/>
          <w:sz w:val="22"/>
          <w:szCs w:val="22"/>
        </w:rPr>
        <w:t xml:space="preserve"> </w:t>
      </w:r>
      <w:r w:rsidRPr="00F45BC3">
        <w:rPr>
          <w:sz w:val="22"/>
          <w:szCs w:val="22"/>
        </w:rPr>
        <w:t>intercompany</w:t>
      </w:r>
      <w:r w:rsidRPr="00F45BC3">
        <w:rPr>
          <w:spacing w:val="-2"/>
          <w:sz w:val="22"/>
          <w:szCs w:val="22"/>
        </w:rPr>
        <w:t xml:space="preserve"> </w:t>
      </w:r>
      <w:r w:rsidRPr="00F45BC3">
        <w:rPr>
          <w:sz w:val="22"/>
          <w:szCs w:val="22"/>
        </w:rPr>
        <w:t>reinsurance</w:t>
      </w:r>
      <w:r w:rsidRPr="00F45BC3">
        <w:rPr>
          <w:spacing w:val="-2"/>
          <w:sz w:val="22"/>
          <w:szCs w:val="22"/>
        </w:rPr>
        <w:t xml:space="preserve"> </w:t>
      </w:r>
      <w:r w:rsidRPr="00F45BC3">
        <w:rPr>
          <w:sz w:val="22"/>
          <w:szCs w:val="22"/>
        </w:rPr>
        <w:t>pooling obligation of</w:t>
      </w:r>
      <w:r w:rsidRPr="00F45BC3">
        <w:rPr>
          <w:spacing w:val="-1"/>
          <w:sz w:val="22"/>
          <w:szCs w:val="22"/>
        </w:rPr>
        <w:t xml:space="preserve"> $</w:t>
      </w:r>
      <w:r w:rsidRPr="00F45BC3">
        <w:rPr>
          <w:sz w:val="22"/>
          <w:szCs w:val="22"/>
        </w:rPr>
        <w:t>100.</w:t>
      </w:r>
      <w:r w:rsidRPr="00F45BC3">
        <w:rPr>
          <w:spacing w:val="-2"/>
          <w:sz w:val="22"/>
          <w:szCs w:val="22"/>
        </w:rPr>
        <w:t xml:space="preserve"> </w:t>
      </w:r>
      <w:r w:rsidRPr="00F45BC3">
        <w:rPr>
          <w:sz w:val="22"/>
          <w:szCs w:val="22"/>
        </w:rPr>
        <w:t>If</w:t>
      </w:r>
      <w:r w:rsidRPr="00F45BC3">
        <w:rPr>
          <w:spacing w:val="-1"/>
          <w:sz w:val="22"/>
          <w:szCs w:val="22"/>
        </w:rPr>
        <w:t xml:space="preserve"> </w:t>
      </w:r>
      <w:r w:rsidRPr="00F45BC3">
        <w:rPr>
          <w:sz w:val="22"/>
          <w:szCs w:val="22"/>
        </w:rPr>
        <w:t>the</w:t>
      </w:r>
      <w:r w:rsidRPr="00F45BC3">
        <w:rPr>
          <w:spacing w:val="-2"/>
          <w:sz w:val="22"/>
          <w:szCs w:val="22"/>
        </w:rPr>
        <w:t xml:space="preserve"> </w:t>
      </w:r>
      <w:r w:rsidRPr="00F45BC3">
        <w:rPr>
          <w:sz w:val="22"/>
          <w:szCs w:val="22"/>
        </w:rPr>
        <w:t>reporting entity paid with</w:t>
      </w:r>
      <w:r w:rsidRPr="00F45BC3">
        <w:rPr>
          <w:spacing w:val="-2"/>
          <w:sz w:val="22"/>
          <w:szCs w:val="22"/>
        </w:rPr>
        <w:t xml:space="preserve"> </w:t>
      </w:r>
      <w:r w:rsidRPr="00F45BC3">
        <w:rPr>
          <w:sz w:val="22"/>
          <w:szCs w:val="22"/>
        </w:rPr>
        <w:t>cash,</w:t>
      </w:r>
      <w:r w:rsidRPr="00F45BC3">
        <w:rPr>
          <w:spacing w:val="-2"/>
          <w:sz w:val="22"/>
          <w:szCs w:val="22"/>
        </w:rPr>
        <w:t xml:space="preserve"> </w:t>
      </w:r>
      <w:r w:rsidRPr="00F45BC3">
        <w:rPr>
          <w:sz w:val="22"/>
          <w:szCs w:val="22"/>
        </w:rPr>
        <w:t>they would be</w:t>
      </w:r>
      <w:r w:rsidRPr="00F45BC3">
        <w:rPr>
          <w:spacing w:val="-2"/>
          <w:sz w:val="22"/>
          <w:szCs w:val="22"/>
        </w:rPr>
        <w:t xml:space="preserve"> </w:t>
      </w:r>
      <w:r w:rsidRPr="00F45BC3">
        <w:rPr>
          <w:sz w:val="22"/>
          <w:szCs w:val="22"/>
        </w:rPr>
        <w:t>required to pay $100. The actual cash value of obligations when they are extinguished is a relevant measure of the transaction.</w:t>
      </w:r>
    </w:p>
    <w:p w14:paraId="486C9D84" w14:textId="77777777" w:rsidR="00F45BC3" w:rsidRPr="00F45BC3" w:rsidRDefault="00F45BC3" w:rsidP="0048194C">
      <w:pPr>
        <w:autoSpaceDE w:val="0"/>
        <w:autoSpaceDN w:val="0"/>
        <w:ind w:left="720" w:hanging="360"/>
        <w:jc w:val="both"/>
        <w:rPr>
          <w:sz w:val="22"/>
          <w:szCs w:val="22"/>
        </w:rPr>
      </w:pPr>
    </w:p>
    <w:p w14:paraId="09E3AFF7" w14:textId="458DB2DE"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 xml:space="preserve">If a bond was transferred at market value </w:t>
      </w:r>
      <w:proofErr w:type="gramStart"/>
      <w:r w:rsidRPr="00F45BC3">
        <w:rPr>
          <w:i/>
          <w:iCs/>
          <w:color w:val="000000" w:themeColor="text1"/>
          <w:sz w:val="22"/>
          <w:szCs w:val="22"/>
        </w:rPr>
        <w:t>in order to</w:t>
      </w:r>
      <w:proofErr w:type="gramEnd"/>
      <w:r w:rsidRPr="00F45BC3">
        <w:rPr>
          <w:i/>
          <w:iCs/>
          <w:color w:val="000000" w:themeColor="text1"/>
          <w:sz w:val="22"/>
          <w:szCs w:val="22"/>
        </w:rPr>
        <w:t xml:space="preserve"> settle the $100 pooling obligation as proposed by NAIC staff in the example above, a bond with a fair value of $100 would have to be used to settle the obligation.</w:t>
      </w:r>
      <w:r w:rsidR="00837CEC">
        <w:rPr>
          <w:i/>
          <w:iCs/>
          <w:color w:val="000000" w:themeColor="text1"/>
          <w:sz w:val="22"/>
          <w:szCs w:val="22"/>
        </w:rPr>
        <w:t xml:space="preserve"> </w:t>
      </w:r>
      <w:proofErr w:type="gramStart"/>
      <w:r w:rsidRPr="00F45BC3">
        <w:rPr>
          <w:i/>
          <w:iCs/>
          <w:color w:val="000000" w:themeColor="text1"/>
          <w:sz w:val="22"/>
          <w:szCs w:val="22"/>
        </w:rPr>
        <w:t>In the event that</w:t>
      </w:r>
      <w:proofErr w:type="gramEnd"/>
      <w:r w:rsidRPr="00F45BC3">
        <w:rPr>
          <w:i/>
          <w:iCs/>
          <w:color w:val="000000" w:themeColor="text1"/>
          <w:sz w:val="22"/>
          <w:szCs w:val="22"/>
        </w:rPr>
        <w:t xml:space="preserve"> the bond was in an unrealized loss position at the time of the transfer, a realized loss would be recognized on the transferring entity’s books and the combined pool’s books. To avoid this situation, a legal entity could use cash to settle the obligation, but the use of such cash may not be the most efficient use of the transferring entity’s resources.</w:t>
      </w:r>
    </w:p>
    <w:p w14:paraId="7EE2567E" w14:textId="77777777" w:rsidR="00F45BC3" w:rsidRPr="00F45BC3" w:rsidRDefault="00F45BC3" w:rsidP="0048194C">
      <w:pPr>
        <w:autoSpaceDE w:val="0"/>
        <w:autoSpaceDN w:val="0"/>
        <w:ind w:left="720" w:hanging="360"/>
        <w:jc w:val="both"/>
        <w:rPr>
          <w:i/>
          <w:iCs/>
          <w:color w:val="000000" w:themeColor="text1"/>
          <w:sz w:val="22"/>
          <w:szCs w:val="22"/>
        </w:rPr>
      </w:pPr>
    </w:p>
    <w:p w14:paraId="4C1D0FB7" w14:textId="77777777"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 xml:space="preserve">If the bond was transferred at FV as proposed by NAIC staff but the bond was in an unrealized gain position, a more significant issue would arise. Realized gains would be recorded in the financial statements of the transferring entity, thus resulting in an initial gain in surplus at the legal entity level of reporting as part of the intercompany pooling modification </w:t>
      </w:r>
      <w:r w:rsidRPr="00F45BC3">
        <w:rPr>
          <w:b/>
          <w:bCs/>
          <w:i/>
          <w:iCs/>
          <w:color w:val="000000" w:themeColor="text1"/>
          <w:sz w:val="22"/>
          <w:szCs w:val="22"/>
        </w:rPr>
        <w:t>and requiring the intercompany pooling reinsurance to be accounted for as retroactive reinsurance</w:t>
      </w:r>
      <w:r w:rsidRPr="00F45BC3">
        <w:rPr>
          <w:i/>
          <w:iCs/>
          <w:color w:val="000000" w:themeColor="text1"/>
          <w:sz w:val="22"/>
          <w:szCs w:val="22"/>
        </w:rPr>
        <w:t>.</w:t>
      </w:r>
    </w:p>
    <w:p w14:paraId="11F0C7B5" w14:textId="77777777" w:rsidR="00F45BC3" w:rsidRPr="00F45BC3" w:rsidRDefault="00F45BC3" w:rsidP="0048194C">
      <w:pPr>
        <w:autoSpaceDE w:val="0"/>
        <w:autoSpaceDN w:val="0"/>
        <w:ind w:left="720" w:hanging="360"/>
        <w:jc w:val="both"/>
        <w:rPr>
          <w:i/>
          <w:iCs/>
          <w:color w:val="000000" w:themeColor="text1"/>
          <w:sz w:val="22"/>
          <w:szCs w:val="22"/>
        </w:rPr>
      </w:pPr>
    </w:p>
    <w:p w14:paraId="5D2A37A1" w14:textId="77777777"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There are extreme anomalies with transferring bonds at market value, as illustrated above.</w:t>
      </w:r>
    </w:p>
    <w:p w14:paraId="37A50344" w14:textId="77777777" w:rsidR="00F45BC3" w:rsidRPr="00F45BC3" w:rsidRDefault="00F45BC3" w:rsidP="0048194C">
      <w:pPr>
        <w:autoSpaceDE w:val="0"/>
        <w:autoSpaceDN w:val="0"/>
        <w:ind w:left="720" w:hanging="360"/>
        <w:jc w:val="both"/>
        <w:rPr>
          <w:color w:val="FF0000"/>
          <w:sz w:val="22"/>
          <w:szCs w:val="22"/>
        </w:rPr>
      </w:pPr>
    </w:p>
    <w:p w14:paraId="507B1122" w14:textId="77777777" w:rsidR="00F45BC3" w:rsidRPr="00F45BC3" w:rsidRDefault="00F45BC3" w:rsidP="0048194C">
      <w:pPr>
        <w:widowControl w:val="0"/>
        <w:numPr>
          <w:ilvl w:val="0"/>
          <w:numId w:val="25"/>
        </w:numPr>
        <w:autoSpaceDE w:val="0"/>
        <w:autoSpaceDN w:val="0"/>
        <w:ind w:left="720"/>
        <w:jc w:val="both"/>
        <w:rPr>
          <w:sz w:val="22"/>
          <w:szCs w:val="22"/>
        </w:rPr>
      </w:pPr>
      <w:r w:rsidRPr="00F45BC3">
        <w:rPr>
          <w:sz w:val="22"/>
          <w:szCs w:val="22"/>
        </w:rPr>
        <w:t>Using book value for measurement of payments between affiliates can result in either unrecognized [gains or losses] of in effect</w:t>
      </w:r>
      <w:r w:rsidRPr="00F45BC3">
        <w:rPr>
          <w:spacing w:val="-6"/>
          <w:sz w:val="22"/>
          <w:szCs w:val="22"/>
        </w:rPr>
        <w:t xml:space="preserve"> </w:t>
      </w:r>
      <w:r w:rsidRPr="00F45BC3">
        <w:rPr>
          <w:sz w:val="22"/>
          <w:szCs w:val="22"/>
        </w:rPr>
        <w:t>dividend</w:t>
      </w:r>
      <w:r w:rsidRPr="00F45BC3">
        <w:rPr>
          <w:spacing w:val="-5"/>
          <w:sz w:val="22"/>
          <w:szCs w:val="22"/>
        </w:rPr>
        <w:t xml:space="preserve"> </w:t>
      </w:r>
      <w:r w:rsidRPr="00F45BC3">
        <w:rPr>
          <w:sz w:val="22"/>
          <w:szCs w:val="22"/>
        </w:rPr>
        <w:t>or</w:t>
      </w:r>
      <w:r w:rsidRPr="00F45BC3">
        <w:rPr>
          <w:spacing w:val="-6"/>
          <w:sz w:val="22"/>
          <w:szCs w:val="22"/>
        </w:rPr>
        <w:t xml:space="preserve"> </w:t>
      </w:r>
      <w:r w:rsidRPr="00F45BC3">
        <w:rPr>
          <w:sz w:val="22"/>
          <w:szCs w:val="22"/>
        </w:rPr>
        <w:t>losses.</w:t>
      </w:r>
      <w:r w:rsidRPr="00F45BC3">
        <w:rPr>
          <w:spacing w:val="-5"/>
          <w:sz w:val="22"/>
          <w:szCs w:val="22"/>
        </w:rPr>
        <w:t xml:space="preserve"> </w:t>
      </w:r>
      <w:r w:rsidRPr="00F45BC3">
        <w:rPr>
          <w:sz w:val="22"/>
          <w:szCs w:val="22"/>
        </w:rPr>
        <w:t>SSAP</w:t>
      </w:r>
      <w:r w:rsidRPr="00F45BC3">
        <w:rPr>
          <w:spacing w:val="-5"/>
          <w:sz w:val="22"/>
          <w:szCs w:val="22"/>
        </w:rPr>
        <w:t xml:space="preserve"> </w:t>
      </w:r>
      <w:r w:rsidRPr="00F45BC3">
        <w:rPr>
          <w:sz w:val="22"/>
          <w:szCs w:val="22"/>
        </w:rPr>
        <w:t>No.</w:t>
      </w:r>
      <w:r w:rsidRPr="00F45BC3">
        <w:rPr>
          <w:spacing w:val="-5"/>
          <w:sz w:val="22"/>
          <w:szCs w:val="22"/>
        </w:rPr>
        <w:t xml:space="preserve"> </w:t>
      </w:r>
      <w:r w:rsidRPr="00F45BC3">
        <w:rPr>
          <w:sz w:val="22"/>
          <w:szCs w:val="22"/>
        </w:rPr>
        <w:t>25</w:t>
      </w:r>
      <w:r w:rsidRPr="00F45BC3">
        <w:rPr>
          <w:spacing w:val="-5"/>
          <w:sz w:val="22"/>
          <w:szCs w:val="22"/>
        </w:rPr>
        <w:t xml:space="preserve"> </w:t>
      </w:r>
      <w:r w:rsidRPr="00F45BC3">
        <w:rPr>
          <w:sz w:val="22"/>
          <w:szCs w:val="22"/>
        </w:rPr>
        <w:t>requires</w:t>
      </w:r>
      <w:r w:rsidRPr="00F45BC3">
        <w:rPr>
          <w:spacing w:val="-4"/>
          <w:sz w:val="22"/>
          <w:szCs w:val="22"/>
        </w:rPr>
        <w:t xml:space="preserve"> </w:t>
      </w:r>
      <w:r w:rsidRPr="00F45BC3">
        <w:rPr>
          <w:sz w:val="22"/>
          <w:szCs w:val="22"/>
        </w:rPr>
        <w:t>such</w:t>
      </w:r>
      <w:r w:rsidRPr="00F45BC3">
        <w:rPr>
          <w:spacing w:val="-7"/>
          <w:sz w:val="22"/>
          <w:szCs w:val="22"/>
        </w:rPr>
        <w:t xml:space="preserve"> </w:t>
      </w:r>
      <w:r w:rsidRPr="00F45BC3">
        <w:rPr>
          <w:sz w:val="22"/>
          <w:szCs w:val="22"/>
        </w:rPr>
        <w:t>transfers</w:t>
      </w:r>
      <w:r w:rsidRPr="00F45BC3">
        <w:rPr>
          <w:spacing w:val="-7"/>
          <w:sz w:val="22"/>
          <w:szCs w:val="22"/>
        </w:rPr>
        <w:t xml:space="preserve"> </w:t>
      </w:r>
      <w:r w:rsidRPr="00F45BC3">
        <w:rPr>
          <w:sz w:val="22"/>
          <w:szCs w:val="22"/>
        </w:rPr>
        <w:t>of</w:t>
      </w:r>
      <w:r w:rsidRPr="00F45BC3">
        <w:rPr>
          <w:spacing w:val="-6"/>
          <w:sz w:val="22"/>
          <w:szCs w:val="22"/>
        </w:rPr>
        <w:t xml:space="preserve"> </w:t>
      </w:r>
      <w:r w:rsidRPr="00F45BC3">
        <w:rPr>
          <w:sz w:val="22"/>
          <w:szCs w:val="22"/>
        </w:rPr>
        <w:t>assets</w:t>
      </w:r>
      <w:r w:rsidRPr="00F45BC3">
        <w:rPr>
          <w:spacing w:val="-4"/>
          <w:sz w:val="22"/>
          <w:szCs w:val="22"/>
        </w:rPr>
        <w:t xml:space="preserve"> </w:t>
      </w:r>
      <w:r w:rsidRPr="00F45BC3">
        <w:rPr>
          <w:sz w:val="22"/>
          <w:szCs w:val="22"/>
        </w:rPr>
        <w:t>between</w:t>
      </w:r>
      <w:r w:rsidRPr="00F45BC3">
        <w:rPr>
          <w:spacing w:val="-5"/>
          <w:sz w:val="22"/>
          <w:szCs w:val="22"/>
        </w:rPr>
        <w:t xml:space="preserve"> </w:t>
      </w:r>
      <w:r w:rsidRPr="00F45BC3">
        <w:rPr>
          <w:sz w:val="22"/>
          <w:szCs w:val="22"/>
        </w:rPr>
        <w:t>affiliates</w:t>
      </w:r>
      <w:r w:rsidRPr="00F45BC3">
        <w:rPr>
          <w:spacing w:val="-4"/>
          <w:sz w:val="22"/>
          <w:szCs w:val="22"/>
        </w:rPr>
        <w:t xml:space="preserve"> </w:t>
      </w:r>
      <w:r w:rsidRPr="00F45BC3">
        <w:rPr>
          <w:sz w:val="22"/>
          <w:szCs w:val="22"/>
        </w:rPr>
        <w:t>to</w:t>
      </w:r>
      <w:r w:rsidRPr="00F45BC3">
        <w:rPr>
          <w:spacing w:val="-5"/>
          <w:sz w:val="22"/>
          <w:szCs w:val="22"/>
        </w:rPr>
        <w:t xml:space="preserve"> </w:t>
      </w:r>
      <w:r w:rsidRPr="00F45BC3">
        <w:rPr>
          <w:sz w:val="22"/>
          <w:szCs w:val="22"/>
        </w:rPr>
        <w:t>use</w:t>
      </w:r>
      <w:r w:rsidRPr="00F45BC3">
        <w:rPr>
          <w:spacing w:val="-4"/>
          <w:sz w:val="22"/>
          <w:szCs w:val="22"/>
        </w:rPr>
        <w:t xml:space="preserve"> </w:t>
      </w:r>
      <w:r w:rsidRPr="00F45BC3">
        <w:rPr>
          <w:sz w:val="22"/>
          <w:szCs w:val="22"/>
        </w:rPr>
        <w:t>fair</w:t>
      </w:r>
      <w:r w:rsidRPr="00F45BC3">
        <w:rPr>
          <w:spacing w:val="-4"/>
          <w:sz w:val="22"/>
          <w:szCs w:val="22"/>
        </w:rPr>
        <w:t xml:space="preserve"> </w:t>
      </w:r>
      <w:r w:rsidRPr="00F45BC3">
        <w:rPr>
          <w:sz w:val="22"/>
          <w:szCs w:val="22"/>
        </w:rPr>
        <w:t>value. If a subsidiary can pay the parent with assets that have a lower fair value than book value (ex, owes $100 but pays with a bond of 85), this has a similar effect as an unrecognized capital contribution to the subsidiary. SSAP No. 72 requires a capital contribution to be valued using fair value.</w:t>
      </w:r>
    </w:p>
    <w:p w14:paraId="1C4D1F7E" w14:textId="77777777" w:rsidR="00F45BC3" w:rsidRPr="00F45BC3" w:rsidRDefault="00F45BC3" w:rsidP="0048194C">
      <w:pPr>
        <w:autoSpaceDE w:val="0"/>
        <w:autoSpaceDN w:val="0"/>
        <w:jc w:val="both"/>
        <w:rPr>
          <w:sz w:val="22"/>
          <w:szCs w:val="22"/>
        </w:rPr>
      </w:pPr>
    </w:p>
    <w:p w14:paraId="55BDEBF4" w14:textId="77777777"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The hypothetical capital contribution noted by NAIC staff is mitigated by the fact that, in actual practice, the transferring company would likely have two options if it did not transfer the bond:</w:t>
      </w:r>
    </w:p>
    <w:p w14:paraId="7211DEE8" w14:textId="77777777" w:rsidR="00F45BC3" w:rsidRPr="00F45BC3" w:rsidRDefault="00F45BC3" w:rsidP="0048194C">
      <w:pPr>
        <w:autoSpaceDE w:val="0"/>
        <w:autoSpaceDN w:val="0"/>
        <w:ind w:left="720"/>
        <w:jc w:val="both"/>
        <w:rPr>
          <w:i/>
          <w:iCs/>
          <w:color w:val="000000" w:themeColor="text1"/>
          <w:sz w:val="22"/>
          <w:szCs w:val="22"/>
        </w:rPr>
      </w:pPr>
    </w:p>
    <w:p w14:paraId="32A1605F" w14:textId="77777777" w:rsidR="00F45BC3" w:rsidRPr="00F45BC3" w:rsidRDefault="00F45BC3" w:rsidP="0048194C">
      <w:pPr>
        <w:widowControl w:val="0"/>
        <w:numPr>
          <w:ilvl w:val="0"/>
          <w:numId w:val="26"/>
        </w:numPr>
        <w:autoSpaceDE w:val="0"/>
        <w:autoSpaceDN w:val="0"/>
        <w:spacing w:after="120"/>
        <w:ind w:left="1440"/>
        <w:jc w:val="both"/>
        <w:rPr>
          <w:i/>
          <w:iCs/>
          <w:color w:val="000000" w:themeColor="text1"/>
          <w:sz w:val="22"/>
          <w:szCs w:val="22"/>
        </w:rPr>
      </w:pPr>
      <w:r w:rsidRPr="00F45BC3">
        <w:rPr>
          <w:i/>
          <w:iCs/>
          <w:color w:val="000000" w:themeColor="text1"/>
          <w:sz w:val="22"/>
          <w:szCs w:val="22"/>
        </w:rPr>
        <w:t>The company could sell the bond, recognize a realized loss, and reinvest in a higher interest-bearing bond which would offset the realized loss over time.</w:t>
      </w:r>
    </w:p>
    <w:p w14:paraId="73FADA2D" w14:textId="77777777" w:rsidR="00F45BC3" w:rsidRPr="00F45BC3" w:rsidRDefault="00F45BC3" w:rsidP="0048194C">
      <w:pPr>
        <w:widowControl w:val="0"/>
        <w:numPr>
          <w:ilvl w:val="0"/>
          <w:numId w:val="26"/>
        </w:numPr>
        <w:autoSpaceDE w:val="0"/>
        <w:autoSpaceDN w:val="0"/>
        <w:ind w:left="1440"/>
        <w:jc w:val="both"/>
        <w:rPr>
          <w:i/>
          <w:iCs/>
          <w:color w:val="000000" w:themeColor="text1"/>
          <w:sz w:val="22"/>
          <w:szCs w:val="22"/>
        </w:rPr>
      </w:pPr>
      <w:r w:rsidRPr="00F45BC3">
        <w:rPr>
          <w:i/>
          <w:iCs/>
          <w:color w:val="000000" w:themeColor="text1"/>
          <w:sz w:val="22"/>
          <w:szCs w:val="22"/>
        </w:rPr>
        <w:t>The company could hold the bond until maturity, at which point it is redeemed at the $100 par value.</w:t>
      </w:r>
    </w:p>
    <w:p w14:paraId="7990DCFE" w14:textId="77777777" w:rsidR="00F45BC3" w:rsidRPr="00F45BC3" w:rsidRDefault="00F45BC3" w:rsidP="0048194C">
      <w:pPr>
        <w:autoSpaceDE w:val="0"/>
        <w:autoSpaceDN w:val="0"/>
        <w:jc w:val="both"/>
        <w:rPr>
          <w:i/>
          <w:iCs/>
          <w:color w:val="000000" w:themeColor="text1"/>
          <w:sz w:val="22"/>
          <w:szCs w:val="22"/>
        </w:rPr>
      </w:pPr>
    </w:p>
    <w:p w14:paraId="457AE4CC" w14:textId="77777777"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We also note that modifications to intercompany pooling arrangements are subject to prior regulatory review and approval, and if the example noted by NAIC staff were part of a planned intercompany pooling transaction, the regulator could address it before granting approval to the intercompany pooling modification.</w:t>
      </w:r>
    </w:p>
    <w:p w14:paraId="16A84EF0" w14:textId="77777777" w:rsidR="00F45BC3" w:rsidRPr="00F45BC3" w:rsidRDefault="00F45BC3" w:rsidP="0048194C">
      <w:pPr>
        <w:autoSpaceDE w:val="0"/>
        <w:autoSpaceDN w:val="0"/>
        <w:jc w:val="both"/>
        <w:rPr>
          <w:sz w:val="22"/>
          <w:szCs w:val="22"/>
        </w:rPr>
      </w:pPr>
    </w:p>
    <w:p w14:paraId="51E90515" w14:textId="77777777" w:rsidR="00F45BC3" w:rsidRPr="00F45BC3" w:rsidRDefault="00F45BC3" w:rsidP="0048194C">
      <w:pPr>
        <w:widowControl w:val="0"/>
        <w:numPr>
          <w:ilvl w:val="0"/>
          <w:numId w:val="25"/>
        </w:numPr>
        <w:autoSpaceDE w:val="0"/>
        <w:autoSpaceDN w:val="0"/>
        <w:ind w:left="720"/>
        <w:jc w:val="both"/>
        <w:rPr>
          <w:sz w:val="22"/>
          <w:szCs w:val="22"/>
        </w:rPr>
      </w:pPr>
      <w:r w:rsidRPr="00F45BC3">
        <w:rPr>
          <w:sz w:val="22"/>
          <w:szCs w:val="22"/>
        </w:rPr>
        <w:t>Staff agrees that at the ultimate parent level such transfer of assets (in accordance with SSAP No. 25 guidance)</w:t>
      </w:r>
      <w:r w:rsidRPr="00F45BC3">
        <w:rPr>
          <w:spacing w:val="-13"/>
          <w:sz w:val="22"/>
          <w:szCs w:val="22"/>
        </w:rPr>
        <w:t xml:space="preserve"> </w:t>
      </w:r>
      <w:r w:rsidRPr="00F45BC3">
        <w:rPr>
          <w:sz w:val="22"/>
          <w:szCs w:val="22"/>
        </w:rPr>
        <w:t>may</w:t>
      </w:r>
      <w:r w:rsidRPr="00F45BC3">
        <w:rPr>
          <w:spacing w:val="-14"/>
          <w:sz w:val="22"/>
          <w:szCs w:val="22"/>
        </w:rPr>
        <w:t xml:space="preserve"> </w:t>
      </w:r>
      <w:r w:rsidRPr="00F45BC3">
        <w:rPr>
          <w:sz w:val="22"/>
          <w:szCs w:val="22"/>
        </w:rPr>
        <w:t>be</w:t>
      </w:r>
      <w:r w:rsidRPr="00F45BC3">
        <w:rPr>
          <w:spacing w:val="-13"/>
          <w:sz w:val="22"/>
          <w:szCs w:val="22"/>
        </w:rPr>
        <w:t xml:space="preserve"> </w:t>
      </w:r>
      <w:r w:rsidRPr="00F45BC3">
        <w:rPr>
          <w:sz w:val="22"/>
          <w:szCs w:val="22"/>
        </w:rPr>
        <w:t>noneconomic</w:t>
      </w:r>
      <w:r w:rsidRPr="00F45BC3">
        <w:rPr>
          <w:spacing w:val="-11"/>
          <w:sz w:val="22"/>
          <w:szCs w:val="22"/>
        </w:rPr>
        <w:t xml:space="preserve"> </w:t>
      </w:r>
      <w:r w:rsidRPr="00F45BC3">
        <w:rPr>
          <w:sz w:val="22"/>
          <w:szCs w:val="22"/>
        </w:rPr>
        <w:t>in</w:t>
      </w:r>
      <w:r w:rsidRPr="00F45BC3">
        <w:rPr>
          <w:spacing w:val="-14"/>
          <w:sz w:val="22"/>
          <w:szCs w:val="22"/>
        </w:rPr>
        <w:t xml:space="preserve"> </w:t>
      </w:r>
      <w:r w:rsidRPr="00F45BC3">
        <w:rPr>
          <w:sz w:val="22"/>
          <w:szCs w:val="22"/>
        </w:rPr>
        <w:t>that</w:t>
      </w:r>
      <w:r w:rsidRPr="00F45BC3">
        <w:rPr>
          <w:spacing w:val="-10"/>
          <w:sz w:val="22"/>
          <w:szCs w:val="22"/>
        </w:rPr>
        <w:t xml:space="preserve"> </w:t>
      </w:r>
      <w:r w:rsidRPr="00F45BC3">
        <w:rPr>
          <w:sz w:val="22"/>
          <w:szCs w:val="22"/>
        </w:rPr>
        <w:t>the</w:t>
      </w:r>
      <w:r w:rsidRPr="00F45BC3">
        <w:rPr>
          <w:spacing w:val="-14"/>
          <w:sz w:val="22"/>
          <w:szCs w:val="22"/>
        </w:rPr>
        <w:t xml:space="preserve"> </w:t>
      </w:r>
      <w:r w:rsidRPr="00F45BC3">
        <w:rPr>
          <w:sz w:val="22"/>
          <w:szCs w:val="22"/>
        </w:rPr>
        <w:t>parent</w:t>
      </w:r>
      <w:r w:rsidRPr="00F45BC3">
        <w:rPr>
          <w:spacing w:val="-12"/>
          <w:sz w:val="22"/>
          <w:szCs w:val="22"/>
        </w:rPr>
        <w:t xml:space="preserve"> </w:t>
      </w:r>
      <w:r w:rsidRPr="00F45BC3">
        <w:rPr>
          <w:sz w:val="22"/>
          <w:szCs w:val="22"/>
        </w:rPr>
        <w:t>continues</w:t>
      </w:r>
      <w:r w:rsidRPr="00F45BC3">
        <w:rPr>
          <w:spacing w:val="-14"/>
          <w:sz w:val="22"/>
          <w:szCs w:val="22"/>
        </w:rPr>
        <w:t xml:space="preserve"> </w:t>
      </w:r>
      <w:r w:rsidRPr="00F45BC3">
        <w:rPr>
          <w:sz w:val="22"/>
          <w:szCs w:val="22"/>
        </w:rPr>
        <w:t>to</w:t>
      </w:r>
      <w:r w:rsidRPr="00F45BC3">
        <w:rPr>
          <w:spacing w:val="-11"/>
          <w:sz w:val="22"/>
          <w:szCs w:val="22"/>
        </w:rPr>
        <w:t xml:space="preserve"> </w:t>
      </w:r>
      <w:r w:rsidRPr="00F45BC3">
        <w:rPr>
          <w:sz w:val="22"/>
          <w:szCs w:val="22"/>
        </w:rPr>
        <w:t>hold</w:t>
      </w:r>
      <w:r w:rsidRPr="00F45BC3">
        <w:rPr>
          <w:spacing w:val="-14"/>
          <w:sz w:val="22"/>
          <w:szCs w:val="22"/>
        </w:rPr>
        <w:t xml:space="preserve"> </w:t>
      </w:r>
      <w:r w:rsidRPr="00F45BC3">
        <w:rPr>
          <w:sz w:val="22"/>
          <w:szCs w:val="22"/>
        </w:rPr>
        <w:t>an</w:t>
      </w:r>
      <w:r w:rsidRPr="00F45BC3">
        <w:rPr>
          <w:spacing w:val="-13"/>
          <w:sz w:val="22"/>
          <w:szCs w:val="22"/>
        </w:rPr>
        <w:t xml:space="preserve"> </w:t>
      </w:r>
      <w:r w:rsidRPr="00F45BC3">
        <w:rPr>
          <w:sz w:val="22"/>
          <w:szCs w:val="22"/>
        </w:rPr>
        <w:t>interest</w:t>
      </w:r>
      <w:r w:rsidRPr="00F45BC3">
        <w:rPr>
          <w:spacing w:val="-13"/>
          <w:sz w:val="22"/>
          <w:szCs w:val="22"/>
        </w:rPr>
        <w:t xml:space="preserve"> </w:t>
      </w:r>
      <w:r w:rsidRPr="00F45BC3">
        <w:rPr>
          <w:sz w:val="22"/>
          <w:szCs w:val="22"/>
        </w:rPr>
        <w:t>in</w:t>
      </w:r>
      <w:r w:rsidRPr="00F45BC3">
        <w:rPr>
          <w:spacing w:val="-14"/>
          <w:sz w:val="22"/>
          <w:szCs w:val="22"/>
        </w:rPr>
        <w:t xml:space="preserve"> </w:t>
      </w:r>
      <w:r w:rsidRPr="00F45BC3">
        <w:rPr>
          <w:sz w:val="22"/>
          <w:szCs w:val="22"/>
        </w:rPr>
        <w:t>the</w:t>
      </w:r>
      <w:r w:rsidRPr="00F45BC3">
        <w:rPr>
          <w:spacing w:val="-13"/>
          <w:sz w:val="22"/>
          <w:szCs w:val="22"/>
        </w:rPr>
        <w:t xml:space="preserve"> </w:t>
      </w:r>
      <w:r w:rsidRPr="00F45BC3">
        <w:rPr>
          <w:sz w:val="22"/>
          <w:szCs w:val="22"/>
        </w:rPr>
        <w:t>same</w:t>
      </w:r>
      <w:r w:rsidRPr="00F45BC3">
        <w:rPr>
          <w:spacing w:val="-14"/>
          <w:sz w:val="22"/>
          <w:szCs w:val="22"/>
        </w:rPr>
        <w:t xml:space="preserve"> </w:t>
      </w:r>
      <w:r w:rsidRPr="00F45BC3">
        <w:rPr>
          <w:sz w:val="22"/>
          <w:szCs w:val="22"/>
        </w:rPr>
        <w:t>assets.</w:t>
      </w:r>
      <w:r w:rsidRPr="00F45BC3">
        <w:rPr>
          <w:spacing w:val="-11"/>
          <w:sz w:val="22"/>
          <w:szCs w:val="22"/>
        </w:rPr>
        <w:t xml:space="preserve"> </w:t>
      </w:r>
      <w:r w:rsidRPr="00F45BC3">
        <w:rPr>
          <w:sz w:val="22"/>
          <w:szCs w:val="22"/>
        </w:rPr>
        <w:t>Therefore, at the parent level, such transfers of assets may result in the deferral of gains. Staff believes that losses would not be deferred at the ultimate parent level.</w:t>
      </w:r>
    </w:p>
    <w:p w14:paraId="7374E3CC" w14:textId="77777777" w:rsidR="00F45BC3" w:rsidRPr="00F45BC3" w:rsidRDefault="00F45BC3" w:rsidP="0048194C">
      <w:pPr>
        <w:autoSpaceDE w:val="0"/>
        <w:autoSpaceDN w:val="0"/>
        <w:ind w:left="360"/>
        <w:jc w:val="both"/>
        <w:rPr>
          <w:sz w:val="22"/>
          <w:szCs w:val="22"/>
        </w:rPr>
      </w:pPr>
    </w:p>
    <w:p w14:paraId="6653FBE6" w14:textId="77777777" w:rsidR="00F45BC3" w:rsidRPr="00F45BC3" w:rsidRDefault="00F45BC3" w:rsidP="0048194C">
      <w:pPr>
        <w:autoSpaceDE w:val="0"/>
        <w:autoSpaceDN w:val="0"/>
        <w:ind w:left="720"/>
        <w:jc w:val="both"/>
        <w:rPr>
          <w:i/>
          <w:iCs/>
          <w:sz w:val="22"/>
          <w:szCs w:val="22"/>
        </w:rPr>
      </w:pPr>
      <w:r w:rsidRPr="00F45BC3">
        <w:rPr>
          <w:i/>
          <w:iCs/>
          <w:color w:val="000000" w:themeColor="text1"/>
          <w:sz w:val="22"/>
          <w:szCs w:val="22"/>
        </w:rPr>
        <w:t>The issue noted by interested parties is not that the bond transaction may be economic at the subsidiary level but non-economic at the parent level. Rather, the interested parties letter notes that the transfer of reserves in an intercompany pooling modification is a non-economic transfer, and INT-03-02 treats the transfer of bonds consistently (i.e., non-economic) with the transfer of the liabilities.</w:t>
      </w:r>
      <w:r w:rsidRPr="00F45BC3">
        <w:rPr>
          <w:i/>
          <w:iCs/>
          <w:sz w:val="22"/>
          <w:szCs w:val="22"/>
        </w:rPr>
        <w:tab/>
      </w:r>
    </w:p>
    <w:p w14:paraId="3EF38AE2" w14:textId="77777777" w:rsidR="00F45BC3" w:rsidRPr="00F45BC3" w:rsidRDefault="00F45BC3" w:rsidP="0048194C">
      <w:pPr>
        <w:autoSpaceDE w:val="0"/>
        <w:autoSpaceDN w:val="0"/>
        <w:jc w:val="both"/>
        <w:rPr>
          <w:sz w:val="22"/>
          <w:szCs w:val="22"/>
        </w:rPr>
      </w:pPr>
    </w:p>
    <w:p w14:paraId="2023E243" w14:textId="77777777" w:rsidR="00F45BC3" w:rsidRPr="00F45BC3" w:rsidRDefault="00F45BC3" w:rsidP="0048194C">
      <w:pPr>
        <w:widowControl w:val="0"/>
        <w:numPr>
          <w:ilvl w:val="0"/>
          <w:numId w:val="25"/>
        </w:numPr>
        <w:autoSpaceDE w:val="0"/>
        <w:autoSpaceDN w:val="0"/>
        <w:ind w:left="720"/>
        <w:jc w:val="both"/>
        <w:rPr>
          <w:sz w:val="22"/>
          <w:szCs w:val="22"/>
        </w:rPr>
      </w:pPr>
      <w:r w:rsidRPr="00F45BC3">
        <w:rPr>
          <w:sz w:val="22"/>
          <w:szCs w:val="22"/>
        </w:rPr>
        <w:t>Staff</w:t>
      </w:r>
      <w:r w:rsidRPr="00F45BC3">
        <w:rPr>
          <w:spacing w:val="-4"/>
          <w:sz w:val="22"/>
          <w:szCs w:val="22"/>
        </w:rPr>
        <w:t xml:space="preserve"> </w:t>
      </w:r>
      <w:r w:rsidRPr="00F45BC3">
        <w:rPr>
          <w:sz w:val="22"/>
          <w:szCs w:val="22"/>
        </w:rPr>
        <w:t>notes</w:t>
      </w:r>
      <w:r w:rsidRPr="00F45BC3">
        <w:rPr>
          <w:spacing w:val="-4"/>
          <w:sz w:val="22"/>
          <w:szCs w:val="22"/>
        </w:rPr>
        <w:t xml:space="preserve"> </w:t>
      </w:r>
      <w:r w:rsidRPr="00F45BC3">
        <w:rPr>
          <w:sz w:val="22"/>
          <w:szCs w:val="22"/>
        </w:rPr>
        <w:t>that</w:t>
      </w:r>
      <w:r w:rsidRPr="00F45BC3">
        <w:rPr>
          <w:spacing w:val="-4"/>
          <w:sz w:val="22"/>
          <w:szCs w:val="22"/>
        </w:rPr>
        <w:t xml:space="preserve"> </w:t>
      </w:r>
      <w:r w:rsidRPr="00F45BC3">
        <w:rPr>
          <w:sz w:val="22"/>
          <w:szCs w:val="22"/>
        </w:rPr>
        <w:t>while</w:t>
      </w:r>
      <w:r w:rsidRPr="00F45BC3">
        <w:rPr>
          <w:spacing w:val="-4"/>
          <w:sz w:val="22"/>
          <w:szCs w:val="22"/>
        </w:rPr>
        <w:t xml:space="preserve"> </w:t>
      </w:r>
      <w:r w:rsidRPr="00F45BC3">
        <w:rPr>
          <w:sz w:val="22"/>
          <w:szCs w:val="22"/>
        </w:rPr>
        <w:t>it</w:t>
      </w:r>
      <w:r w:rsidRPr="00F45BC3">
        <w:rPr>
          <w:spacing w:val="-4"/>
          <w:sz w:val="22"/>
          <w:szCs w:val="22"/>
        </w:rPr>
        <w:t xml:space="preserve"> </w:t>
      </w:r>
      <w:r w:rsidRPr="00F45BC3">
        <w:rPr>
          <w:sz w:val="22"/>
          <w:szCs w:val="22"/>
        </w:rPr>
        <w:t>may</w:t>
      </w:r>
      <w:r w:rsidRPr="00F45BC3">
        <w:rPr>
          <w:spacing w:val="-2"/>
          <w:sz w:val="22"/>
          <w:szCs w:val="22"/>
        </w:rPr>
        <w:t xml:space="preserve"> </w:t>
      </w:r>
      <w:r w:rsidRPr="00F45BC3">
        <w:rPr>
          <w:sz w:val="22"/>
          <w:szCs w:val="22"/>
        </w:rPr>
        <w:t>be</w:t>
      </w:r>
      <w:r w:rsidRPr="00F45BC3">
        <w:rPr>
          <w:spacing w:val="-4"/>
          <w:sz w:val="22"/>
          <w:szCs w:val="22"/>
        </w:rPr>
        <w:t xml:space="preserve"> </w:t>
      </w:r>
      <w:r w:rsidRPr="00F45BC3">
        <w:rPr>
          <w:sz w:val="22"/>
          <w:szCs w:val="22"/>
        </w:rPr>
        <w:t>more</w:t>
      </w:r>
      <w:r w:rsidRPr="00F45BC3">
        <w:rPr>
          <w:spacing w:val="-4"/>
          <w:sz w:val="22"/>
          <w:szCs w:val="22"/>
        </w:rPr>
        <w:t xml:space="preserve"> </w:t>
      </w:r>
      <w:r w:rsidRPr="00F45BC3">
        <w:rPr>
          <w:sz w:val="22"/>
          <w:szCs w:val="22"/>
        </w:rPr>
        <w:t>expedient</w:t>
      </w:r>
      <w:r w:rsidRPr="00F45BC3">
        <w:rPr>
          <w:spacing w:val="-3"/>
          <w:sz w:val="22"/>
          <w:szCs w:val="22"/>
        </w:rPr>
        <w:t xml:space="preserve"> </w:t>
      </w:r>
      <w:r w:rsidRPr="00F45BC3">
        <w:rPr>
          <w:sz w:val="22"/>
          <w:szCs w:val="22"/>
        </w:rPr>
        <w:t>to</w:t>
      </w:r>
      <w:r w:rsidRPr="00F45BC3">
        <w:rPr>
          <w:spacing w:val="-5"/>
          <w:sz w:val="22"/>
          <w:szCs w:val="22"/>
        </w:rPr>
        <w:t xml:space="preserve"> </w:t>
      </w:r>
      <w:r w:rsidRPr="00F45BC3">
        <w:rPr>
          <w:sz w:val="22"/>
          <w:szCs w:val="22"/>
        </w:rPr>
        <w:t>pay</w:t>
      </w:r>
      <w:r w:rsidRPr="00F45BC3">
        <w:rPr>
          <w:spacing w:val="-7"/>
          <w:sz w:val="22"/>
          <w:szCs w:val="22"/>
        </w:rPr>
        <w:t xml:space="preserve"> </w:t>
      </w:r>
      <w:r w:rsidRPr="00F45BC3">
        <w:rPr>
          <w:sz w:val="22"/>
          <w:szCs w:val="22"/>
        </w:rPr>
        <w:t>intercompany</w:t>
      </w:r>
      <w:r w:rsidRPr="00F45BC3">
        <w:rPr>
          <w:spacing w:val="-5"/>
          <w:sz w:val="22"/>
          <w:szCs w:val="22"/>
        </w:rPr>
        <w:t xml:space="preserve"> </w:t>
      </w:r>
      <w:r w:rsidRPr="00F45BC3">
        <w:rPr>
          <w:sz w:val="22"/>
          <w:szCs w:val="22"/>
        </w:rPr>
        <w:t>reinsurance</w:t>
      </w:r>
      <w:r w:rsidRPr="00F45BC3">
        <w:rPr>
          <w:spacing w:val="-4"/>
          <w:sz w:val="22"/>
          <w:szCs w:val="22"/>
        </w:rPr>
        <w:t xml:space="preserve"> </w:t>
      </w:r>
      <w:r w:rsidRPr="00F45BC3">
        <w:rPr>
          <w:sz w:val="22"/>
          <w:szCs w:val="22"/>
        </w:rPr>
        <w:t>pooling</w:t>
      </w:r>
      <w:r w:rsidRPr="00F45BC3">
        <w:rPr>
          <w:spacing w:val="-5"/>
          <w:sz w:val="22"/>
          <w:szCs w:val="22"/>
        </w:rPr>
        <w:t xml:space="preserve"> </w:t>
      </w:r>
      <w:r w:rsidRPr="00F45BC3">
        <w:rPr>
          <w:sz w:val="22"/>
          <w:szCs w:val="22"/>
        </w:rPr>
        <w:t>transactions</w:t>
      </w:r>
      <w:r w:rsidRPr="00F45BC3">
        <w:rPr>
          <w:spacing w:val="-4"/>
          <w:sz w:val="22"/>
          <w:szCs w:val="22"/>
        </w:rPr>
        <w:t xml:space="preserve"> </w:t>
      </w:r>
      <w:r w:rsidRPr="00F45BC3">
        <w:rPr>
          <w:sz w:val="22"/>
          <w:szCs w:val="22"/>
        </w:rPr>
        <w:t xml:space="preserve">with assets, the valuation used should be </w:t>
      </w:r>
      <w:proofErr w:type="gramStart"/>
      <w:r w:rsidRPr="00F45BC3">
        <w:rPr>
          <w:sz w:val="22"/>
          <w:szCs w:val="22"/>
        </w:rPr>
        <w:t>similar to</w:t>
      </w:r>
      <w:proofErr w:type="gramEnd"/>
      <w:r w:rsidRPr="00F45BC3">
        <w:rPr>
          <w:sz w:val="22"/>
          <w:szCs w:val="22"/>
        </w:rPr>
        <w:t xml:space="preserve"> if the obligation was extinguished with cash. Therefore, an entity can still choose to pay with assets, they just need to be valued consistently with SSAP No. 25 </w:t>
      </w:r>
      <w:r w:rsidRPr="00F45BC3">
        <w:rPr>
          <w:spacing w:val="-2"/>
          <w:sz w:val="22"/>
          <w:szCs w:val="22"/>
        </w:rPr>
        <w:t>guidance.</w:t>
      </w:r>
    </w:p>
    <w:p w14:paraId="1BABD5DF" w14:textId="77777777" w:rsidR="00F45BC3" w:rsidRPr="00F45BC3" w:rsidRDefault="00F45BC3" w:rsidP="0048194C">
      <w:pPr>
        <w:autoSpaceDE w:val="0"/>
        <w:autoSpaceDN w:val="0"/>
        <w:jc w:val="both"/>
        <w:rPr>
          <w:sz w:val="22"/>
          <w:szCs w:val="22"/>
        </w:rPr>
      </w:pPr>
    </w:p>
    <w:p w14:paraId="2A3881F6" w14:textId="77777777"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This comment seems to imply that staff disagrees with the views of the Statutory Accounting Principles Working Group, which deliberated this issue in 2003 and decided that the appropriate guidance is SSAP No. 62 and not SSAP No. 25.</w:t>
      </w:r>
    </w:p>
    <w:p w14:paraId="54DE8BD0" w14:textId="77777777" w:rsidR="00F45BC3" w:rsidRPr="00F45BC3" w:rsidRDefault="00F45BC3" w:rsidP="0048194C">
      <w:pPr>
        <w:autoSpaceDE w:val="0"/>
        <w:autoSpaceDN w:val="0"/>
        <w:jc w:val="both"/>
        <w:rPr>
          <w:sz w:val="22"/>
          <w:szCs w:val="22"/>
        </w:rPr>
      </w:pPr>
    </w:p>
    <w:p w14:paraId="78A69568" w14:textId="77777777" w:rsidR="00F45BC3" w:rsidRPr="00F45BC3" w:rsidRDefault="00F45BC3" w:rsidP="0048194C">
      <w:pPr>
        <w:widowControl w:val="0"/>
        <w:numPr>
          <w:ilvl w:val="0"/>
          <w:numId w:val="25"/>
        </w:numPr>
        <w:autoSpaceDE w:val="0"/>
        <w:autoSpaceDN w:val="0"/>
        <w:ind w:left="720"/>
        <w:jc w:val="both"/>
        <w:rPr>
          <w:sz w:val="22"/>
          <w:szCs w:val="22"/>
        </w:rPr>
      </w:pPr>
      <w:r w:rsidRPr="00F45BC3">
        <w:rPr>
          <w:sz w:val="22"/>
          <w:szCs w:val="22"/>
        </w:rPr>
        <w:t>SSAP</w:t>
      </w:r>
      <w:r w:rsidRPr="00F45BC3">
        <w:rPr>
          <w:spacing w:val="-9"/>
          <w:sz w:val="22"/>
          <w:szCs w:val="22"/>
        </w:rPr>
        <w:t xml:space="preserve"> </w:t>
      </w:r>
      <w:r w:rsidRPr="00F45BC3">
        <w:rPr>
          <w:sz w:val="22"/>
          <w:szCs w:val="22"/>
        </w:rPr>
        <w:t>No.</w:t>
      </w:r>
      <w:r w:rsidRPr="00F45BC3">
        <w:rPr>
          <w:spacing w:val="-9"/>
          <w:sz w:val="22"/>
          <w:szCs w:val="22"/>
        </w:rPr>
        <w:t xml:space="preserve"> </w:t>
      </w:r>
      <w:r w:rsidRPr="00F45BC3">
        <w:rPr>
          <w:sz w:val="22"/>
          <w:szCs w:val="22"/>
        </w:rPr>
        <w:t>62R,</w:t>
      </w:r>
      <w:r w:rsidRPr="00F45BC3">
        <w:rPr>
          <w:spacing w:val="-8"/>
          <w:sz w:val="22"/>
          <w:szCs w:val="22"/>
        </w:rPr>
        <w:t xml:space="preserve"> </w:t>
      </w:r>
      <w:r w:rsidRPr="00F45BC3">
        <w:rPr>
          <w:sz w:val="22"/>
          <w:szCs w:val="22"/>
        </w:rPr>
        <w:t>paragraph</w:t>
      </w:r>
      <w:r w:rsidRPr="00F45BC3">
        <w:rPr>
          <w:spacing w:val="-11"/>
          <w:sz w:val="22"/>
          <w:szCs w:val="22"/>
        </w:rPr>
        <w:t xml:space="preserve"> </w:t>
      </w:r>
      <w:r w:rsidRPr="00F45BC3">
        <w:rPr>
          <w:sz w:val="22"/>
          <w:szCs w:val="22"/>
        </w:rPr>
        <w:t>36d</w:t>
      </w:r>
      <w:r w:rsidRPr="00F45BC3">
        <w:rPr>
          <w:spacing w:val="-9"/>
          <w:sz w:val="22"/>
          <w:szCs w:val="22"/>
        </w:rPr>
        <w:t xml:space="preserve"> </w:t>
      </w:r>
      <w:r w:rsidRPr="00F45BC3">
        <w:rPr>
          <w:sz w:val="22"/>
          <w:szCs w:val="22"/>
        </w:rPr>
        <w:t>provides</w:t>
      </w:r>
      <w:r w:rsidRPr="00F45BC3">
        <w:rPr>
          <w:spacing w:val="-8"/>
          <w:sz w:val="22"/>
          <w:szCs w:val="22"/>
        </w:rPr>
        <w:t xml:space="preserve"> </w:t>
      </w:r>
      <w:r w:rsidRPr="00F45BC3">
        <w:rPr>
          <w:sz w:val="22"/>
          <w:szCs w:val="22"/>
        </w:rPr>
        <w:t>an</w:t>
      </w:r>
      <w:r w:rsidRPr="00F45BC3">
        <w:rPr>
          <w:spacing w:val="-9"/>
          <w:sz w:val="22"/>
          <w:szCs w:val="22"/>
        </w:rPr>
        <w:t xml:space="preserve"> </w:t>
      </w:r>
      <w:r w:rsidRPr="00F45BC3">
        <w:rPr>
          <w:sz w:val="22"/>
          <w:szCs w:val="22"/>
        </w:rPr>
        <w:t>exception</w:t>
      </w:r>
      <w:r w:rsidRPr="00F45BC3">
        <w:rPr>
          <w:spacing w:val="-9"/>
          <w:sz w:val="22"/>
          <w:szCs w:val="22"/>
        </w:rPr>
        <w:t xml:space="preserve"> </w:t>
      </w:r>
      <w:r w:rsidRPr="00F45BC3">
        <w:rPr>
          <w:sz w:val="22"/>
          <w:szCs w:val="22"/>
        </w:rPr>
        <w:t>to</w:t>
      </w:r>
      <w:r w:rsidRPr="00F45BC3">
        <w:rPr>
          <w:spacing w:val="-9"/>
          <w:sz w:val="22"/>
          <w:szCs w:val="22"/>
        </w:rPr>
        <w:t xml:space="preserve"> </w:t>
      </w:r>
      <w:r w:rsidRPr="00F45BC3">
        <w:rPr>
          <w:sz w:val="22"/>
          <w:szCs w:val="22"/>
        </w:rPr>
        <w:t>retroactive</w:t>
      </w:r>
      <w:r w:rsidRPr="00F45BC3">
        <w:rPr>
          <w:spacing w:val="-8"/>
          <w:sz w:val="22"/>
          <w:szCs w:val="22"/>
        </w:rPr>
        <w:t xml:space="preserve"> </w:t>
      </w:r>
      <w:r w:rsidRPr="00F45BC3">
        <w:rPr>
          <w:sz w:val="22"/>
          <w:szCs w:val="22"/>
        </w:rPr>
        <w:t>reinsurance</w:t>
      </w:r>
      <w:r w:rsidRPr="00F45BC3">
        <w:rPr>
          <w:spacing w:val="-8"/>
          <w:sz w:val="22"/>
          <w:szCs w:val="22"/>
        </w:rPr>
        <w:t xml:space="preserve"> </w:t>
      </w:r>
      <w:r w:rsidRPr="00F45BC3">
        <w:rPr>
          <w:sz w:val="22"/>
          <w:szCs w:val="22"/>
        </w:rPr>
        <w:t>accounting</w:t>
      </w:r>
      <w:r w:rsidRPr="00F45BC3">
        <w:rPr>
          <w:spacing w:val="-9"/>
          <w:sz w:val="22"/>
          <w:szCs w:val="22"/>
        </w:rPr>
        <w:t xml:space="preserve"> </w:t>
      </w:r>
      <w:r w:rsidRPr="00F45BC3">
        <w:rPr>
          <w:sz w:val="22"/>
          <w:szCs w:val="22"/>
        </w:rPr>
        <w:t>guidance</w:t>
      </w:r>
      <w:r w:rsidRPr="00F45BC3">
        <w:rPr>
          <w:spacing w:val="-8"/>
          <w:sz w:val="22"/>
          <w:szCs w:val="22"/>
        </w:rPr>
        <w:t xml:space="preserve"> </w:t>
      </w:r>
      <w:r w:rsidRPr="00F45BC3">
        <w:rPr>
          <w:sz w:val="22"/>
          <w:szCs w:val="22"/>
        </w:rPr>
        <w:t>which allows for prospective accounting treatment for intercompany reinsurance among 100% owned affiliated provided there is no gain to the ceding entity. If there is a gain to the ceding entity, there is guidance in SSAP</w:t>
      </w:r>
      <w:r w:rsidRPr="00F45BC3">
        <w:rPr>
          <w:spacing w:val="-7"/>
          <w:sz w:val="22"/>
          <w:szCs w:val="22"/>
        </w:rPr>
        <w:t xml:space="preserve"> </w:t>
      </w:r>
      <w:r w:rsidRPr="00F45BC3">
        <w:rPr>
          <w:sz w:val="22"/>
          <w:szCs w:val="22"/>
        </w:rPr>
        <w:t>No.</w:t>
      </w:r>
      <w:r w:rsidRPr="00F45BC3">
        <w:rPr>
          <w:spacing w:val="-6"/>
          <w:sz w:val="22"/>
          <w:szCs w:val="22"/>
        </w:rPr>
        <w:t xml:space="preserve"> </w:t>
      </w:r>
      <w:r w:rsidRPr="00F45BC3">
        <w:rPr>
          <w:sz w:val="22"/>
          <w:szCs w:val="22"/>
        </w:rPr>
        <w:t>62R,</w:t>
      </w:r>
      <w:r w:rsidRPr="00F45BC3">
        <w:rPr>
          <w:spacing w:val="-6"/>
          <w:sz w:val="22"/>
          <w:szCs w:val="22"/>
        </w:rPr>
        <w:t xml:space="preserve"> </w:t>
      </w:r>
      <w:r w:rsidRPr="00F45BC3">
        <w:rPr>
          <w:sz w:val="22"/>
          <w:szCs w:val="22"/>
        </w:rPr>
        <w:t>paragraph</w:t>
      </w:r>
      <w:r w:rsidRPr="00F45BC3">
        <w:rPr>
          <w:spacing w:val="-8"/>
          <w:sz w:val="22"/>
          <w:szCs w:val="22"/>
        </w:rPr>
        <w:t xml:space="preserve"> </w:t>
      </w:r>
      <w:r w:rsidRPr="00F45BC3">
        <w:rPr>
          <w:sz w:val="22"/>
          <w:szCs w:val="22"/>
        </w:rPr>
        <w:t>37</w:t>
      </w:r>
      <w:r w:rsidRPr="00F45BC3">
        <w:rPr>
          <w:spacing w:val="-6"/>
          <w:sz w:val="22"/>
          <w:szCs w:val="22"/>
        </w:rPr>
        <w:t xml:space="preserve"> </w:t>
      </w:r>
      <w:r w:rsidRPr="00F45BC3">
        <w:rPr>
          <w:sz w:val="22"/>
          <w:szCs w:val="22"/>
        </w:rPr>
        <w:t>which</w:t>
      </w:r>
      <w:r w:rsidRPr="00F45BC3">
        <w:rPr>
          <w:spacing w:val="-6"/>
          <w:sz w:val="22"/>
          <w:szCs w:val="22"/>
        </w:rPr>
        <w:t xml:space="preserve"> </w:t>
      </w:r>
      <w:r w:rsidRPr="00F45BC3">
        <w:rPr>
          <w:sz w:val="22"/>
          <w:szCs w:val="22"/>
        </w:rPr>
        <w:t>requires</w:t>
      </w:r>
      <w:r w:rsidRPr="00F45BC3">
        <w:rPr>
          <w:spacing w:val="-6"/>
          <w:sz w:val="22"/>
          <w:szCs w:val="22"/>
        </w:rPr>
        <w:t xml:space="preserve"> </w:t>
      </w:r>
      <w:r w:rsidRPr="00F45BC3">
        <w:rPr>
          <w:sz w:val="22"/>
          <w:szCs w:val="22"/>
        </w:rPr>
        <w:t>a</w:t>
      </w:r>
      <w:r w:rsidRPr="00F45BC3">
        <w:rPr>
          <w:spacing w:val="-6"/>
          <w:sz w:val="22"/>
          <w:szCs w:val="22"/>
        </w:rPr>
        <w:t xml:space="preserve"> </w:t>
      </w:r>
      <w:r w:rsidRPr="00F45BC3">
        <w:rPr>
          <w:sz w:val="22"/>
          <w:szCs w:val="22"/>
        </w:rPr>
        <w:t>more</w:t>
      </w:r>
      <w:r w:rsidRPr="00F45BC3">
        <w:rPr>
          <w:spacing w:val="-6"/>
          <w:sz w:val="22"/>
          <w:szCs w:val="22"/>
        </w:rPr>
        <w:t xml:space="preserve"> </w:t>
      </w:r>
      <w:r w:rsidRPr="00F45BC3">
        <w:rPr>
          <w:sz w:val="22"/>
          <w:szCs w:val="22"/>
        </w:rPr>
        <w:t>punitive</w:t>
      </w:r>
      <w:r w:rsidRPr="00F45BC3">
        <w:rPr>
          <w:spacing w:val="-8"/>
          <w:sz w:val="22"/>
          <w:szCs w:val="22"/>
        </w:rPr>
        <w:t xml:space="preserve"> </w:t>
      </w:r>
      <w:r w:rsidRPr="00F45BC3">
        <w:rPr>
          <w:sz w:val="22"/>
          <w:szCs w:val="22"/>
        </w:rPr>
        <w:t>method</w:t>
      </w:r>
      <w:r w:rsidRPr="00F45BC3">
        <w:rPr>
          <w:spacing w:val="-6"/>
          <w:sz w:val="22"/>
          <w:szCs w:val="22"/>
        </w:rPr>
        <w:t xml:space="preserve"> </w:t>
      </w:r>
      <w:r w:rsidRPr="00F45BC3">
        <w:rPr>
          <w:sz w:val="22"/>
          <w:szCs w:val="22"/>
        </w:rPr>
        <w:t>of</w:t>
      </w:r>
      <w:r w:rsidRPr="00F45BC3">
        <w:rPr>
          <w:spacing w:val="-5"/>
          <w:sz w:val="22"/>
          <w:szCs w:val="22"/>
        </w:rPr>
        <w:t xml:space="preserve"> </w:t>
      </w:r>
      <w:r w:rsidRPr="00F45BC3">
        <w:rPr>
          <w:sz w:val="22"/>
          <w:szCs w:val="22"/>
        </w:rPr>
        <w:t>accounting</w:t>
      </w:r>
      <w:r w:rsidRPr="00F45BC3">
        <w:rPr>
          <w:spacing w:val="-6"/>
          <w:sz w:val="22"/>
          <w:szCs w:val="22"/>
        </w:rPr>
        <w:t xml:space="preserve"> </w:t>
      </w:r>
      <w:r w:rsidRPr="00F45BC3">
        <w:rPr>
          <w:sz w:val="22"/>
          <w:szCs w:val="22"/>
        </w:rPr>
        <w:t>than</w:t>
      </w:r>
      <w:r w:rsidRPr="00F45BC3">
        <w:rPr>
          <w:spacing w:val="-6"/>
          <w:sz w:val="22"/>
          <w:szCs w:val="22"/>
        </w:rPr>
        <w:t xml:space="preserve"> </w:t>
      </w:r>
      <w:r w:rsidRPr="00F45BC3">
        <w:rPr>
          <w:sz w:val="22"/>
          <w:szCs w:val="22"/>
        </w:rPr>
        <w:t>either</w:t>
      </w:r>
      <w:r w:rsidRPr="00F45BC3">
        <w:rPr>
          <w:spacing w:val="-5"/>
          <w:sz w:val="22"/>
          <w:szCs w:val="22"/>
        </w:rPr>
        <w:t xml:space="preserve"> </w:t>
      </w:r>
      <w:r w:rsidRPr="00F45BC3">
        <w:rPr>
          <w:sz w:val="22"/>
          <w:szCs w:val="22"/>
        </w:rPr>
        <w:t>prospective or retroactive reinsurance accounting. Therefore, NAIC staff comment is that the statutory accounting objective</w:t>
      </w:r>
      <w:r w:rsidRPr="00F45BC3">
        <w:rPr>
          <w:spacing w:val="-14"/>
          <w:sz w:val="22"/>
          <w:szCs w:val="22"/>
        </w:rPr>
        <w:t xml:space="preserve"> </w:t>
      </w:r>
      <w:r w:rsidRPr="00F45BC3">
        <w:rPr>
          <w:sz w:val="22"/>
          <w:szCs w:val="22"/>
        </w:rPr>
        <w:t>is</w:t>
      </w:r>
      <w:r w:rsidRPr="00F45BC3">
        <w:rPr>
          <w:spacing w:val="-14"/>
          <w:sz w:val="22"/>
          <w:szCs w:val="22"/>
        </w:rPr>
        <w:t xml:space="preserve"> </w:t>
      </w:r>
      <w:r w:rsidRPr="00F45BC3">
        <w:rPr>
          <w:sz w:val="22"/>
          <w:szCs w:val="22"/>
        </w:rPr>
        <w:t>to</w:t>
      </w:r>
      <w:r w:rsidRPr="00F45BC3">
        <w:rPr>
          <w:spacing w:val="-14"/>
          <w:sz w:val="22"/>
          <w:szCs w:val="22"/>
        </w:rPr>
        <w:t xml:space="preserve"> </w:t>
      </w:r>
      <w:r w:rsidRPr="00F45BC3">
        <w:rPr>
          <w:sz w:val="22"/>
          <w:szCs w:val="22"/>
        </w:rPr>
        <w:t>provide</w:t>
      </w:r>
      <w:r w:rsidRPr="00F45BC3">
        <w:rPr>
          <w:spacing w:val="-13"/>
          <w:sz w:val="22"/>
          <w:szCs w:val="22"/>
        </w:rPr>
        <w:t xml:space="preserve"> </w:t>
      </w:r>
      <w:r w:rsidRPr="00F45BC3">
        <w:rPr>
          <w:sz w:val="22"/>
          <w:szCs w:val="22"/>
        </w:rPr>
        <w:t>different</w:t>
      </w:r>
      <w:r w:rsidRPr="00F45BC3">
        <w:rPr>
          <w:spacing w:val="-14"/>
          <w:sz w:val="22"/>
          <w:szCs w:val="22"/>
        </w:rPr>
        <w:t xml:space="preserve"> </w:t>
      </w:r>
      <w:r w:rsidRPr="00F45BC3">
        <w:rPr>
          <w:sz w:val="22"/>
          <w:szCs w:val="22"/>
        </w:rPr>
        <w:t>treatment</w:t>
      </w:r>
      <w:r w:rsidRPr="00F45BC3">
        <w:rPr>
          <w:spacing w:val="-12"/>
          <w:sz w:val="22"/>
          <w:szCs w:val="22"/>
        </w:rPr>
        <w:t xml:space="preserve"> </w:t>
      </w:r>
      <w:r w:rsidRPr="00F45BC3">
        <w:rPr>
          <w:sz w:val="22"/>
          <w:szCs w:val="22"/>
        </w:rPr>
        <w:t>for</w:t>
      </w:r>
      <w:r w:rsidRPr="00F45BC3">
        <w:rPr>
          <w:spacing w:val="-12"/>
          <w:sz w:val="22"/>
          <w:szCs w:val="22"/>
        </w:rPr>
        <w:t xml:space="preserve"> </w:t>
      </w:r>
      <w:r w:rsidRPr="00F45BC3">
        <w:rPr>
          <w:sz w:val="22"/>
          <w:szCs w:val="22"/>
        </w:rPr>
        <w:t>retroactive</w:t>
      </w:r>
      <w:r w:rsidRPr="00F45BC3">
        <w:rPr>
          <w:spacing w:val="-13"/>
          <w:sz w:val="22"/>
          <w:szCs w:val="22"/>
        </w:rPr>
        <w:t xml:space="preserve"> </w:t>
      </w:r>
      <w:r w:rsidRPr="00F45BC3">
        <w:rPr>
          <w:sz w:val="22"/>
          <w:szCs w:val="22"/>
        </w:rPr>
        <w:t>reinsurance</w:t>
      </w:r>
      <w:r w:rsidRPr="00F45BC3">
        <w:rPr>
          <w:spacing w:val="-13"/>
          <w:sz w:val="22"/>
          <w:szCs w:val="22"/>
        </w:rPr>
        <w:t xml:space="preserve"> </w:t>
      </w:r>
      <w:r w:rsidRPr="00F45BC3">
        <w:rPr>
          <w:sz w:val="22"/>
          <w:szCs w:val="22"/>
        </w:rPr>
        <w:t>contracts</w:t>
      </w:r>
      <w:r w:rsidRPr="00F45BC3">
        <w:rPr>
          <w:spacing w:val="-14"/>
          <w:sz w:val="22"/>
          <w:szCs w:val="22"/>
        </w:rPr>
        <w:t xml:space="preserve"> </w:t>
      </w:r>
      <w:r w:rsidRPr="00F45BC3">
        <w:rPr>
          <w:sz w:val="22"/>
          <w:szCs w:val="22"/>
        </w:rPr>
        <w:t>if</w:t>
      </w:r>
      <w:r w:rsidRPr="00F45BC3">
        <w:rPr>
          <w:spacing w:val="-12"/>
          <w:sz w:val="22"/>
          <w:szCs w:val="22"/>
        </w:rPr>
        <w:t xml:space="preserve"> </w:t>
      </w:r>
      <w:r w:rsidRPr="00F45BC3">
        <w:rPr>
          <w:sz w:val="22"/>
          <w:szCs w:val="22"/>
        </w:rPr>
        <w:t>there</w:t>
      </w:r>
      <w:r w:rsidRPr="00F45BC3">
        <w:rPr>
          <w:spacing w:val="-13"/>
          <w:sz w:val="22"/>
          <w:szCs w:val="22"/>
        </w:rPr>
        <w:t xml:space="preserve"> </w:t>
      </w:r>
      <w:r w:rsidRPr="00F45BC3">
        <w:rPr>
          <w:sz w:val="22"/>
          <w:szCs w:val="22"/>
        </w:rPr>
        <w:t>is</w:t>
      </w:r>
      <w:r w:rsidRPr="00F45BC3">
        <w:rPr>
          <w:spacing w:val="-13"/>
          <w:sz w:val="22"/>
          <w:szCs w:val="22"/>
        </w:rPr>
        <w:t xml:space="preserve"> </w:t>
      </w:r>
      <w:r w:rsidRPr="00F45BC3">
        <w:rPr>
          <w:sz w:val="22"/>
          <w:szCs w:val="22"/>
        </w:rPr>
        <w:t>a</w:t>
      </w:r>
      <w:r w:rsidRPr="00F45BC3">
        <w:rPr>
          <w:spacing w:val="-13"/>
          <w:sz w:val="22"/>
          <w:szCs w:val="22"/>
        </w:rPr>
        <w:t xml:space="preserve"> </w:t>
      </w:r>
      <w:r w:rsidRPr="00F45BC3">
        <w:rPr>
          <w:sz w:val="22"/>
          <w:szCs w:val="22"/>
        </w:rPr>
        <w:t>gain</w:t>
      </w:r>
      <w:r w:rsidRPr="00F45BC3">
        <w:rPr>
          <w:spacing w:val="-14"/>
          <w:sz w:val="22"/>
          <w:szCs w:val="22"/>
        </w:rPr>
        <w:t xml:space="preserve"> </w:t>
      </w:r>
      <w:r w:rsidRPr="00F45BC3">
        <w:rPr>
          <w:sz w:val="22"/>
          <w:szCs w:val="22"/>
        </w:rPr>
        <w:t>to</w:t>
      </w:r>
      <w:r w:rsidRPr="00F45BC3">
        <w:rPr>
          <w:spacing w:val="-13"/>
          <w:sz w:val="22"/>
          <w:szCs w:val="22"/>
        </w:rPr>
        <w:t xml:space="preserve"> </w:t>
      </w:r>
      <w:r w:rsidRPr="00F45BC3">
        <w:rPr>
          <w:sz w:val="22"/>
          <w:szCs w:val="22"/>
        </w:rPr>
        <w:t>the</w:t>
      </w:r>
      <w:r w:rsidRPr="00F45BC3">
        <w:rPr>
          <w:spacing w:val="-13"/>
          <w:sz w:val="22"/>
          <w:szCs w:val="22"/>
        </w:rPr>
        <w:t xml:space="preserve"> </w:t>
      </w:r>
      <w:r w:rsidRPr="00F45BC3">
        <w:rPr>
          <w:sz w:val="22"/>
          <w:szCs w:val="22"/>
        </w:rPr>
        <w:t xml:space="preserve">ceding entity. This is another reason that the guidance in INT 03-02 is problematic. The object is to correctly measure the effects of the contract, which drives the accounting. The objective is not to obscure whether there is a gain to the ceding entity, which can happen </w:t>
      </w:r>
      <w:proofErr w:type="gramStart"/>
      <w:r w:rsidRPr="00F45BC3">
        <w:rPr>
          <w:sz w:val="22"/>
          <w:szCs w:val="22"/>
        </w:rPr>
        <w:t>in the event that</w:t>
      </w:r>
      <w:proofErr w:type="gramEnd"/>
      <w:r w:rsidRPr="00F45BC3">
        <w:rPr>
          <w:sz w:val="22"/>
          <w:szCs w:val="22"/>
        </w:rPr>
        <w:t xml:space="preserve"> the assets used in payment are not measured correctly.</w:t>
      </w:r>
    </w:p>
    <w:p w14:paraId="29BEB7BC" w14:textId="77777777" w:rsidR="00F45BC3" w:rsidRPr="00F45BC3" w:rsidRDefault="00F45BC3" w:rsidP="0048194C">
      <w:pPr>
        <w:autoSpaceDE w:val="0"/>
        <w:autoSpaceDN w:val="0"/>
        <w:jc w:val="both"/>
        <w:rPr>
          <w:sz w:val="22"/>
          <w:szCs w:val="22"/>
        </w:rPr>
      </w:pPr>
    </w:p>
    <w:p w14:paraId="149B7201" w14:textId="6B8CB5BF"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INT 03-02 avoids the gain in surplus issue by requiring that the transfer of bonds be at book value.</w:t>
      </w:r>
      <w:r w:rsidR="00837CEC">
        <w:rPr>
          <w:i/>
          <w:iCs/>
          <w:color w:val="000000" w:themeColor="text1"/>
          <w:sz w:val="22"/>
          <w:szCs w:val="22"/>
        </w:rPr>
        <w:t xml:space="preserve"> </w:t>
      </w:r>
      <w:r w:rsidRPr="00F45BC3">
        <w:rPr>
          <w:i/>
          <w:iCs/>
          <w:color w:val="000000" w:themeColor="text1"/>
          <w:sz w:val="22"/>
          <w:szCs w:val="22"/>
        </w:rPr>
        <w:t>This avoids inconsistent accounting of intercompany pooling modifications between prospective reinsurance accounting and retrospective reinsurance accounting.</w:t>
      </w:r>
      <w:r w:rsidR="00837CEC">
        <w:rPr>
          <w:i/>
          <w:iCs/>
          <w:color w:val="000000" w:themeColor="text1"/>
          <w:sz w:val="22"/>
          <w:szCs w:val="22"/>
        </w:rPr>
        <w:t xml:space="preserve"> </w:t>
      </w:r>
      <w:r w:rsidRPr="00F45BC3">
        <w:rPr>
          <w:i/>
          <w:iCs/>
          <w:color w:val="000000" w:themeColor="text1"/>
          <w:sz w:val="22"/>
          <w:szCs w:val="22"/>
        </w:rPr>
        <w:t>INT 03-02 provides consistent accounting for all such modification transactions.</w:t>
      </w:r>
    </w:p>
    <w:p w14:paraId="2A714783" w14:textId="77777777" w:rsidR="00F45BC3" w:rsidRPr="00F45BC3" w:rsidRDefault="00F45BC3" w:rsidP="0048194C">
      <w:pPr>
        <w:autoSpaceDE w:val="0"/>
        <w:autoSpaceDN w:val="0"/>
        <w:ind w:left="720"/>
        <w:jc w:val="both"/>
        <w:rPr>
          <w:i/>
          <w:iCs/>
          <w:color w:val="000000" w:themeColor="text1"/>
          <w:sz w:val="22"/>
          <w:szCs w:val="22"/>
        </w:rPr>
      </w:pPr>
    </w:p>
    <w:p w14:paraId="56D13A70" w14:textId="77777777" w:rsidR="00F45BC3" w:rsidRPr="00F45BC3" w:rsidRDefault="00F45BC3" w:rsidP="0048194C">
      <w:pPr>
        <w:autoSpaceDE w:val="0"/>
        <w:autoSpaceDN w:val="0"/>
        <w:ind w:left="720"/>
        <w:jc w:val="both"/>
        <w:rPr>
          <w:i/>
          <w:iCs/>
          <w:color w:val="000000" w:themeColor="text1"/>
          <w:sz w:val="22"/>
          <w:szCs w:val="22"/>
        </w:rPr>
      </w:pPr>
      <w:r w:rsidRPr="00F45BC3">
        <w:rPr>
          <w:i/>
          <w:iCs/>
          <w:color w:val="000000" w:themeColor="text1"/>
          <w:sz w:val="22"/>
          <w:szCs w:val="22"/>
        </w:rPr>
        <w:t>Interested parties believe that INT 03-02 was not meant to address whether assets used as payments in an intercompany pooling modification are measured correctly, but rather the INT was meant to address which accounting is appropriate given the facts and circumstances of the transaction. We still believe that INT 03-02 provides a reasonable approach with respect to accounting for intercompany pooling modifications and provides consistency in reporting across companies.</w:t>
      </w:r>
    </w:p>
    <w:p w14:paraId="33BBD053" w14:textId="77777777" w:rsidR="00F45BC3" w:rsidRPr="00F45BC3" w:rsidRDefault="00F45BC3" w:rsidP="0048194C">
      <w:pPr>
        <w:autoSpaceDE w:val="0"/>
        <w:autoSpaceDN w:val="0"/>
        <w:jc w:val="both"/>
        <w:rPr>
          <w:i/>
          <w:iCs/>
          <w:color w:val="000000" w:themeColor="text1"/>
          <w:sz w:val="22"/>
          <w:szCs w:val="22"/>
        </w:rPr>
      </w:pPr>
    </w:p>
    <w:p w14:paraId="4733E0BC" w14:textId="77777777" w:rsidR="00F45BC3" w:rsidRPr="00F45BC3" w:rsidRDefault="00F45BC3" w:rsidP="0048194C">
      <w:pPr>
        <w:widowControl w:val="0"/>
        <w:numPr>
          <w:ilvl w:val="0"/>
          <w:numId w:val="25"/>
        </w:numPr>
        <w:autoSpaceDE w:val="0"/>
        <w:autoSpaceDN w:val="0"/>
        <w:ind w:left="721"/>
        <w:jc w:val="both"/>
        <w:rPr>
          <w:sz w:val="22"/>
          <w:szCs w:val="22"/>
        </w:rPr>
      </w:pPr>
      <w:r w:rsidRPr="00F45BC3">
        <w:rPr>
          <w:sz w:val="22"/>
          <w:szCs w:val="22"/>
        </w:rPr>
        <w:lastRenderedPageBreak/>
        <w:t>Interested parties noted that modifications to intercompany pooling arrangements are typically effective retroactive to the beginning of the year. Staff notes that the payment value when the transaction is settled should be equivalent to the cash value of what is owed on the date of extinguishment of the liability.</w:t>
      </w:r>
    </w:p>
    <w:p w14:paraId="2C416B4F" w14:textId="77777777" w:rsidR="00F45BC3" w:rsidRPr="00F45BC3" w:rsidRDefault="00F45BC3" w:rsidP="0048194C">
      <w:pPr>
        <w:autoSpaceDE w:val="0"/>
        <w:autoSpaceDN w:val="0"/>
        <w:jc w:val="both"/>
        <w:rPr>
          <w:sz w:val="22"/>
          <w:szCs w:val="22"/>
        </w:rPr>
      </w:pPr>
    </w:p>
    <w:p w14:paraId="64BE7576" w14:textId="000C4B40" w:rsidR="00F45BC3" w:rsidRPr="00F45BC3" w:rsidRDefault="00F45BC3" w:rsidP="0048194C">
      <w:pPr>
        <w:autoSpaceDE w:val="0"/>
        <w:autoSpaceDN w:val="0"/>
        <w:ind w:left="721"/>
        <w:jc w:val="both"/>
        <w:rPr>
          <w:i/>
          <w:iCs/>
          <w:color w:val="000000" w:themeColor="text1"/>
          <w:sz w:val="22"/>
          <w:szCs w:val="22"/>
        </w:rPr>
      </w:pPr>
      <w:r w:rsidRPr="00F45BC3">
        <w:rPr>
          <w:i/>
          <w:iCs/>
          <w:color w:val="000000" w:themeColor="text1"/>
          <w:sz w:val="22"/>
          <w:szCs w:val="22"/>
        </w:rPr>
        <w:t>This view raises the question of whether the “fair value” of the reserves need to be considered.</w:t>
      </w:r>
      <w:r w:rsidR="00837CEC">
        <w:rPr>
          <w:i/>
          <w:iCs/>
          <w:color w:val="000000" w:themeColor="text1"/>
          <w:sz w:val="22"/>
          <w:szCs w:val="22"/>
        </w:rPr>
        <w:t xml:space="preserve"> </w:t>
      </w:r>
      <w:r w:rsidRPr="00F45BC3">
        <w:rPr>
          <w:i/>
          <w:iCs/>
          <w:color w:val="000000" w:themeColor="text1"/>
          <w:sz w:val="22"/>
          <w:szCs w:val="22"/>
        </w:rPr>
        <w:t>That would be unprecedented and not consistent with any statutory accounting guidance.</w:t>
      </w:r>
    </w:p>
    <w:p w14:paraId="79AD1FCF" w14:textId="77777777" w:rsidR="00F45BC3" w:rsidRPr="00F45BC3" w:rsidRDefault="00F45BC3" w:rsidP="0048194C">
      <w:pPr>
        <w:autoSpaceDE w:val="0"/>
        <w:autoSpaceDN w:val="0"/>
        <w:spacing w:before="10"/>
        <w:jc w:val="both"/>
        <w:rPr>
          <w:i/>
          <w:iCs/>
          <w:color w:val="000000" w:themeColor="text1"/>
          <w:sz w:val="22"/>
          <w:szCs w:val="22"/>
        </w:rPr>
      </w:pPr>
    </w:p>
    <w:p w14:paraId="01AA3047" w14:textId="77777777" w:rsidR="00F45BC3" w:rsidRPr="00F45BC3" w:rsidRDefault="00F45BC3" w:rsidP="0048194C">
      <w:pPr>
        <w:widowControl w:val="0"/>
        <w:numPr>
          <w:ilvl w:val="0"/>
          <w:numId w:val="25"/>
        </w:numPr>
        <w:autoSpaceDE w:val="0"/>
        <w:autoSpaceDN w:val="0"/>
        <w:ind w:left="721"/>
        <w:jc w:val="both"/>
        <w:rPr>
          <w:sz w:val="22"/>
          <w:szCs w:val="22"/>
        </w:rPr>
      </w:pPr>
      <w:r w:rsidRPr="00F45BC3">
        <w:rPr>
          <w:sz w:val="22"/>
          <w:szCs w:val="22"/>
        </w:rPr>
        <w:t>Many of the interested parties’ comments regarding GAAP use of book value are more relevant to consolidated basis accounting which is not consistent with the legal entity basis of statutory accounting.</w:t>
      </w:r>
    </w:p>
    <w:p w14:paraId="790AD2CE" w14:textId="77777777" w:rsidR="00F45BC3" w:rsidRPr="00F45BC3" w:rsidRDefault="00F45BC3" w:rsidP="0048194C">
      <w:pPr>
        <w:autoSpaceDE w:val="0"/>
        <w:autoSpaceDN w:val="0"/>
        <w:spacing w:before="2"/>
        <w:jc w:val="both"/>
        <w:rPr>
          <w:sz w:val="22"/>
          <w:szCs w:val="22"/>
        </w:rPr>
      </w:pPr>
    </w:p>
    <w:p w14:paraId="2F461FD3" w14:textId="548847A1" w:rsidR="00F45BC3" w:rsidRPr="00F45BC3" w:rsidRDefault="00F45BC3" w:rsidP="0048194C">
      <w:pPr>
        <w:autoSpaceDE w:val="0"/>
        <w:autoSpaceDN w:val="0"/>
        <w:spacing w:before="2"/>
        <w:ind w:left="721"/>
        <w:jc w:val="both"/>
        <w:rPr>
          <w:i/>
          <w:iCs/>
          <w:color w:val="000000" w:themeColor="text1"/>
          <w:sz w:val="22"/>
          <w:szCs w:val="22"/>
        </w:rPr>
      </w:pPr>
      <w:r w:rsidRPr="00F45BC3">
        <w:rPr>
          <w:i/>
          <w:iCs/>
          <w:color w:val="000000" w:themeColor="text1"/>
          <w:sz w:val="22"/>
          <w:szCs w:val="22"/>
        </w:rPr>
        <w:t>Interested parties respectfully disagree.</w:t>
      </w:r>
      <w:r w:rsidR="00837CEC">
        <w:rPr>
          <w:i/>
          <w:iCs/>
          <w:color w:val="000000" w:themeColor="text1"/>
          <w:sz w:val="22"/>
          <w:szCs w:val="22"/>
        </w:rPr>
        <w:t xml:space="preserve"> </w:t>
      </w:r>
      <w:r w:rsidRPr="00F45BC3">
        <w:rPr>
          <w:i/>
          <w:iCs/>
          <w:color w:val="000000" w:themeColor="text1"/>
          <w:sz w:val="22"/>
          <w:szCs w:val="22"/>
        </w:rPr>
        <w:t>The interested parties comment letter references the example of accounting for mergers, which is not the same as consolidation accounting.</w:t>
      </w:r>
    </w:p>
    <w:p w14:paraId="303FB1C1" w14:textId="77777777" w:rsidR="00F45BC3" w:rsidRPr="00F45BC3" w:rsidRDefault="00F45BC3" w:rsidP="0048194C">
      <w:pPr>
        <w:autoSpaceDE w:val="0"/>
        <w:autoSpaceDN w:val="0"/>
        <w:spacing w:before="2"/>
        <w:jc w:val="both"/>
        <w:rPr>
          <w:sz w:val="22"/>
          <w:szCs w:val="22"/>
        </w:rPr>
      </w:pPr>
    </w:p>
    <w:p w14:paraId="1692F343" w14:textId="77777777" w:rsidR="00F45BC3" w:rsidRPr="00F45BC3" w:rsidRDefault="00F45BC3" w:rsidP="0048194C">
      <w:pPr>
        <w:widowControl w:val="0"/>
        <w:numPr>
          <w:ilvl w:val="0"/>
          <w:numId w:val="25"/>
        </w:numPr>
        <w:autoSpaceDE w:val="0"/>
        <w:autoSpaceDN w:val="0"/>
        <w:ind w:left="721"/>
        <w:jc w:val="both"/>
        <w:rPr>
          <w:sz w:val="22"/>
          <w:szCs w:val="22"/>
        </w:rPr>
      </w:pPr>
      <w:r w:rsidRPr="00F45BC3">
        <w:rPr>
          <w:sz w:val="22"/>
          <w:szCs w:val="22"/>
        </w:rPr>
        <w:t>Interested parties’ comments noted that there is a difference in treatment for intercompany pooling participants who are not 100% owned by a common parent. NAIC staff notes that retroactive pooling agreement</w:t>
      </w:r>
      <w:r w:rsidRPr="00F45BC3">
        <w:rPr>
          <w:spacing w:val="-8"/>
          <w:sz w:val="22"/>
          <w:szCs w:val="22"/>
        </w:rPr>
        <w:t xml:space="preserve"> </w:t>
      </w:r>
      <w:r w:rsidRPr="00F45BC3">
        <w:rPr>
          <w:sz w:val="22"/>
          <w:szCs w:val="22"/>
        </w:rPr>
        <w:t>changes</w:t>
      </w:r>
      <w:r w:rsidRPr="00F45BC3">
        <w:rPr>
          <w:spacing w:val="-6"/>
          <w:sz w:val="22"/>
          <w:szCs w:val="22"/>
        </w:rPr>
        <w:t xml:space="preserve"> </w:t>
      </w:r>
      <w:r w:rsidRPr="00F45BC3">
        <w:rPr>
          <w:sz w:val="22"/>
          <w:szCs w:val="22"/>
        </w:rPr>
        <w:t>with</w:t>
      </w:r>
      <w:r w:rsidRPr="00F45BC3">
        <w:rPr>
          <w:spacing w:val="-6"/>
          <w:sz w:val="22"/>
          <w:szCs w:val="22"/>
        </w:rPr>
        <w:t xml:space="preserve"> </w:t>
      </w:r>
      <w:r w:rsidRPr="00F45BC3">
        <w:rPr>
          <w:sz w:val="22"/>
          <w:szCs w:val="22"/>
        </w:rPr>
        <w:t>participants</w:t>
      </w:r>
      <w:r w:rsidRPr="00F45BC3">
        <w:rPr>
          <w:spacing w:val="-8"/>
          <w:sz w:val="22"/>
          <w:szCs w:val="22"/>
        </w:rPr>
        <w:t xml:space="preserve"> </w:t>
      </w:r>
      <w:r w:rsidRPr="00F45BC3">
        <w:rPr>
          <w:sz w:val="22"/>
          <w:szCs w:val="22"/>
        </w:rPr>
        <w:t>that</w:t>
      </w:r>
      <w:r w:rsidRPr="00F45BC3">
        <w:rPr>
          <w:spacing w:val="-6"/>
          <w:sz w:val="22"/>
          <w:szCs w:val="22"/>
        </w:rPr>
        <w:t xml:space="preserve"> </w:t>
      </w:r>
      <w:r w:rsidRPr="00F45BC3">
        <w:rPr>
          <w:sz w:val="22"/>
          <w:szCs w:val="22"/>
        </w:rPr>
        <w:t>are</w:t>
      </w:r>
      <w:r w:rsidRPr="00F45BC3">
        <w:rPr>
          <w:spacing w:val="-6"/>
          <w:sz w:val="22"/>
          <w:szCs w:val="22"/>
        </w:rPr>
        <w:t xml:space="preserve"> </w:t>
      </w:r>
      <w:r w:rsidRPr="00F45BC3">
        <w:rPr>
          <w:sz w:val="22"/>
          <w:szCs w:val="22"/>
        </w:rPr>
        <w:t>not</w:t>
      </w:r>
      <w:r w:rsidRPr="00F45BC3">
        <w:rPr>
          <w:spacing w:val="-6"/>
          <w:sz w:val="22"/>
          <w:szCs w:val="22"/>
        </w:rPr>
        <w:t xml:space="preserve"> </w:t>
      </w:r>
      <w:r w:rsidRPr="00F45BC3">
        <w:rPr>
          <w:sz w:val="22"/>
          <w:szCs w:val="22"/>
        </w:rPr>
        <w:t>100%</w:t>
      </w:r>
      <w:r w:rsidRPr="00F45BC3">
        <w:rPr>
          <w:spacing w:val="-8"/>
          <w:sz w:val="22"/>
          <w:szCs w:val="22"/>
        </w:rPr>
        <w:t xml:space="preserve"> </w:t>
      </w:r>
      <w:r w:rsidRPr="00F45BC3">
        <w:rPr>
          <w:sz w:val="22"/>
          <w:szCs w:val="22"/>
        </w:rPr>
        <w:t>under</w:t>
      </w:r>
      <w:r w:rsidRPr="00F45BC3">
        <w:rPr>
          <w:spacing w:val="-8"/>
          <w:sz w:val="22"/>
          <w:szCs w:val="22"/>
        </w:rPr>
        <w:t xml:space="preserve"> </w:t>
      </w:r>
      <w:r w:rsidRPr="00F45BC3">
        <w:rPr>
          <w:sz w:val="22"/>
          <w:szCs w:val="22"/>
        </w:rPr>
        <w:t>common</w:t>
      </w:r>
      <w:r w:rsidRPr="00F45BC3">
        <w:rPr>
          <w:spacing w:val="-9"/>
          <w:sz w:val="22"/>
          <w:szCs w:val="22"/>
        </w:rPr>
        <w:t xml:space="preserve"> </w:t>
      </w:r>
      <w:r w:rsidRPr="00F45BC3">
        <w:rPr>
          <w:sz w:val="22"/>
          <w:szCs w:val="22"/>
        </w:rPr>
        <w:t>control</w:t>
      </w:r>
      <w:r w:rsidRPr="00F45BC3">
        <w:rPr>
          <w:spacing w:val="-6"/>
          <w:sz w:val="22"/>
          <w:szCs w:val="22"/>
        </w:rPr>
        <w:t xml:space="preserve"> </w:t>
      </w:r>
      <w:r w:rsidRPr="00F45BC3">
        <w:rPr>
          <w:sz w:val="22"/>
          <w:szCs w:val="22"/>
        </w:rPr>
        <w:t>do</w:t>
      </w:r>
      <w:r w:rsidRPr="00F45BC3">
        <w:rPr>
          <w:spacing w:val="-6"/>
          <w:sz w:val="22"/>
          <w:szCs w:val="22"/>
        </w:rPr>
        <w:t xml:space="preserve"> </w:t>
      </w:r>
      <w:r w:rsidRPr="00F45BC3">
        <w:rPr>
          <w:sz w:val="22"/>
          <w:szCs w:val="22"/>
        </w:rPr>
        <w:t>not</w:t>
      </w:r>
      <w:r w:rsidRPr="00F45BC3">
        <w:rPr>
          <w:spacing w:val="-6"/>
          <w:sz w:val="22"/>
          <w:szCs w:val="22"/>
        </w:rPr>
        <w:t xml:space="preserve"> </w:t>
      </w:r>
      <w:r w:rsidRPr="00F45BC3">
        <w:rPr>
          <w:sz w:val="22"/>
          <w:szCs w:val="22"/>
        </w:rPr>
        <w:t>meet</w:t>
      </w:r>
      <w:r w:rsidRPr="00F45BC3">
        <w:rPr>
          <w:spacing w:val="-6"/>
          <w:sz w:val="22"/>
          <w:szCs w:val="22"/>
        </w:rPr>
        <w:t xml:space="preserve"> </w:t>
      </w:r>
      <w:r w:rsidRPr="00F45BC3">
        <w:rPr>
          <w:sz w:val="22"/>
          <w:szCs w:val="22"/>
        </w:rPr>
        <w:t>the</w:t>
      </w:r>
      <w:r w:rsidRPr="00F45BC3">
        <w:rPr>
          <w:spacing w:val="-8"/>
          <w:sz w:val="22"/>
          <w:szCs w:val="22"/>
        </w:rPr>
        <w:t xml:space="preserve"> </w:t>
      </w:r>
      <w:r w:rsidRPr="00F45BC3">
        <w:rPr>
          <w:sz w:val="22"/>
          <w:szCs w:val="22"/>
        </w:rPr>
        <w:t>exception</w:t>
      </w:r>
      <w:r w:rsidRPr="00F45BC3">
        <w:rPr>
          <w:spacing w:val="-9"/>
          <w:sz w:val="22"/>
          <w:szCs w:val="22"/>
        </w:rPr>
        <w:t xml:space="preserve"> </w:t>
      </w:r>
      <w:r w:rsidRPr="00F45BC3">
        <w:rPr>
          <w:sz w:val="22"/>
          <w:szCs w:val="22"/>
        </w:rPr>
        <w:t>to retroactive accounting provided in SSAP No. 62R, paragraph 36d. NAIC staff notes that SSAP No. 62R, paragraph 37 provides guidance for retroactive reinsurance agreements among affiliates where there is a gain to the ceding entity.</w:t>
      </w:r>
    </w:p>
    <w:p w14:paraId="1E8B0305" w14:textId="77777777" w:rsidR="00F45BC3" w:rsidRPr="00F45BC3" w:rsidRDefault="00F45BC3" w:rsidP="0048194C">
      <w:pPr>
        <w:autoSpaceDE w:val="0"/>
        <w:autoSpaceDN w:val="0"/>
        <w:jc w:val="both"/>
        <w:rPr>
          <w:sz w:val="22"/>
          <w:szCs w:val="22"/>
        </w:rPr>
      </w:pPr>
    </w:p>
    <w:p w14:paraId="55FF9AB3" w14:textId="1A1FEBBD" w:rsidR="00F45BC3" w:rsidRPr="00F45BC3" w:rsidRDefault="00F45BC3" w:rsidP="0048194C">
      <w:pPr>
        <w:autoSpaceDE w:val="0"/>
        <w:autoSpaceDN w:val="0"/>
        <w:ind w:left="721"/>
        <w:jc w:val="both"/>
        <w:rPr>
          <w:i/>
          <w:iCs/>
          <w:color w:val="000000" w:themeColor="text1"/>
          <w:sz w:val="22"/>
          <w:szCs w:val="22"/>
        </w:rPr>
      </w:pPr>
      <w:r w:rsidRPr="00F45BC3">
        <w:rPr>
          <w:i/>
          <w:iCs/>
          <w:color w:val="000000" w:themeColor="text1"/>
          <w:sz w:val="22"/>
          <w:szCs w:val="22"/>
        </w:rPr>
        <w:t>This comment appears to conflate the issue of being under the control of a common parent versus under 100% common control of a group.</w:t>
      </w:r>
      <w:r w:rsidR="00837CEC">
        <w:rPr>
          <w:i/>
          <w:iCs/>
          <w:color w:val="000000" w:themeColor="text1"/>
          <w:sz w:val="22"/>
          <w:szCs w:val="22"/>
        </w:rPr>
        <w:t xml:space="preserve"> </w:t>
      </w:r>
      <w:r w:rsidRPr="00F45BC3">
        <w:rPr>
          <w:i/>
          <w:iCs/>
          <w:color w:val="000000" w:themeColor="text1"/>
          <w:sz w:val="22"/>
          <w:szCs w:val="22"/>
        </w:rPr>
        <w:t>The interested parties comment letter was distinguishing between intercompany pool entities which have a common parent versus intercompany pool entities which do not have a common parent.</w:t>
      </w:r>
      <w:r w:rsidR="00837CEC">
        <w:rPr>
          <w:i/>
          <w:iCs/>
          <w:color w:val="000000" w:themeColor="text1"/>
          <w:sz w:val="22"/>
          <w:szCs w:val="22"/>
        </w:rPr>
        <w:t xml:space="preserve"> </w:t>
      </w:r>
      <w:proofErr w:type="gramStart"/>
      <w:r w:rsidRPr="00F45BC3">
        <w:rPr>
          <w:i/>
          <w:iCs/>
          <w:color w:val="000000" w:themeColor="text1"/>
          <w:sz w:val="22"/>
          <w:szCs w:val="22"/>
        </w:rPr>
        <w:t>All of</w:t>
      </w:r>
      <w:proofErr w:type="gramEnd"/>
      <w:r w:rsidRPr="00F45BC3">
        <w:rPr>
          <w:i/>
          <w:iCs/>
          <w:color w:val="000000" w:themeColor="text1"/>
          <w:sz w:val="22"/>
          <w:szCs w:val="22"/>
        </w:rPr>
        <w:t xml:space="preserve"> the intercompany pool entities are under 100% common control, but not necessarily under the same common parent.</w:t>
      </w:r>
    </w:p>
    <w:p w14:paraId="49DEB498" w14:textId="77777777" w:rsidR="00F45BC3" w:rsidRPr="00F45BC3" w:rsidRDefault="00F45BC3" w:rsidP="0048194C">
      <w:pPr>
        <w:autoSpaceDE w:val="0"/>
        <w:autoSpaceDN w:val="0"/>
        <w:ind w:left="721"/>
        <w:jc w:val="both"/>
        <w:rPr>
          <w:i/>
          <w:iCs/>
          <w:color w:val="000000" w:themeColor="text1"/>
          <w:sz w:val="22"/>
          <w:szCs w:val="22"/>
        </w:rPr>
      </w:pPr>
    </w:p>
    <w:p w14:paraId="7FC316D0" w14:textId="77DC07DA" w:rsidR="00F45BC3" w:rsidRPr="00F45BC3" w:rsidRDefault="00F45BC3" w:rsidP="0048194C">
      <w:pPr>
        <w:autoSpaceDE w:val="0"/>
        <w:autoSpaceDN w:val="0"/>
        <w:ind w:left="721"/>
        <w:jc w:val="both"/>
        <w:rPr>
          <w:i/>
          <w:iCs/>
          <w:color w:val="000000" w:themeColor="text1"/>
          <w:sz w:val="22"/>
          <w:szCs w:val="22"/>
        </w:rPr>
      </w:pPr>
      <w:r w:rsidRPr="00F45BC3">
        <w:rPr>
          <w:i/>
          <w:iCs/>
          <w:color w:val="000000" w:themeColor="text1"/>
          <w:sz w:val="22"/>
          <w:szCs w:val="22"/>
        </w:rPr>
        <w:t>As an example, there may be downstream insurance subsidiaries of two top-tier insurance entities.</w:t>
      </w:r>
      <w:r w:rsidR="00837CEC">
        <w:rPr>
          <w:i/>
          <w:iCs/>
          <w:color w:val="000000" w:themeColor="text1"/>
          <w:sz w:val="22"/>
          <w:szCs w:val="22"/>
        </w:rPr>
        <w:t xml:space="preserve"> </w:t>
      </w:r>
      <w:r w:rsidRPr="00F45BC3">
        <w:rPr>
          <w:i/>
          <w:iCs/>
          <w:color w:val="000000" w:themeColor="text1"/>
          <w:sz w:val="22"/>
          <w:szCs w:val="22"/>
        </w:rPr>
        <w:t>The downstream insurance subsidiaries do not have common parents but are under 100% common control of the group.</w:t>
      </w:r>
    </w:p>
    <w:p w14:paraId="7A4F2378" w14:textId="77777777" w:rsidR="00F45BC3" w:rsidRPr="00F45BC3" w:rsidRDefault="00F45BC3" w:rsidP="0048194C">
      <w:pPr>
        <w:pStyle w:val="BodyText2"/>
        <w:jc w:val="both"/>
        <w:rPr>
          <w:color w:val="000000"/>
          <w:sz w:val="22"/>
          <w:szCs w:val="22"/>
        </w:rPr>
      </w:pPr>
    </w:p>
    <w:p w14:paraId="4910A0D0" w14:textId="77777777" w:rsidR="00F45BC3" w:rsidRPr="00F45BC3" w:rsidRDefault="00F45BC3" w:rsidP="00F45BC3">
      <w:pPr>
        <w:pStyle w:val="BodyText2"/>
        <w:jc w:val="both"/>
        <w:rPr>
          <w:b/>
          <w:bCs/>
          <w:color w:val="000000"/>
          <w:sz w:val="22"/>
          <w:szCs w:val="22"/>
        </w:rPr>
      </w:pPr>
      <w:r w:rsidRPr="00F45BC3">
        <w:rPr>
          <w:color w:val="000000"/>
          <w:sz w:val="22"/>
          <w:szCs w:val="22"/>
        </w:rPr>
        <w:t>We believe that nullification of the existing INT will likely result in inconsistent interpretation of the guidance by both companies and regulators and will result in inconsistent accounting treatment.</w:t>
      </w:r>
    </w:p>
    <w:p w14:paraId="428ADC48" w14:textId="77777777" w:rsidR="00F45BC3" w:rsidRDefault="00F45BC3" w:rsidP="00C2691E">
      <w:pPr>
        <w:pStyle w:val="ListContinue"/>
        <w:numPr>
          <w:ilvl w:val="0"/>
          <w:numId w:val="0"/>
        </w:numPr>
        <w:spacing w:after="0"/>
        <w:jc w:val="both"/>
        <w:rPr>
          <w:bCs/>
          <w:i/>
          <w:kern w:val="32"/>
          <w:sz w:val="22"/>
          <w:szCs w:val="22"/>
          <w:u w:val="single"/>
        </w:rPr>
      </w:pPr>
    </w:p>
    <w:p w14:paraId="180C5F82" w14:textId="77777777" w:rsidR="00A639A5" w:rsidRPr="00CE6195" w:rsidRDefault="00A639A5" w:rsidP="00A639A5">
      <w:pPr>
        <w:pStyle w:val="ListContinue"/>
        <w:numPr>
          <w:ilvl w:val="0"/>
          <w:numId w:val="0"/>
        </w:numPr>
        <w:spacing w:after="0"/>
        <w:jc w:val="both"/>
        <w:rPr>
          <w:bCs/>
          <w:iCs/>
          <w:kern w:val="32"/>
          <w:sz w:val="22"/>
          <w:szCs w:val="22"/>
          <w:u w:val="single"/>
        </w:rPr>
      </w:pPr>
      <w:r w:rsidRPr="00F45BC3">
        <w:rPr>
          <w:bCs/>
          <w:i/>
          <w:kern w:val="32"/>
          <w:sz w:val="22"/>
          <w:szCs w:val="22"/>
          <w:u w:val="single"/>
        </w:rPr>
        <w:t>Recommendation:</w:t>
      </w:r>
    </w:p>
    <w:p w14:paraId="7756BD27" w14:textId="112E1E89" w:rsidR="00761C4D" w:rsidRPr="002B7EBC" w:rsidRDefault="0036786D" w:rsidP="00761C4D">
      <w:pPr>
        <w:pStyle w:val="BodyText2"/>
        <w:jc w:val="both"/>
        <w:rPr>
          <w:b/>
          <w:sz w:val="22"/>
          <w:szCs w:val="22"/>
        </w:rPr>
      </w:pPr>
      <w:r w:rsidRPr="002B7EBC">
        <w:rPr>
          <w:b/>
          <w:kern w:val="32"/>
          <w:sz w:val="22"/>
          <w:szCs w:val="22"/>
        </w:rPr>
        <w:t>NAIC Staff continues to recommend nullification of the INT</w:t>
      </w:r>
      <w:r w:rsidR="00AB6A92" w:rsidRPr="002B7EBC">
        <w:rPr>
          <w:b/>
          <w:kern w:val="32"/>
          <w:sz w:val="22"/>
          <w:szCs w:val="22"/>
        </w:rPr>
        <w:t xml:space="preserve"> </w:t>
      </w:r>
      <w:r w:rsidRPr="002B7EBC">
        <w:rPr>
          <w:b/>
          <w:kern w:val="32"/>
          <w:sz w:val="22"/>
          <w:szCs w:val="22"/>
        </w:rPr>
        <w:t>03-02</w:t>
      </w:r>
      <w:r w:rsidR="00761C4D" w:rsidRPr="002B7EBC">
        <w:rPr>
          <w:b/>
          <w:sz w:val="22"/>
          <w:szCs w:val="22"/>
        </w:rPr>
        <w:t xml:space="preserve">, as it is inconsistent with SSAP No. 25 guidance regarding economic and non-economic transactions between related parties. The guidance in INT 03-02 can result with in essence, unrecognized gains (dividends) or losses through the using the statutory book valuation when using assets (bonds) to make payments to affiliates for modifications to existing intercompany reinsurance pooling agreements. Treatment of transfers of assets between affiliates should be consistent for all intercompany transactions and there is not a compelling need to be different when valuing assets for intercompany reinsurance transactions. </w:t>
      </w:r>
      <w:r w:rsidR="002C1BDF">
        <w:rPr>
          <w:b/>
          <w:sz w:val="22"/>
          <w:szCs w:val="22"/>
        </w:rPr>
        <w:t>NAIC staff requests Working Group direction on effective date for nullification and suggests December 31, 2022.</w:t>
      </w:r>
    </w:p>
    <w:p w14:paraId="16C5F19D" w14:textId="77777777" w:rsidR="009A4353" w:rsidRDefault="009A4353" w:rsidP="009A4353">
      <w:pPr>
        <w:pStyle w:val="PlainText"/>
        <w:jc w:val="both"/>
        <w:rPr>
          <w:rFonts w:ascii="Times New Roman" w:hAnsi="Times New Roman" w:cs="Times New Roman"/>
        </w:rPr>
      </w:pPr>
    </w:p>
    <w:p w14:paraId="42D2D24D" w14:textId="0DBBCEF1" w:rsidR="009A4353" w:rsidRDefault="009A4353" w:rsidP="009A4353">
      <w:pPr>
        <w:spacing w:after="220"/>
        <w:jc w:val="both"/>
        <w:rPr>
          <w:bCs/>
          <w:sz w:val="22"/>
          <w:szCs w:val="22"/>
        </w:rPr>
      </w:pPr>
      <w:r w:rsidRPr="00CC74A7">
        <w:rPr>
          <w:sz w:val="22"/>
          <w:szCs w:val="22"/>
        </w:rPr>
        <w:t xml:space="preserve">INT 03-02, for intercompany reinsurance transactions, takes an approach that either SSAP No. 25 or SSAP No. 62R </w:t>
      </w:r>
      <w:r w:rsidR="0039116C" w:rsidRPr="00CC74A7">
        <w:rPr>
          <w:sz w:val="22"/>
          <w:szCs w:val="22"/>
        </w:rPr>
        <w:t>applies</w:t>
      </w:r>
      <w:r w:rsidR="00E20488" w:rsidRPr="00CC74A7">
        <w:rPr>
          <w:sz w:val="22"/>
          <w:szCs w:val="22"/>
        </w:rPr>
        <w:t>, however</w:t>
      </w:r>
      <w:r w:rsidRPr="00CC74A7">
        <w:rPr>
          <w:sz w:val="22"/>
          <w:szCs w:val="22"/>
        </w:rPr>
        <w:t xml:space="preserve"> but multiple Working Group discussions have noted that SSAP No. 25 provides the overarching guidance that is relevant in evaluating </w:t>
      </w:r>
      <w:r w:rsidRPr="00CC74A7">
        <w:rPr>
          <w:b/>
          <w:sz w:val="22"/>
          <w:szCs w:val="22"/>
          <w:u w:val="single"/>
        </w:rPr>
        <w:t>all related party transactions</w:t>
      </w:r>
      <w:r w:rsidRPr="00CC74A7">
        <w:rPr>
          <w:sz w:val="22"/>
          <w:szCs w:val="22"/>
        </w:rPr>
        <w:t>. INT 03-02, paragraph 8 indicates that the statutory accounting intention is to avoid surplus gains for the ceding entity as a result of implementing a modification to an intercompany pooling arrangement. However, the guidance in SSAP No, 62R, paragraph 37 uses a more punitive method of accounting if there is a gain in surplus to the ceding entity as a result of the intercompany reinsurance transaction. Therefore, NAIC staff would characterize the SSAP No. 62R guidance as imposing an accounting penalty if there is a gain, rather than seeking to avoid recognizing such a gain. The INT also characterizes SSAP No. 25 as being for isolated transactions, which is inconsistent with discussions of the Working Group on the applicability of SSAP No. 25.</w:t>
      </w:r>
      <w:r w:rsidR="005D5215">
        <w:rPr>
          <w:bCs/>
          <w:sz w:val="22"/>
          <w:szCs w:val="22"/>
        </w:rPr>
        <w:t xml:space="preserve"> </w:t>
      </w:r>
    </w:p>
    <w:p w14:paraId="5AAF0CB6" w14:textId="77777777" w:rsidR="00A64E4F" w:rsidRPr="00043081" w:rsidRDefault="00A64E4F" w:rsidP="00C2691E">
      <w:pPr>
        <w:pStyle w:val="ListContinue"/>
        <w:numPr>
          <w:ilvl w:val="0"/>
          <w:numId w:val="0"/>
        </w:numPr>
        <w:spacing w:after="0"/>
        <w:jc w:val="both"/>
        <w:rPr>
          <w:bCs/>
          <w:iCs/>
          <w:kern w:val="32"/>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BB60FA" w:rsidRPr="00F45BC3" w14:paraId="7C3A8701"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33357EFC" w14:textId="77777777" w:rsidR="00BB60FA" w:rsidRPr="00F45BC3" w:rsidRDefault="00BB60FA">
            <w:pPr>
              <w:widowControl w:val="0"/>
              <w:jc w:val="center"/>
              <w:rPr>
                <w:b/>
                <w:color w:val="FFFFFF"/>
                <w:sz w:val="22"/>
                <w:szCs w:val="22"/>
              </w:rPr>
            </w:pPr>
          </w:p>
          <w:p w14:paraId="26555D05" w14:textId="77777777" w:rsidR="00BB60FA" w:rsidRPr="00F45BC3" w:rsidRDefault="00BB60FA">
            <w:pPr>
              <w:widowControl w:val="0"/>
              <w:jc w:val="center"/>
              <w:rPr>
                <w:b/>
                <w:color w:val="FFFFFF"/>
                <w:sz w:val="22"/>
                <w:szCs w:val="22"/>
              </w:rPr>
            </w:pPr>
            <w:r w:rsidRPr="00F45BC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3DE49A1" w14:textId="77777777" w:rsidR="00BB60FA" w:rsidRPr="00F45BC3" w:rsidRDefault="00BB60FA">
            <w:pPr>
              <w:widowControl w:val="0"/>
              <w:jc w:val="center"/>
              <w:rPr>
                <w:b/>
                <w:color w:val="FFFFFF"/>
                <w:sz w:val="22"/>
                <w:szCs w:val="22"/>
              </w:rPr>
            </w:pPr>
          </w:p>
          <w:p w14:paraId="71BB83E5" w14:textId="77777777" w:rsidR="00BB60FA" w:rsidRPr="00F45BC3" w:rsidRDefault="00BB60FA">
            <w:pPr>
              <w:widowControl w:val="0"/>
              <w:jc w:val="center"/>
              <w:rPr>
                <w:b/>
                <w:color w:val="FFFFFF"/>
                <w:sz w:val="22"/>
                <w:szCs w:val="22"/>
              </w:rPr>
            </w:pPr>
            <w:r w:rsidRPr="00F45BC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1BFE34C" w14:textId="77777777" w:rsidR="00BB60FA" w:rsidRPr="00F45BC3" w:rsidRDefault="00BB60FA">
            <w:pPr>
              <w:widowControl w:val="0"/>
              <w:jc w:val="center"/>
              <w:rPr>
                <w:b/>
                <w:color w:val="FFFFFF"/>
                <w:sz w:val="22"/>
                <w:szCs w:val="22"/>
              </w:rPr>
            </w:pPr>
          </w:p>
          <w:p w14:paraId="797FC53B" w14:textId="77777777" w:rsidR="00BB60FA" w:rsidRPr="00F45BC3" w:rsidRDefault="00BB60FA">
            <w:pPr>
              <w:widowControl w:val="0"/>
              <w:jc w:val="center"/>
              <w:rPr>
                <w:b/>
                <w:color w:val="FFFFFF"/>
                <w:sz w:val="22"/>
                <w:szCs w:val="22"/>
              </w:rPr>
            </w:pPr>
            <w:r w:rsidRPr="00F45BC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5BE547B" w14:textId="77777777" w:rsidR="00BB60FA" w:rsidRPr="00F45BC3" w:rsidRDefault="00BB60FA">
            <w:pPr>
              <w:widowControl w:val="0"/>
              <w:jc w:val="center"/>
              <w:rPr>
                <w:b/>
                <w:bCs/>
                <w:color w:val="FFFFFF"/>
                <w:sz w:val="22"/>
                <w:szCs w:val="22"/>
              </w:rPr>
            </w:pPr>
            <w:r w:rsidRPr="00F45BC3">
              <w:rPr>
                <w:b/>
                <w:bCs/>
                <w:sz w:val="22"/>
                <w:szCs w:val="22"/>
              </w:rPr>
              <w:t>Agreement with Exposed Document?</w:t>
            </w:r>
            <w:r w:rsidRPr="00F45BC3">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61BBC9D3" w14:textId="638FAE5E" w:rsidR="00BB60FA" w:rsidRPr="00F45BC3" w:rsidRDefault="00BB60FA">
            <w:pPr>
              <w:widowControl w:val="0"/>
              <w:jc w:val="center"/>
              <w:rPr>
                <w:b/>
                <w:bCs/>
                <w:color w:val="FFFFFF"/>
                <w:sz w:val="22"/>
                <w:szCs w:val="22"/>
              </w:rPr>
            </w:pPr>
            <w:r w:rsidRPr="00F45BC3">
              <w:rPr>
                <w:b/>
                <w:bCs/>
                <w:sz w:val="22"/>
                <w:szCs w:val="22"/>
              </w:rPr>
              <w:t>Comment Letter Page Number</w:t>
            </w:r>
          </w:p>
        </w:tc>
      </w:tr>
      <w:tr w:rsidR="00BB60FA" w:rsidRPr="00F45BC3" w14:paraId="10443E68" w14:textId="77777777">
        <w:trPr>
          <w:trHeight w:val="800"/>
        </w:trPr>
        <w:tc>
          <w:tcPr>
            <w:tcW w:w="1615" w:type="dxa"/>
            <w:tcBorders>
              <w:top w:val="single" w:sz="4" w:space="0" w:color="FFFFFF"/>
            </w:tcBorders>
            <w:shd w:val="clear" w:color="auto" w:fill="F2F2F2"/>
            <w:vAlign w:val="center"/>
          </w:tcPr>
          <w:p w14:paraId="6C5A2C05" w14:textId="54128029" w:rsidR="00BB60FA" w:rsidRPr="00F45BC3" w:rsidRDefault="00BB60FA">
            <w:pPr>
              <w:widowControl w:val="0"/>
              <w:jc w:val="center"/>
              <w:rPr>
                <w:b/>
                <w:sz w:val="22"/>
                <w:szCs w:val="22"/>
              </w:rPr>
            </w:pPr>
            <w:r w:rsidRPr="00F45BC3">
              <w:rPr>
                <w:b/>
                <w:sz w:val="22"/>
                <w:szCs w:val="22"/>
              </w:rPr>
              <w:t>2022-</w:t>
            </w:r>
            <w:r>
              <w:rPr>
                <w:b/>
                <w:sz w:val="22"/>
                <w:szCs w:val="22"/>
              </w:rPr>
              <w:t>14</w:t>
            </w:r>
          </w:p>
          <w:p w14:paraId="5A57A2FE" w14:textId="7DC4AF64" w:rsidR="00BB60FA" w:rsidRPr="00F45BC3" w:rsidRDefault="00BB60FA">
            <w:pPr>
              <w:widowControl w:val="0"/>
              <w:jc w:val="center"/>
              <w:rPr>
                <w:b/>
                <w:sz w:val="22"/>
                <w:szCs w:val="22"/>
              </w:rPr>
            </w:pPr>
            <w:r w:rsidRPr="00F45BC3">
              <w:rPr>
                <w:b/>
                <w:sz w:val="22"/>
                <w:szCs w:val="22"/>
              </w:rPr>
              <w:t>(</w:t>
            </w:r>
            <w:r>
              <w:rPr>
                <w:b/>
                <w:sz w:val="22"/>
                <w:szCs w:val="22"/>
              </w:rPr>
              <w:t>Julie / Wil</w:t>
            </w:r>
            <w:r w:rsidRPr="00F45BC3">
              <w:rPr>
                <w:b/>
                <w:sz w:val="22"/>
                <w:szCs w:val="22"/>
              </w:rPr>
              <w:t>)</w:t>
            </w:r>
          </w:p>
        </w:tc>
        <w:tc>
          <w:tcPr>
            <w:tcW w:w="3198" w:type="dxa"/>
            <w:tcBorders>
              <w:top w:val="single" w:sz="4" w:space="0" w:color="FFFFFF"/>
            </w:tcBorders>
            <w:shd w:val="clear" w:color="auto" w:fill="F2F2F2"/>
            <w:vAlign w:val="center"/>
          </w:tcPr>
          <w:p w14:paraId="6F14C8C1" w14:textId="5E98A67A" w:rsidR="00BB60FA" w:rsidRPr="00F45BC3" w:rsidRDefault="00BB60FA">
            <w:pPr>
              <w:pStyle w:val="Heading2"/>
              <w:rPr>
                <w:iCs/>
                <w:sz w:val="22"/>
                <w:szCs w:val="22"/>
              </w:rPr>
            </w:pPr>
            <w:r>
              <w:rPr>
                <w:iCs/>
                <w:sz w:val="22"/>
                <w:szCs w:val="22"/>
              </w:rPr>
              <w:t>New Market Tax Credits</w:t>
            </w:r>
          </w:p>
        </w:tc>
        <w:tc>
          <w:tcPr>
            <w:tcW w:w="2112" w:type="dxa"/>
            <w:tcBorders>
              <w:top w:val="single" w:sz="4" w:space="0" w:color="FFFFFF"/>
            </w:tcBorders>
            <w:shd w:val="clear" w:color="auto" w:fill="F2F2F2"/>
            <w:vAlign w:val="center"/>
          </w:tcPr>
          <w:p w14:paraId="41951726" w14:textId="77777777" w:rsidR="009333CF" w:rsidRDefault="00404600">
            <w:pPr>
              <w:widowControl w:val="0"/>
              <w:jc w:val="center"/>
              <w:rPr>
                <w:b/>
                <w:sz w:val="22"/>
                <w:szCs w:val="22"/>
              </w:rPr>
            </w:pPr>
            <w:r>
              <w:rPr>
                <w:b/>
                <w:sz w:val="22"/>
                <w:szCs w:val="22"/>
              </w:rPr>
              <w:t>1</w:t>
            </w:r>
            <w:r w:rsidR="00325D92">
              <w:rPr>
                <w:b/>
                <w:sz w:val="22"/>
                <w:szCs w:val="22"/>
              </w:rPr>
              <w:t>6</w:t>
            </w:r>
            <w:r w:rsidR="00BB60FA" w:rsidRPr="00F45BC3">
              <w:rPr>
                <w:b/>
                <w:sz w:val="22"/>
                <w:szCs w:val="22"/>
              </w:rPr>
              <w:t xml:space="preserve"> – </w:t>
            </w:r>
            <w:r w:rsidR="009333CF">
              <w:rPr>
                <w:b/>
                <w:sz w:val="22"/>
                <w:szCs w:val="22"/>
              </w:rPr>
              <w:t>Form A</w:t>
            </w:r>
          </w:p>
          <w:p w14:paraId="0B669631" w14:textId="68F6C0EA" w:rsidR="00BB60FA" w:rsidRPr="00F45BC3" w:rsidRDefault="00867FF3">
            <w:pPr>
              <w:widowControl w:val="0"/>
              <w:jc w:val="center"/>
              <w:rPr>
                <w:b/>
                <w:sz w:val="22"/>
                <w:szCs w:val="22"/>
              </w:rPr>
            </w:pPr>
            <w:r>
              <w:rPr>
                <w:b/>
                <w:sz w:val="22"/>
                <w:szCs w:val="22"/>
              </w:rPr>
              <w:t>17–</w:t>
            </w:r>
            <w:r w:rsidR="00BB60FA">
              <w:rPr>
                <w:b/>
                <w:sz w:val="22"/>
                <w:szCs w:val="22"/>
              </w:rPr>
              <w:t>Discussion Document</w:t>
            </w:r>
          </w:p>
        </w:tc>
        <w:tc>
          <w:tcPr>
            <w:tcW w:w="1710" w:type="dxa"/>
            <w:tcBorders>
              <w:top w:val="single" w:sz="4" w:space="0" w:color="FFFFFF"/>
            </w:tcBorders>
            <w:shd w:val="clear" w:color="auto" w:fill="F2F2F2"/>
            <w:vAlign w:val="center"/>
          </w:tcPr>
          <w:p w14:paraId="799C95DC" w14:textId="6687E7B5" w:rsidR="00BB60FA" w:rsidRPr="00F45BC3" w:rsidRDefault="003F3E8E">
            <w:pPr>
              <w:widowControl w:val="0"/>
              <w:jc w:val="center"/>
              <w:rPr>
                <w:b/>
                <w:sz w:val="22"/>
                <w:szCs w:val="22"/>
              </w:rPr>
            </w:pPr>
            <w:r>
              <w:rPr>
                <w:b/>
                <w:sz w:val="22"/>
                <w:szCs w:val="22"/>
              </w:rPr>
              <w:t>Comments Received</w:t>
            </w:r>
          </w:p>
        </w:tc>
        <w:tc>
          <w:tcPr>
            <w:tcW w:w="1440" w:type="dxa"/>
            <w:tcBorders>
              <w:top w:val="single" w:sz="4" w:space="0" w:color="FFFFFF"/>
            </w:tcBorders>
            <w:shd w:val="clear" w:color="auto" w:fill="F2F2F2"/>
            <w:vAlign w:val="center"/>
          </w:tcPr>
          <w:p w14:paraId="31011A2A" w14:textId="77777777" w:rsidR="00BB60FA" w:rsidRDefault="0005533E">
            <w:pPr>
              <w:widowControl w:val="0"/>
              <w:jc w:val="center"/>
              <w:rPr>
                <w:b/>
                <w:sz w:val="22"/>
                <w:szCs w:val="22"/>
              </w:rPr>
            </w:pPr>
            <w:r>
              <w:rPr>
                <w:b/>
                <w:sz w:val="22"/>
                <w:szCs w:val="22"/>
              </w:rPr>
              <w:t>IP-6</w:t>
            </w:r>
          </w:p>
          <w:p w14:paraId="072E24BE" w14:textId="3DD016DC" w:rsidR="0008358B" w:rsidRPr="00F45BC3" w:rsidRDefault="0008358B">
            <w:pPr>
              <w:widowControl w:val="0"/>
              <w:jc w:val="center"/>
              <w:rPr>
                <w:b/>
                <w:sz w:val="22"/>
                <w:szCs w:val="22"/>
              </w:rPr>
            </w:pPr>
            <w:r>
              <w:rPr>
                <w:b/>
                <w:sz w:val="22"/>
                <w:szCs w:val="22"/>
              </w:rPr>
              <w:t>IP-16</w:t>
            </w:r>
          </w:p>
        </w:tc>
      </w:tr>
    </w:tbl>
    <w:p w14:paraId="251AC3CC" w14:textId="77777777" w:rsidR="00BB60FA" w:rsidRPr="00F45BC3" w:rsidRDefault="00BB60FA" w:rsidP="00BB60FA">
      <w:pPr>
        <w:rPr>
          <w:sz w:val="22"/>
          <w:szCs w:val="22"/>
        </w:rPr>
      </w:pPr>
    </w:p>
    <w:p w14:paraId="0ED61C70" w14:textId="77777777" w:rsidR="00BB60FA" w:rsidRPr="007A4CDA" w:rsidRDefault="00BB60FA" w:rsidP="00BB60FA">
      <w:pPr>
        <w:jc w:val="both"/>
        <w:rPr>
          <w:sz w:val="22"/>
          <w:szCs w:val="22"/>
          <w:u w:val="single"/>
        </w:rPr>
      </w:pPr>
      <w:r w:rsidRPr="007A4CDA">
        <w:rPr>
          <w:i/>
          <w:sz w:val="22"/>
          <w:szCs w:val="22"/>
          <w:u w:val="single"/>
        </w:rPr>
        <w:t>Summary:</w:t>
      </w:r>
      <w:r w:rsidRPr="007A4CDA">
        <w:rPr>
          <w:sz w:val="22"/>
          <w:szCs w:val="22"/>
          <w:u w:val="single"/>
        </w:rPr>
        <w:t xml:space="preserve"> </w:t>
      </w:r>
    </w:p>
    <w:p w14:paraId="470DB86C" w14:textId="143928E5" w:rsidR="00BB60FA" w:rsidRPr="00F45BC3" w:rsidRDefault="00BB60FA" w:rsidP="00B02E01">
      <w:pPr>
        <w:pStyle w:val="BodyText2"/>
        <w:jc w:val="both"/>
        <w:rPr>
          <w:b/>
          <w:bCs/>
          <w:color w:val="111822"/>
          <w:sz w:val="22"/>
          <w:szCs w:val="22"/>
          <w:shd w:val="clear" w:color="auto" w:fill="F7FCFF"/>
        </w:rPr>
      </w:pPr>
      <w:r w:rsidRPr="00F45BC3">
        <w:rPr>
          <w:iCs/>
          <w:sz w:val="22"/>
          <w:szCs w:val="22"/>
        </w:rPr>
        <w:t xml:space="preserve">During the 2022 Fall National Meeting, the Working Group </w:t>
      </w:r>
      <w:r w:rsidR="0046143C">
        <w:rPr>
          <w:iCs/>
          <w:sz w:val="22"/>
          <w:szCs w:val="22"/>
        </w:rPr>
        <w:t xml:space="preserve">exposed a discussion document to expand current statutory accounting guidance </w:t>
      </w:r>
      <w:r w:rsidR="00B02E01">
        <w:rPr>
          <w:iCs/>
          <w:sz w:val="22"/>
          <w:szCs w:val="22"/>
        </w:rPr>
        <w:t xml:space="preserve">in </w:t>
      </w:r>
      <w:r w:rsidR="00B02E01" w:rsidRPr="00804841">
        <w:rPr>
          <w:i/>
          <w:sz w:val="22"/>
          <w:szCs w:val="22"/>
        </w:rPr>
        <w:t>SSAP No. 93—</w:t>
      </w:r>
      <w:r w:rsidR="00804841" w:rsidRPr="00804841">
        <w:rPr>
          <w:i/>
          <w:sz w:val="22"/>
          <w:szCs w:val="22"/>
        </w:rPr>
        <w:t>Low-Income Housing Tax Credit Property Investments</w:t>
      </w:r>
      <w:r w:rsidR="00804841">
        <w:rPr>
          <w:iCs/>
          <w:sz w:val="22"/>
          <w:szCs w:val="22"/>
        </w:rPr>
        <w:t xml:space="preserve"> </w:t>
      </w:r>
      <w:r w:rsidR="0046143C">
        <w:rPr>
          <w:iCs/>
          <w:sz w:val="22"/>
          <w:szCs w:val="22"/>
        </w:rPr>
        <w:t xml:space="preserve">to capture all tax equity investments that provide federal business tax credit and state premium tax credits if they meet specified criteria. </w:t>
      </w:r>
    </w:p>
    <w:p w14:paraId="7468E8DD" w14:textId="77777777" w:rsidR="00BB60FA" w:rsidRPr="00F45BC3" w:rsidRDefault="00BB60FA" w:rsidP="00BB60FA">
      <w:pPr>
        <w:pStyle w:val="BodyText2"/>
        <w:jc w:val="both"/>
        <w:rPr>
          <w:iCs/>
          <w:sz w:val="22"/>
          <w:szCs w:val="22"/>
        </w:rPr>
      </w:pPr>
    </w:p>
    <w:p w14:paraId="77BA5A1F" w14:textId="77777777" w:rsidR="00BB60FA" w:rsidRPr="00F45BC3" w:rsidRDefault="00BB60FA" w:rsidP="00BB60FA">
      <w:pPr>
        <w:pStyle w:val="paragraph"/>
        <w:spacing w:before="0" w:beforeAutospacing="0" w:after="0" w:afterAutospacing="0"/>
        <w:jc w:val="both"/>
        <w:textAlignment w:val="baseline"/>
        <w:rPr>
          <w:bCs/>
          <w:i/>
          <w:sz w:val="22"/>
          <w:szCs w:val="22"/>
          <w:u w:val="single"/>
        </w:rPr>
      </w:pPr>
      <w:r w:rsidRPr="00F45BC3">
        <w:rPr>
          <w:bCs/>
          <w:i/>
          <w:sz w:val="22"/>
          <w:szCs w:val="22"/>
          <w:u w:val="single"/>
        </w:rPr>
        <w:t>Interested Parties’ Comments:</w:t>
      </w:r>
    </w:p>
    <w:p w14:paraId="60B53A89" w14:textId="0E61B465" w:rsidR="00E45AFE" w:rsidRPr="00E45AFE" w:rsidRDefault="00E45AFE" w:rsidP="00DC375A">
      <w:pPr>
        <w:jc w:val="both"/>
        <w:rPr>
          <w:sz w:val="22"/>
          <w:szCs w:val="22"/>
        </w:rPr>
      </w:pPr>
      <w:r w:rsidRPr="00E45AFE">
        <w:rPr>
          <w:sz w:val="22"/>
          <w:szCs w:val="22"/>
        </w:rPr>
        <w:t>Interested parties agree with having uniformity in accounting and reporting for equity investments for which the return is earned primarily through tax credits.</w:t>
      </w:r>
      <w:r w:rsidR="00837CEC">
        <w:rPr>
          <w:sz w:val="22"/>
          <w:szCs w:val="22"/>
        </w:rPr>
        <w:t xml:space="preserve"> </w:t>
      </w:r>
      <w:r w:rsidRPr="00E45AFE">
        <w:rPr>
          <w:sz w:val="22"/>
          <w:szCs w:val="22"/>
        </w:rPr>
        <w:t>Interested parties agree that the proportional amortization method is an appropriate method to use for any type of investment (debt or equity) where the return is primarily earned through tax credits.</w:t>
      </w:r>
      <w:r w:rsidR="00837CEC">
        <w:rPr>
          <w:sz w:val="22"/>
          <w:szCs w:val="22"/>
        </w:rPr>
        <w:t xml:space="preserve"> </w:t>
      </w:r>
      <w:r w:rsidRPr="00E45AFE">
        <w:rPr>
          <w:sz w:val="22"/>
          <w:szCs w:val="22"/>
        </w:rPr>
        <w:t>We are providing responses to the questions exposed in the Discussion Paper in this document.</w:t>
      </w:r>
      <w:r w:rsidR="00837CEC">
        <w:rPr>
          <w:sz w:val="22"/>
          <w:szCs w:val="22"/>
        </w:rPr>
        <w:t xml:space="preserve"> </w:t>
      </w:r>
      <w:r w:rsidRPr="00E45AFE">
        <w:rPr>
          <w:sz w:val="22"/>
          <w:szCs w:val="22"/>
        </w:rPr>
        <w:t>There are two key take aways from our responses summarized as follows:</w:t>
      </w:r>
    </w:p>
    <w:p w14:paraId="2393746F" w14:textId="77777777" w:rsidR="00E45AFE" w:rsidRPr="00E45AFE" w:rsidRDefault="00E45AFE" w:rsidP="00E45AFE">
      <w:pPr>
        <w:rPr>
          <w:sz w:val="22"/>
          <w:szCs w:val="22"/>
        </w:rPr>
      </w:pPr>
    </w:p>
    <w:p w14:paraId="6AE697EB" w14:textId="77777777" w:rsidR="00E45AFE" w:rsidRPr="00E45AFE" w:rsidRDefault="00E45AFE" w:rsidP="00565D51">
      <w:pPr>
        <w:pStyle w:val="ListParagraph"/>
        <w:numPr>
          <w:ilvl w:val="0"/>
          <w:numId w:val="27"/>
        </w:numPr>
        <w:jc w:val="both"/>
        <w:rPr>
          <w:sz w:val="22"/>
          <w:szCs w:val="22"/>
        </w:rPr>
      </w:pPr>
      <w:r w:rsidRPr="00E45AFE">
        <w:rPr>
          <w:sz w:val="22"/>
          <w:szCs w:val="22"/>
        </w:rPr>
        <w:t xml:space="preserve">Interested parties ask the Working Group to consider allowing for the reporting of both the amortization of the investments and the use of the tax credits themselves in the same income statement line </w:t>
      </w:r>
      <w:proofErr w:type="gramStart"/>
      <w:r w:rsidRPr="00E45AFE">
        <w:rPr>
          <w:sz w:val="22"/>
          <w:szCs w:val="22"/>
        </w:rPr>
        <w:t>similar to</w:t>
      </w:r>
      <w:proofErr w:type="gramEnd"/>
      <w:r w:rsidRPr="00E45AFE">
        <w:rPr>
          <w:sz w:val="22"/>
          <w:szCs w:val="22"/>
        </w:rPr>
        <w:t xml:space="preserve"> what is required under U.S. GAAP.</w:t>
      </w:r>
    </w:p>
    <w:p w14:paraId="2B5F0B28" w14:textId="77777777" w:rsidR="00E45AFE" w:rsidRPr="00E45AFE" w:rsidRDefault="00E45AFE" w:rsidP="00E45AFE">
      <w:pPr>
        <w:pStyle w:val="ListParagraph"/>
        <w:jc w:val="both"/>
        <w:rPr>
          <w:sz w:val="22"/>
          <w:szCs w:val="22"/>
        </w:rPr>
      </w:pPr>
    </w:p>
    <w:p w14:paraId="783BCFE0" w14:textId="77777777" w:rsidR="00E45AFE" w:rsidRPr="00E45AFE" w:rsidRDefault="00E45AFE" w:rsidP="00565D51">
      <w:pPr>
        <w:pStyle w:val="ListParagraph"/>
        <w:numPr>
          <w:ilvl w:val="0"/>
          <w:numId w:val="27"/>
        </w:numPr>
        <w:jc w:val="both"/>
        <w:rPr>
          <w:sz w:val="22"/>
          <w:szCs w:val="22"/>
        </w:rPr>
      </w:pPr>
      <w:r w:rsidRPr="00E45AFE">
        <w:rPr>
          <w:sz w:val="22"/>
          <w:szCs w:val="22"/>
        </w:rPr>
        <w:t>Interested parties have concerns regarding tax credit investments that are issued in debt form and requiring those investments to be reported on Schedule BA instead of Schedule D. Interested parties believe that tax credit investments issued in debt form are better suited for Schedule D reporting.</w:t>
      </w:r>
    </w:p>
    <w:p w14:paraId="3225DB74" w14:textId="77777777" w:rsidR="00C2691E" w:rsidRDefault="00C2691E" w:rsidP="008D18E2">
      <w:pPr>
        <w:rPr>
          <w:sz w:val="22"/>
          <w:szCs w:val="22"/>
        </w:rPr>
      </w:pPr>
    </w:p>
    <w:p w14:paraId="51DA8055" w14:textId="65E40113" w:rsidR="00E45AFE" w:rsidRPr="00224A83" w:rsidRDefault="009C2A14" w:rsidP="00DC375A">
      <w:pPr>
        <w:jc w:val="both"/>
        <w:rPr>
          <w:i/>
          <w:sz w:val="22"/>
          <w:szCs w:val="22"/>
        </w:rPr>
      </w:pPr>
      <w:r w:rsidRPr="00224A83">
        <w:rPr>
          <w:b/>
          <w:i/>
          <w:sz w:val="22"/>
          <w:szCs w:val="22"/>
        </w:rPr>
        <w:t>NOTE:</w:t>
      </w:r>
      <w:r w:rsidRPr="00224A83">
        <w:rPr>
          <w:i/>
          <w:sz w:val="22"/>
          <w:szCs w:val="22"/>
        </w:rPr>
        <w:t xml:space="preserve"> </w:t>
      </w:r>
      <w:r w:rsidR="00E45AFE" w:rsidRPr="00224A83">
        <w:rPr>
          <w:i/>
          <w:sz w:val="22"/>
          <w:szCs w:val="22"/>
        </w:rPr>
        <w:t xml:space="preserve">In addition to these two comments, interested parties have provided responses to the questions detailed in the discussion document. </w:t>
      </w:r>
      <w:r w:rsidR="00FF0F83" w:rsidRPr="00224A83">
        <w:rPr>
          <w:i/>
          <w:sz w:val="22"/>
          <w:szCs w:val="22"/>
        </w:rPr>
        <w:t xml:space="preserve">These responses are detailed in the comment letter but have not been duplicated within this hearing agenda. </w:t>
      </w:r>
    </w:p>
    <w:p w14:paraId="7F14C543" w14:textId="77777777" w:rsidR="00E45AFE" w:rsidRPr="00B53104" w:rsidRDefault="00E45AFE" w:rsidP="008D18E2">
      <w:pPr>
        <w:rPr>
          <w:sz w:val="22"/>
          <w:szCs w:val="22"/>
        </w:rPr>
      </w:pPr>
    </w:p>
    <w:p w14:paraId="789D5D66" w14:textId="77777777" w:rsidR="00FF0F83" w:rsidRPr="00B53104" w:rsidRDefault="00FF0F83" w:rsidP="00FF0F83">
      <w:pPr>
        <w:pStyle w:val="ListContinue"/>
        <w:numPr>
          <w:ilvl w:val="0"/>
          <w:numId w:val="0"/>
        </w:numPr>
        <w:spacing w:after="0"/>
        <w:jc w:val="both"/>
        <w:rPr>
          <w:bCs/>
          <w:i/>
          <w:kern w:val="32"/>
          <w:sz w:val="22"/>
          <w:szCs w:val="22"/>
          <w:u w:val="single"/>
        </w:rPr>
      </w:pPr>
      <w:r w:rsidRPr="00B53104">
        <w:rPr>
          <w:bCs/>
          <w:i/>
          <w:kern w:val="32"/>
          <w:sz w:val="22"/>
          <w:szCs w:val="22"/>
          <w:u w:val="single"/>
        </w:rPr>
        <w:t>Recommendation:</w:t>
      </w:r>
    </w:p>
    <w:p w14:paraId="74E73ECF" w14:textId="7E96F1C1" w:rsidR="00E45AFE" w:rsidRPr="00B53104" w:rsidRDefault="00FF0F83" w:rsidP="00B30037">
      <w:pPr>
        <w:jc w:val="both"/>
        <w:rPr>
          <w:b/>
          <w:bCs/>
          <w:sz w:val="22"/>
          <w:szCs w:val="22"/>
        </w:rPr>
      </w:pPr>
      <w:r w:rsidRPr="00B53104">
        <w:rPr>
          <w:b/>
          <w:bCs/>
          <w:sz w:val="22"/>
          <w:szCs w:val="22"/>
        </w:rPr>
        <w:t xml:space="preserve">NAIC staff recommends that the Working Group direct NAIC staff to proceed with drafting </w:t>
      </w:r>
      <w:r w:rsidR="00BC6508" w:rsidRPr="00B53104">
        <w:rPr>
          <w:b/>
          <w:bCs/>
          <w:sz w:val="22"/>
          <w:szCs w:val="22"/>
        </w:rPr>
        <w:t xml:space="preserve">revised statutory accounting guidance and a related issue paper to expand the guidance </w:t>
      </w:r>
      <w:r w:rsidR="00804841" w:rsidRPr="00B53104">
        <w:rPr>
          <w:b/>
          <w:bCs/>
          <w:sz w:val="22"/>
          <w:szCs w:val="22"/>
        </w:rPr>
        <w:t xml:space="preserve">in SSAP No. 93 </w:t>
      </w:r>
      <w:r w:rsidR="00BC6508" w:rsidRPr="00B53104">
        <w:rPr>
          <w:b/>
          <w:bCs/>
          <w:sz w:val="22"/>
          <w:szCs w:val="22"/>
        </w:rPr>
        <w:t>for tax credits</w:t>
      </w:r>
      <w:r w:rsidR="00C0018E" w:rsidRPr="00B53104">
        <w:rPr>
          <w:b/>
          <w:bCs/>
          <w:sz w:val="22"/>
          <w:szCs w:val="22"/>
        </w:rPr>
        <w:t xml:space="preserve">, as well </w:t>
      </w:r>
      <w:r w:rsidR="00C0018E" w:rsidRPr="00B53104">
        <w:rPr>
          <w:b/>
          <w:sz w:val="22"/>
          <w:szCs w:val="22"/>
        </w:rPr>
        <w:t xml:space="preserve">as </w:t>
      </w:r>
      <w:r w:rsidR="00C0018E" w:rsidRPr="00B53104">
        <w:rPr>
          <w:b/>
          <w:bCs/>
          <w:sz w:val="22"/>
          <w:szCs w:val="22"/>
        </w:rPr>
        <w:t>to</w:t>
      </w:r>
      <w:r w:rsidR="00371159" w:rsidRPr="00B53104">
        <w:rPr>
          <w:b/>
          <w:bCs/>
          <w:sz w:val="22"/>
          <w:szCs w:val="22"/>
        </w:rPr>
        <w:t xml:space="preserve"> draft revisions to </w:t>
      </w:r>
      <w:r w:rsidR="00371159" w:rsidRPr="00B53104">
        <w:rPr>
          <w:b/>
          <w:bCs/>
          <w:i/>
          <w:iCs/>
          <w:sz w:val="22"/>
          <w:szCs w:val="22"/>
        </w:rPr>
        <w:t>SSAP No. 94—Transferable and Non-Transferable State Tax Credits</w:t>
      </w:r>
      <w:r w:rsidR="00B53104" w:rsidRPr="00B53104">
        <w:rPr>
          <w:b/>
          <w:bCs/>
          <w:i/>
          <w:iCs/>
          <w:sz w:val="22"/>
          <w:szCs w:val="22"/>
        </w:rPr>
        <w:t xml:space="preserve"> </w:t>
      </w:r>
      <w:r w:rsidR="00B53104" w:rsidRPr="00B53104">
        <w:rPr>
          <w:sz w:val="22"/>
          <w:szCs w:val="22"/>
        </w:rPr>
        <w:t>for future Working Group discussion</w:t>
      </w:r>
      <w:r w:rsidR="00BC6508" w:rsidRPr="00B53104">
        <w:rPr>
          <w:b/>
          <w:bCs/>
          <w:sz w:val="22"/>
          <w:szCs w:val="22"/>
        </w:rPr>
        <w:t xml:space="preserve">. NAIC staff proposes </w:t>
      </w:r>
      <w:r w:rsidR="003E3A11" w:rsidRPr="00B53104">
        <w:rPr>
          <w:b/>
          <w:bCs/>
          <w:sz w:val="22"/>
          <w:szCs w:val="22"/>
        </w:rPr>
        <w:t xml:space="preserve">to consider the feedback from interested parties </w:t>
      </w:r>
      <w:r w:rsidR="008917E2" w:rsidRPr="00B53104">
        <w:rPr>
          <w:b/>
          <w:bCs/>
          <w:sz w:val="22"/>
          <w:szCs w:val="22"/>
        </w:rPr>
        <w:t>on the discussion document</w:t>
      </w:r>
      <w:r w:rsidR="000E07B1" w:rsidRPr="00B53104">
        <w:rPr>
          <w:b/>
          <w:bCs/>
          <w:sz w:val="22"/>
          <w:szCs w:val="22"/>
        </w:rPr>
        <w:t xml:space="preserve"> </w:t>
      </w:r>
      <w:r w:rsidR="003E3A11" w:rsidRPr="00B53104">
        <w:rPr>
          <w:b/>
          <w:bCs/>
          <w:sz w:val="22"/>
          <w:szCs w:val="22"/>
        </w:rPr>
        <w:t xml:space="preserve">as well as the revised </w:t>
      </w:r>
      <w:r w:rsidR="00B30037" w:rsidRPr="00B53104">
        <w:rPr>
          <w:b/>
          <w:bCs/>
          <w:sz w:val="22"/>
          <w:szCs w:val="22"/>
        </w:rPr>
        <w:t xml:space="preserve">FASB guidance, which is expected to be issued </w:t>
      </w:r>
      <w:proofErr w:type="gramStart"/>
      <w:r w:rsidR="00B30037" w:rsidRPr="00B53104">
        <w:rPr>
          <w:b/>
          <w:bCs/>
          <w:sz w:val="22"/>
          <w:szCs w:val="22"/>
        </w:rPr>
        <w:t>in the near future</w:t>
      </w:r>
      <w:proofErr w:type="gramEnd"/>
      <w:r w:rsidR="000E07B1" w:rsidRPr="00B53104">
        <w:rPr>
          <w:b/>
          <w:bCs/>
          <w:sz w:val="22"/>
          <w:szCs w:val="22"/>
        </w:rPr>
        <w:t xml:space="preserve">, in </w:t>
      </w:r>
      <w:r w:rsidR="00DB09A6" w:rsidRPr="00B53104">
        <w:rPr>
          <w:b/>
          <w:bCs/>
          <w:sz w:val="22"/>
          <w:szCs w:val="22"/>
        </w:rPr>
        <w:t xml:space="preserve">updating the </w:t>
      </w:r>
      <w:r w:rsidR="007B591E" w:rsidRPr="00B53104">
        <w:rPr>
          <w:b/>
          <w:bCs/>
          <w:sz w:val="22"/>
          <w:szCs w:val="22"/>
        </w:rPr>
        <w:t>proposed</w:t>
      </w:r>
      <w:r w:rsidR="000E07B1" w:rsidRPr="00B53104">
        <w:rPr>
          <w:b/>
          <w:bCs/>
          <w:sz w:val="22"/>
          <w:szCs w:val="22"/>
        </w:rPr>
        <w:t xml:space="preserve"> revised statutory accounting guidance</w:t>
      </w:r>
      <w:r w:rsidR="003A5B6E" w:rsidRPr="00B53104">
        <w:rPr>
          <w:b/>
          <w:bCs/>
          <w:sz w:val="22"/>
          <w:szCs w:val="22"/>
        </w:rPr>
        <w:t xml:space="preserve"> for subsequent exposure consideration. </w:t>
      </w:r>
    </w:p>
    <w:p w14:paraId="5056E22C" w14:textId="610827FB" w:rsidR="003A5B6E" w:rsidRPr="00B53104" w:rsidRDefault="003A5B6E" w:rsidP="00B30037">
      <w:pPr>
        <w:jc w:val="both"/>
        <w:rPr>
          <w:sz w:val="22"/>
          <w:szCs w:val="22"/>
        </w:rPr>
      </w:pPr>
    </w:p>
    <w:p w14:paraId="4BBB417A" w14:textId="435E0BDD" w:rsidR="003A5B6E" w:rsidRPr="00B53104" w:rsidRDefault="003A5B6E" w:rsidP="00B30037">
      <w:pPr>
        <w:jc w:val="both"/>
        <w:rPr>
          <w:sz w:val="22"/>
          <w:szCs w:val="22"/>
        </w:rPr>
      </w:pPr>
      <w:r w:rsidRPr="00B53104">
        <w:rPr>
          <w:sz w:val="22"/>
          <w:szCs w:val="22"/>
        </w:rPr>
        <w:t>With regards</w:t>
      </w:r>
      <w:r w:rsidR="003E0F15" w:rsidRPr="00B53104">
        <w:rPr>
          <w:sz w:val="22"/>
          <w:szCs w:val="22"/>
        </w:rPr>
        <w:t xml:space="preserve"> to the two key takeaways from interested parties, NAIC staff </w:t>
      </w:r>
      <w:r w:rsidR="00AB706E" w:rsidRPr="00B53104">
        <w:rPr>
          <w:sz w:val="22"/>
          <w:szCs w:val="22"/>
        </w:rPr>
        <w:t xml:space="preserve">notes the following: </w:t>
      </w:r>
    </w:p>
    <w:p w14:paraId="5A320662" w14:textId="77777777" w:rsidR="002143AB" w:rsidRPr="00B53104" w:rsidRDefault="002143AB" w:rsidP="00B30037">
      <w:pPr>
        <w:jc w:val="both"/>
        <w:rPr>
          <w:sz w:val="22"/>
          <w:szCs w:val="22"/>
        </w:rPr>
      </w:pPr>
    </w:p>
    <w:p w14:paraId="5F4E8AB3" w14:textId="005ADCBD" w:rsidR="00341FE7" w:rsidRPr="00B53104" w:rsidRDefault="00331A46" w:rsidP="00565D51">
      <w:pPr>
        <w:pStyle w:val="ListParagraph"/>
        <w:numPr>
          <w:ilvl w:val="0"/>
          <w:numId w:val="28"/>
        </w:numPr>
        <w:jc w:val="both"/>
        <w:rPr>
          <w:sz w:val="22"/>
          <w:szCs w:val="22"/>
        </w:rPr>
      </w:pPr>
      <w:r w:rsidRPr="00331A46">
        <w:rPr>
          <w:b/>
          <w:bCs/>
          <w:sz w:val="22"/>
          <w:szCs w:val="22"/>
          <w:u w:val="single"/>
        </w:rPr>
        <w:t>Income Statement Reporting:</w:t>
      </w:r>
      <w:r>
        <w:rPr>
          <w:sz w:val="22"/>
          <w:szCs w:val="22"/>
        </w:rPr>
        <w:t xml:space="preserve"> </w:t>
      </w:r>
      <w:r w:rsidR="00810A88" w:rsidRPr="00B53104">
        <w:rPr>
          <w:sz w:val="22"/>
          <w:szCs w:val="22"/>
        </w:rPr>
        <w:t>Regarding the interested parties</w:t>
      </w:r>
      <w:r w:rsidR="00654D6E" w:rsidRPr="00B53104">
        <w:rPr>
          <w:sz w:val="22"/>
          <w:szCs w:val="22"/>
        </w:rPr>
        <w:t>’</w:t>
      </w:r>
      <w:r w:rsidR="00AB706E" w:rsidRPr="00B53104">
        <w:rPr>
          <w:sz w:val="22"/>
          <w:szCs w:val="22"/>
        </w:rPr>
        <w:t xml:space="preserve"> request to capture amortization and tax credits </w:t>
      </w:r>
      <w:r w:rsidR="009E6C0D" w:rsidRPr="00B53104">
        <w:rPr>
          <w:sz w:val="22"/>
          <w:szCs w:val="22"/>
        </w:rPr>
        <w:t xml:space="preserve">in the same income statement line </w:t>
      </w:r>
      <w:proofErr w:type="gramStart"/>
      <w:r w:rsidR="009E6C0D" w:rsidRPr="00B53104">
        <w:rPr>
          <w:sz w:val="22"/>
          <w:szCs w:val="22"/>
        </w:rPr>
        <w:t>similar to</w:t>
      </w:r>
      <w:proofErr w:type="gramEnd"/>
      <w:r w:rsidR="009E6C0D" w:rsidRPr="00B53104">
        <w:rPr>
          <w:sz w:val="22"/>
          <w:szCs w:val="22"/>
        </w:rPr>
        <w:t xml:space="preserve"> U.S. GAAP</w:t>
      </w:r>
      <w:r w:rsidR="00837CEC">
        <w:rPr>
          <w:sz w:val="22"/>
          <w:szCs w:val="22"/>
        </w:rPr>
        <w:t xml:space="preserve"> </w:t>
      </w:r>
      <w:r w:rsidR="009D7126" w:rsidRPr="00B53104">
        <w:rPr>
          <w:sz w:val="22"/>
          <w:szCs w:val="22"/>
        </w:rPr>
        <w:t xml:space="preserve">as </w:t>
      </w:r>
      <w:r w:rsidR="00C21D0A" w:rsidRPr="00B53104">
        <w:rPr>
          <w:sz w:val="22"/>
          <w:szCs w:val="22"/>
        </w:rPr>
        <w:t>a component of income tax expense (or benefit)</w:t>
      </w:r>
      <w:r w:rsidR="009E6C0D" w:rsidRPr="00B53104">
        <w:rPr>
          <w:sz w:val="22"/>
          <w:szCs w:val="22"/>
        </w:rPr>
        <w:t>. It is noted that th</w:t>
      </w:r>
      <w:r w:rsidR="0085255D" w:rsidRPr="00B53104">
        <w:rPr>
          <w:sz w:val="22"/>
          <w:szCs w:val="22"/>
        </w:rPr>
        <w:t xml:space="preserve">e current </w:t>
      </w:r>
      <w:r w:rsidR="00381AE5" w:rsidRPr="00B53104">
        <w:rPr>
          <w:sz w:val="22"/>
          <w:szCs w:val="22"/>
        </w:rPr>
        <w:t xml:space="preserve">SAP </w:t>
      </w:r>
      <w:r w:rsidR="0085255D" w:rsidRPr="00B53104">
        <w:rPr>
          <w:sz w:val="22"/>
          <w:szCs w:val="22"/>
        </w:rPr>
        <w:t xml:space="preserve">reporting which amortizes the investment as the investment tax credits are </w:t>
      </w:r>
      <w:r w:rsidR="007D437C" w:rsidRPr="00B53104">
        <w:rPr>
          <w:sz w:val="22"/>
          <w:szCs w:val="22"/>
        </w:rPr>
        <w:t>proportionately used a</w:t>
      </w:r>
      <w:r w:rsidR="007E628C" w:rsidRPr="00B53104">
        <w:rPr>
          <w:sz w:val="22"/>
          <w:szCs w:val="22"/>
        </w:rPr>
        <w:t>n</w:t>
      </w:r>
      <w:r w:rsidR="007D437C" w:rsidRPr="00B53104">
        <w:rPr>
          <w:sz w:val="22"/>
          <w:szCs w:val="22"/>
        </w:rPr>
        <w:t xml:space="preserve">d recognizes tax credits used as a reduction in the related tax </w:t>
      </w:r>
      <w:r w:rsidR="00154D8B" w:rsidRPr="00B53104">
        <w:rPr>
          <w:sz w:val="22"/>
          <w:szCs w:val="22"/>
        </w:rPr>
        <w:t>expense</w:t>
      </w:r>
      <w:r w:rsidR="007D437C" w:rsidRPr="00B53104">
        <w:rPr>
          <w:sz w:val="22"/>
          <w:szCs w:val="22"/>
        </w:rPr>
        <w:t xml:space="preserve"> cat</w:t>
      </w:r>
      <w:r w:rsidR="00575B7A" w:rsidRPr="00B53104">
        <w:rPr>
          <w:sz w:val="22"/>
          <w:szCs w:val="22"/>
        </w:rPr>
        <w:t xml:space="preserve">egory </w:t>
      </w:r>
      <w:r w:rsidR="009E6C0D" w:rsidRPr="00B53104">
        <w:rPr>
          <w:sz w:val="22"/>
          <w:szCs w:val="22"/>
        </w:rPr>
        <w:t>was a</w:t>
      </w:r>
      <w:r w:rsidR="00154D8B" w:rsidRPr="00B53104">
        <w:rPr>
          <w:sz w:val="22"/>
          <w:szCs w:val="22"/>
        </w:rPr>
        <w:t>n</w:t>
      </w:r>
      <w:r w:rsidR="009E6C0D" w:rsidRPr="00B53104">
        <w:rPr>
          <w:sz w:val="22"/>
          <w:szCs w:val="22"/>
        </w:rPr>
        <w:t xml:space="preserve"> </w:t>
      </w:r>
      <w:r w:rsidR="00B74537" w:rsidRPr="00B53104">
        <w:rPr>
          <w:sz w:val="22"/>
          <w:szCs w:val="22"/>
        </w:rPr>
        <w:t xml:space="preserve">intentional Working Group </w:t>
      </w:r>
      <w:r w:rsidR="009E6C0D" w:rsidRPr="00B53104">
        <w:rPr>
          <w:sz w:val="22"/>
          <w:szCs w:val="22"/>
        </w:rPr>
        <w:t xml:space="preserve">decision when the guidance was originally adopted, but </w:t>
      </w:r>
      <w:r w:rsidR="00341FE7" w:rsidRPr="00B53104">
        <w:rPr>
          <w:sz w:val="22"/>
          <w:szCs w:val="22"/>
        </w:rPr>
        <w:t xml:space="preserve">this divergence from U.S. GAAP </w:t>
      </w:r>
      <w:r w:rsidR="00267639">
        <w:rPr>
          <w:sz w:val="22"/>
          <w:szCs w:val="22"/>
        </w:rPr>
        <w:t xml:space="preserve">will be </w:t>
      </w:r>
      <w:r w:rsidR="00686B21">
        <w:rPr>
          <w:sz w:val="22"/>
          <w:szCs w:val="22"/>
        </w:rPr>
        <w:t xml:space="preserve">detailed and presented to the Working Group so the Working Group can choose </w:t>
      </w:r>
      <w:r w:rsidR="007655E3">
        <w:rPr>
          <w:sz w:val="22"/>
          <w:szCs w:val="22"/>
        </w:rPr>
        <w:t xml:space="preserve">whether to alter their prior conclusion. </w:t>
      </w:r>
    </w:p>
    <w:p w14:paraId="221F12A9" w14:textId="77777777" w:rsidR="00341FE7" w:rsidRDefault="00341FE7" w:rsidP="00341FE7">
      <w:pPr>
        <w:pStyle w:val="ListParagraph"/>
        <w:jc w:val="both"/>
        <w:rPr>
          <w:sz w:val="22"/>
          <w:szCs w:val="22"/>
        </w:rPr>
      </w:pPr>
    </w:p>
    <w:p w14:paraId="1F9A8988" w14:textId="1EE1EB01" w:rsidR="00AB706E" w:rsidRPr="00AB706E" w:rsidRDefault="00942FB1" w:rsidP="00565D51">
      <w:pPr>
        <w:pStyle w:val="ListParagraph"/>
        <w:numPr>
          <w:ilvl w:val="0"/>
          <w:numId w:val="28"/>
        </w:numPr>
        <w:jc w:val="both"/>
        <w:rPr>
          <w:sz w:val="22"/>
          <w:szCs w:val="22"/>
        </w:rPr>
      </w:pPr>
      <w:r w:rsidRPr="00942FB1">
        <w:rPr>
          <w:b/>
          <w:bCs/>
          <w:sz w:val="22"/>
          <w:szCs w:val="22"/>
          <w:u w:val="single"/>
        </w:rPr>
        <w:lastRenderedPageBreak/>
        <w:t>Bond Classification</w:t>
      </w:r>
      <w:r>
        <w:rPr>
          <w:sz w:val="22"/>
          <w:szCs w:val="22"/>
        </w:rPr>
        <w:t xml:space="preserve">: </w:t>
      </w:r>
      <w:r w:rsidR="00004B27">
        <w:rPr>
          <w:sz w:val="22"/>
          <w:szCs w:val="22"/>
        </w:rPr>
        <w:t xml:space="preserve">The interested </w:t>
      </w:r>
      <w:r w:rsidR="00B63D2E">
        <w:rPr>
          <w:sz w:val="22"/>
          <w:szCs w:val="22"/>
        </w:rPr>
        <w:t>parties’</w:t>
      </w:r>
      <w:r w:rsidR="00004B27">
        <w:rPr>
          <w:sz w:val="22"/>
          <w:szCs w:val="22"/>
        </w:rPr>
        <w:t xml:space="preserve"> comments </w:t>
      </w:r>
      <w:r w:rsidR="00B63D2E">
        <w:rPr>
          <w:sz w:val="22"/>
          <w:szCs w:val="22"/>
        </w:rPr>
        <w:t xml:space="preserve">have noted concerns with tax credit investments issued in debt form being reported on Schedule BA and not Schedule D-1. </w:t>
      </w:r>
      <w:r w:rsidR="00E603A5">
        <w:rPr>
          <w:sz w:val="22"/>
          <w:szCs w:val="22"/>
        </w:rPr>
        <w:t>From initial regulator feedback received, tax credit investments shall not be reported as bonds and shall be reported on Schedule B</w:t>
      </w:r>
      <w:r w:rsidR="00A15B2A">
        <w:rPr>
          <w:sz w:val="22"/>
          <w:szCs w:val="22"/>
        </w:rPr>
        <w:t xml:space="preserve">A. NAIC staff requests </w:t>
      </w:r>
      <w:r w:rsidR="00CF4636">
        <w:rPr>
          <w:sz w:val="22"/>
          <w:szCs w:val="22"/>
        </w:rPr>
        <w:t xml:space="preserve">Working Group </w:t>
      </w:r>
      <w:r w:rsidR="00B63D2E">
        <w:rPr>
          <w:sz w:val="22"/>
          <w:szCs w:val="22"/>
        </w:rPr>
        <w:t>comments</w:t>
      </w:r>
      <w:r w:rsidR="005B3063">
        <w:rPr>
          <w:sz w:val="22"/>
          <w:szCs w:val="22"/>
        </w:rPr>
        <w:t xml:space="preserve"> on this </w:t>
      </w:r>
      <w:r w:rsidR="007470B1">
        <w:rPr>
          <w:sz w:val="22"/>
          <w:szCs w:val="22"/>
        </w:rPr>
        <w:t xml:space="preserve">assessment. </w:t>
      </w:r>
    </w:p>
    <w:p w14:paraId="6E2F59AD" w14:textId="77777777" w:rsidR="0048194C" w:rsidRPr="004D7179" w:rsidRDefault="0048194C" w:rsidP="00F83779">
      <w:pPr>
        <w:pStyle w:val="ListContinue"/>
        <w:numPr>
          <w:ilvl w:val="0"/>
          <w:numId w:val="0"/>
        </w:numPr>
        <w:spacing w:after="0"/>
        <w:jc w:val="both"/>
        <w:rPr>
          <w:bCs/>
          <w:i/>
          <w:kern w:val="32"/>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F83779" w:rsidRPr="00F45BC3" w14:paraId="16B03B27"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1213356" w14:textId="77777777" w:rsidR="00F83779" w:rsidRPr="00F45BC3" w:rsidRDefault="00F83779">
            <w:pPr>
              <w:widowControl w:val="0"/>
              <w:jc w:val="center"/>
              <w:rPr>
                <w:b/>
                <w:color w:val="FFFFFF"/>
                <w:sz w:val="22"/>
                <w:szCs w:val="22"/>
              </w:rPr>
            </w:pPr>
          </w:p>
          <w:p w14:paraId="51BB5949" w14:textId="77777777" w:rsidR="00F83779" w:rsidRPr="00F45BC3" w:rsidRDefault="00F83779">
            <w:pPr>
              <w:widowControl w:val="0"/>
              <w:jc w:val="center"/>
              <w:rPr>
                <w:b/>
                <w:color w:val="FFFFFF"/>
                <w:sz w:val="22"/>
                <w:szCs w:val="22"/>
              </w:rPr>
            </w:pPr>
            <w:r w:rsidRPr="00F45BC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B5D26B4" w14:textId="77777777" w:rsidR="00F83779" w:rsidRPr="00F45BC3" w:rsidRDefault="00F83779">
            <w:pPr>
              <w:widowControl w:val="0"/>
              <w:jc w:val="center"/>
              <w:rPr>
                <w:b/>
                <w:color w:val="FFFFFF"/>
                <w:sz w:val="22"/>
                <w:szCs w:val="22"/>
              </w:rPr>
            </w:pPr>
          </w:p>
          <w:p w14:paraId="5FA2916B" w14:textId="77777777" w:rsidR="00F83779" w:rsidRPr="00F45BC3" w:rsidRDefault="00F83779">
            <w:pPr>
              <w:widowControl w:val="0"/>
              <w:jc w:val="center"/>
              <w:rPr>
                <w:b/>
                <w:color w:val="FFFFFF"/>
                <w:sz w:val="22"/>
                <w:szCs w:val="22"/>
              </w:rPr>
            </w:pPr>
            <w:r w:rsidRPr="00F45BC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7AB1A164" w14:textId="77777777" w:rsidR="00F83779" w:rsidRPr="00F45BC3" w:rsidRDefault="00F83779">
            <w:pPr>
              <w:widowControl w:val="0"/>
              <w:jc w:val="center"/>
              <w:rPr>
                <w:b/>
                <w:color w:val="FFFFFF"/>
                <w:sz w:val="22"/>
                <w:szCs w:val="22"/>
              </w:rPr>
            </w:pPr>
          </w:p>
          <w:p w14:paraId="0B896C46" w14:textId="77777777" w:rsidR="00F83779" w:rsidRPr="00F45BC3" w:rsidRDefault="00F83779">
            <w:pPr>
              <w:widowControl w:val="0"/>
              <w:jc w:val="center"/>
              <w:rPr>
                <w:b/>
                <w:color w:val="FFFFFF"/>
                <w:sz w:val="22"/>
                <w:szCs w:val="22"/>
              </w:rPr>
            </w:pPr>
            <w:r w:rsidRPr="00F45BC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20B5F1F" w14:textId="77777777" w:rsidR="00F83779" w:rsidRPr="00F45BC3" w:rsidRDefault="00F83779">
            <w:pPr>
              <w:widowControl w:val="0"/>
              <w:jc w:val="center"/>
              <w:rPr>
                <w:b/>
                <w:bCs/>
                <w:color w:val="FFFFFF"/>
                <w:sz w:val="22"/>
                <w:szCs w:val="22"/>
              </w:rPr>
            </w:pPr>
            <w:r w:rsidRPr="00F45BC3">
              <w:rPr>
                <w:b/>
                <w:bCs/>
                <w:sz w:val="22"/>
                <w:szCs w:val="22"/>
              </w:rPr>
              <w:t>Agreement with Exposed Document?</w:t>
            </w:r>
            <w:r w:rsidRPr="00F45BC3">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794CE9BF" w14:textId="77777777" w:rsidR="00F83779" w:rsidRPr="00F45BC3" w:rsidRDefault="00F83779">
            <w:pPr>
              <w:widowControl w:val="0"/>
              <w:jc w:val="center"/>
              <w:rPr>
                <w:b/>
                <w:bCs/>
                <w:color w:val="FFFFFF"/>
                <w:sz w:val="22"/>
                <w:szCs w:val="22"/>
              </w:rPr>
            </w:pPr>
            <w:r w:rsidRPr="00F45BC3">
              <w:rPr>
                <w:b/>
                <w:bCs/>
                <w:sz w:val="22"/>
                <w:szCs w:val="22"/>
              </w:rPr>
              <w:t>Comment Letter Page Number</w:t>
            </w:r>
          </w:p>
        </w:tc>
      </w:tr>
      <w:tr w:rsidR="00F83779" w:rsidRPr="00F45BC3" w14:paraId="13F238E3" w14:textId="77777777">
        <w:trPr>
          <w:trHeight w:val="800"/>
        </w:trPr>
        <w:tc>
          <w:tcPr>
            <w:tcW w:w="1615" w:type="dxa"/>
            <w:tcBorders>
              <w:top w:val="single" w:sz="4" w:space="0" w:color="FFFFFF"/>
            </w:tcBorders>
            <w:shd w:val="clear" w:color="auto" w:fill="F2F2F2"/>
            <w:vAlign w:val="center"/>
          </w:tcPr>
          <w:p w14:paraId="01D9F6E7" w14:textId="2318EBD0" w:rsidR="00F83779" w:rsidRPr="00F45BC3" w:rsidRDefault="00F83779">
            <w:pPr>
              <w:widowControl w:val="0"/>
              <w:jc w:val="center"/>
              <w:rPr>
                <w:b/>
                <w:sz w:val="22"/>
                <w:szCs w:val="22"/>
              </w:rPr>
            </w:pPr>
            <w:r w:rsidRPr="00F45BC3">
              <w:rPr>
                <w:b/>
                <w:sz w:val="22"/>
                <w:szCs w:val="22"/>
              </w:rPr>
              <w:t>2022-</w:t>
            </w:r>
            <w:r>
              <w:rPr>
                <w:b/>
                <w:sz w:val="22"/>
                <w:szCs w:val="22"/>
              </w:rPr>
              <w:t>17</w:t>
            </w:r>
          </w:p>
          <w:p w14:paraId="21E1A415" w14:textId="083F0371" w:rsidR="00F83779" w:rsidRPr="00F45BC3" w:rsidRDefault="00F83779">
            <w:pPr>
              <w:widowControl w:val="0"/>
              <w:jc w:val="center"/>
              <w:rPr>
                <w:b/>
                <w:sz w:val="22"/>
                <w:szCs w:val="22"/>
              </w:rPr>
            </w:pPr>
            <w:r w:rsidRPr="00F45BC3">
              <w:rPr>
                <w:b/>
                <w:sz w:val="22"/>
                <w:szCs w:val="22"/>
              </w:rPr>
              <w:t>(</w:t>
            </w:r>
            <w:r w:rsidR="006C05F7">
              <w:rPr>
                <w:b/>
                <w:sz w:val="22"/>
                <w:szCs w:val="22"/>
              </w:rPr>
              <w:t>Jake</w:t>
            </w:r>
            <w:r w:rsidRPr="00F45BC3">
              <w:rPr>
                <w:b/>
                <w:sz w:val="22"/>
                <w:szCs w:val="22"/>
              </w:rPr>
              <w:t>)</w:t>
            </w:r>
          </w:p>
        </w:tc>
        <w:tc>
          <w:tcPr>
            <w:tcW w:w="3198" w:type="dxa"/>
            <w:tcBorders>
              <w:top w:val="single" w:sz="4" w:space="0" w:color="FFFFFF"/>
            </w:tcBorders>
            <w:shd w:val="clear" w:color="auto" w:fill="F2F2F2"/>
            <w:vAlign w:val="center"/>
          </w:tcPr>
          <w:p w14:paraId="68607AE4" w14:textId="4351A6CF" w:rsidR="00F83779" w:rsidRPr="00F45BC3" w:rsidRDefault="00F83779">
            <w:pPr>
              <w:pStyle w:val="Heading2"/>
              <w:rPr>
                <w:iCs/>
                <w:sz w:val="22"/>
                <w:szCs w:val="22"/>
              </w:rPr>
            </w:pPr>
            <w:r>
              <w:rPr>
                <w:iCs/>
                <w:sz w:val="22"/>
                <w:szCs w:val="22"/>
              </w:rPr>
              <w:t>Interest Income Disclosure Update</w:t>
            </w:r>
          </w:p>
        </w:tc>
        <w:tc>
          <w:tcPr>
            <w:tcW w:w="2112" w:type="dxa"/>
            <w:tcBorders>
              <w:top w:val="single" w:sz="4" w:space="0" w:color="FFFFFF"/>
            </w:tcBorders>
            <w:shd w:val="clear" w:color="auto" w:fill="F2F2F2"/>
            <w:vAlign w:val="center"/>
          </w:tcPr>
          <w:p w14:paraId="585775B0" w14:textId="735CF87C" w:rsidR="00F83779" w:rsidRPr="00F45BC3" w:rsidRDefault="00891365">
            <w:pPr>
              <w:widowControl w:val="0"/>
              <w:jc w:val="center"/>
              <w:rPr>
                <w:b/>
                <w:sz w:val="22"/>
                <w:szCs w:val="22"/>
              </w:rPr>
            </w:pPr>
            <w:r>
              <w:rPr>
                <w:b/>
                <w:sz w:val="22"/>
                <w:szCs w:val="22"/>
              </w:rPr>
              <w:t>1</w:t>
            </w:r>
            <w:r w:rsidR="00867FF3">
              <w:rPr>
                <w:b/>
                <w:sz w:val="22"/>
                <w:szCs w:val="22"/>
              </w:rPr>
              <w:t>8</w:t>
            </w:r>
            <w:r w:rsidR="00F83779">
              <w:rPr>
                <w:b/>
                <w:sz w:val="22"/>
                <w:szCs w:val="22"/>
              </w:rPr>
              <w:t xml:space="preserve"> – Agenda Item</w:t>
            </w:r>
          </w:p>
        </w:tc>
        <w:tc>
          <w:tcPr>
            <w:tcW w:w="1710" w:type="dxa"/>
            <w:tcBorders>
              <w:top w:val="single" w:sz="4" w:space="0" w:color="FFFFFF"/>
            </w:tcBorders>
            <w:shd w:val="clear" w:color="auto" w:fill="F2F2F2"/>
            <w:vAlign w:val="center"/>
          </w:tcPr>
          <w:p w14:paraId="2E4ABA41" w14:textId="74B3790F" w:rsidR="00F83779" w:rsidRPr="00F45BC3" w:rsidRDefault="00091578">
            <w:pPr>
              <w:widowControl w:val="0"/>
              <w:jc w:val="center"/>
              <w:rPr>
                <w:b/>
                <w:sz w:val="22"/>
                <w:szCs w:val="22"/>
              </w:rPr>
            </w:pPr>
            <w:r>
              <w:rPr>
                <w:b/>
                <w:sz w:val="22"/>
                <w:szCs w:val="22"/>
              </w:rPr>
              <w:t>Comments Received</w:t>
            </w:r>
          </w:p>
        </w:tc>
        <w:tc>
          <w:tcPr>
            <w:tcW w:w="1440" w:type="dxa"/>
            <w:tcBorders>
              <w:top w:val="single" w:sz="4" w:space="0" w:color="FFFFFF"/>
            </w:tcBorders>
            <w:shd w:val="clear" w:color="auto" w:fill="F2F2F2"/>
            <w:vAlign w:val="center"/>
          </w:tcPr>
          <w:p w14:paraId="03D816E0" w14:textId="3014424F" w:rsidR="00F83779" w:rsidRPr="00F45BC3" w:rsidRDefault="004278DA">
            <w:pPr>
              <w:widowControl w:val="0"/>
              <w:jc w:val="center"/>
              <w:rPr>
                <w:b/>
                <w:sz w:val="22"/>
                <w:szCs w:val="22"/>
              </w:rPr>
            </w:pPr>
            <w:r>
              <w:rPr>
                <w:b/>
                <w:sz w:val="22"/>
                <w:szCs w:val="22"/>
              </w:rPr>
              <w:t>IP</w:t>
            </w:r>
            <w:r w:rsidR="001228A0">
              <w:rPr>
                <w:b/>
                <w:sz w:val="22"/>
                <w:szCs w:val="22"/>
              </w:rPr>
              <w:t>-14</w:t>
            </w:r>
          </w:p>
        </w:tc>
      </w:tr>
    </w:tbl>
    <w:p w14:paraId="4E7D2811" w14:textId="77777777" w:rsidR="00F83779" w:rsidRPr="00F45BC3" w:rsidRDefault="00F83779" w:rsidP="00F83779">
      <w:pPr>
        <w:rPr>
          <w:sz w:val="22"/>
          <w:szCs w:val="22"/>
        </w:rPr>
      </w:pPr>
    </w:p>
    <w:p w14:paraId="3276F895" w14:textId="77777777" w:rsidR="00F83779" w:rsidRPr="007A4CDA" w:rsidRDefault="00F83779" w:rsidP="00F83779">
      <w:pPr>
        <w:jc w:val="both"/>
        <w:rPr>
          <w:sz w:val="22"/>
          <w:szCs w:val="22"/>
          <w:u w:val="single"/>
        </w:rPr>
      </w:pPr>
      <w:r w:rsidRPr="007A4CDA">
        <w:rPr>
          <w:i/>
          <w:sz w:val="22"/>
          <w:szCs w:val="22"/>
          <w:u w:val="single"/>
        </w:rPr>
        <w:t>Summary:</w:t>
      </w:r>
      <w:r w:rsidRPr="007A4CDA">
        <w:rPr>
          <w:sz w:val="22"/>
          <w:szCs w:val="22"/>
          <w:u w:val="single"/>
        </w:rPr>
        <w:t xml:space="preserve"> </w:t>
      </w:r>
    </w:p>
    <w:p w14:paraId="192B2EE5" w14:textId="702730FE" w:rsidR="00F83779" w:rsidRPr="00F45BC3" w:rsidRDefault="00F83779" w:rsidP="00F83779">
      <w:pPr>
        <w:pStyle w:val="BodyText2"/>
        <w:jc w:val="both"/>
        <w:rPr>
          <w:b/>
          <w:bCs/>
          <w:color w:val="111822"/>
          <w:sz w:val="22"/>
          <w:szCs w:val="22"/>
          <w:shd w:val="clear" w:color="auto" w:fill="F7FCFF"/>
        </w:rPr>
      </w:pPr>
      <w:r w:rsidRPr="00F45BC3">
        <w:rPr>
          <w:iCs/>
          <w:sz w:val="22"/>
          <w:szCs w:val="22"/>
        </w:rPr>
        <w:t xml:space="preserve">During the 2022 Fall National Meeting, the Working Group </w:t>
      </w:r>
      <w:r w:rsidR="00D81F14">
        <w:rPr>
          <w:iCs/>
          <w:sz w:val="22"/>
          <w:szCs w:val="22"/>
        </w:rPr>
        <w:t xml:space="preserve">exposed SAP clarifications to </w:t>
      </w:r>
      <w:r w:rsidR="00D81F14" w:rsidRPr="00E07CE8">
        <w:rPr>
          <w:i/>
          <w:sz w:val="22"/>
          <w:szCs w:val="22"/>
        </w:rPr>
        <w:t xml:space="preserve">SSAP No. 34—Investment Income Due and Accrued </w:t>
      </w:r>
      <w:r w:rsidR="00D81F14">
        <w:rPr>
          <w:iCs/>
          <w:sz w:val="22"/>
          <w:szCs w:val="22"/>
        </w:rPr>
        <w:t>to add additional disclosures and to data-capture the disclosures.</w:t>
      </w:r>
      <w:r w:rsidR="00837CEC">
        <w:rPr>
          <w:iCs/>
          <w:sz w:val="22"/>
          <w:szCs w:val="22"/>
        </w:rPr>
        <w:t xml:space="preserve"> </w:t>
      </w:r>
    </w:p>
    <w:p w14:paraId="28B2B49A" w14:textId="77777777" w:rsidR="00F83779" w:rsidRPr="00F45BC3" w:rsidRDefault="00F83779" w:rsidP="00F83779">
      <w:pPr>
        <w:pStyle w:val="BodyText2"/>
        <w:jc w:val="both"/>
        <w:rPr>
          <w:iCs/>
          <w:sz w:val="22"/>
          <w:szCs w:val="22"/>
        </w:rPr>
      </w:pPr>
    </w:p>
    <w:p w14:paraId="6AC72E44" w14:textId="77777777" w:rsidR="00F83779" w:rsidRPr="00F45BC3" w:rsidRDefault="00F83779" w:rsidP="00F83779">
      <w:pPr>
        <w:pStyle w:val="paragraph"/>
        <w:spacing w:before="0" w:beforeAutospacing="0" w:after="0" w:afterAutospacing="0"/>
        <w:jc w:val="both"/>
        <w:textAlignment w:val="baseline"/>
        <w:rPr>
          <w:bCs/>
          <w:i/>
          <w:sz w:val="22"/>
          <w:szCs w:val="22"/>
          <w:u w:val="single"/>
        </w:rPr>
      </w:pPr>
      <w:r w:rsidRPr="00F45BC3">
        <w:rPr>
          <w:bCs/>
          <w:i/>
          <w:sz w:val="22"/>
          <w:szCs w:val="22"/>
          <w:u w:val="single"/>
        </w:rPr>
        <w:t>Interested Parties’ Comments:</w:t>
      </w:r>
    </w:p>
    <w:p w14:paraId="02E1A464" w14:textId="5D85C28C" w:rsidR="00002AAA" w:rsidRPr="00002AAA" w:rsidRDefault="00002AAA" w:rsidP="00002AAA">
      <w:pPr>
        <w:rPr>
          <w:sz w:val="22"/>
          <w:szCs w:val="22"/>
        </w:rPr>
      </w:pPr>
      <w:r w:rsidRPr="00002AAA">
        <w:rPr>
          <w:sz w:val="22"/>
          <w:szCs w:val="22"/>
        </w:rPr>
        <w:t>Interested parties propose that the exposed changes which are an outgrowth of the Bond project should share the same effective date.</w:t>
      </w:r>
      <w:r w:rsidR="00837CEC">
        <w:rPr>
          <w:sz w:val="22"/>
          <w:szCs w:val="22"/>
        </w:rPr>
        <w:t xml:space="preserve"> </w:t>
      </w:r>
      <w:r w:rsidRPr="00002AAA">
        <w:rPr>
          <w:sz w:val="22"/>
          <w:szCs w:val="22"/>
        </w:rPr>
        <w:t>This will also allow companies to make the system changes needed to provide this information.</w:t>
      </w:r>
    </w:p>
    <w:p w14:paraId="256C3A24" w14:textId="77777777" w:rsidR="00002AAA" w:rsidRPr="00002AAA" w:rsidRDefault="00002AAA" w:rsidP="00002AAA">
      <w:pPr>
        <w:rPr>
          <w:sz w:val="22"/>
          <w:szCs w:val="22"/>
        </w:rPr>
      </w:pPr>
    </w:p>
    <w:p w14:paraId="43FF3831" w14:textId="77777777" w:rsidR="00002AAA" w:rsidRPr="00002AAA" w:rsidRDefault="00002AAA" w:rsidP="00002AAA">
      <w:pPr>
        <w:rPr>
          <w:color w:val="000000" w:themeColor="text1"/>
          <w:sz w:val="22"/>
          <w:szCs w:val="22"/>
        </w:rPr>
      </w:pPr>
      <w:r w:rsidRPr="00002AAA">
        <w:rPr>
          <w:color w:val="000000" w:themeColor="text1"/>
          <w:sz w:val="22"/>
          <w:szCs w:val="22"/>
        </w:rPr>
        <w:t>Interested parties also suggest the following editorial revisions to the disclosures contained in SSAP No. 34 for clarification and to be consistent with the proposed Blanks changes:</w:t>
      </w:r>
    </w:p>
    <w:p w14:paraId="311B9ABA" w14:textId="77777777" w:rsidR="00002AAA" w:rsidRPr="00002AAA" w:rsidRDefault="00002AAA" w:rsidP="00002AAA">
      <w:pPr>
        <w:rPr>
          <w:color w:val="000000" w:themeColor="text1"/>
          <w:sz w:val="22"/>
          <w:szCs w:val="22"/>
        </w:rPr>
      </w:pPr>
    </w:p>
    <w:p w14:paraId="0B0B8CC4" w14:textId="01E9FA91" w:rsidR="00002AAA" w:rsidRPr="00002AAA" w:rsidRDefault="00002AAA" w:rsidP="00002AAA">
      <w:pPr>
        <w:pStyle w:val="BodyText2"/>
        <w:ind w:left="720"/>
        <w:rPr>
          <w:rFonts w:ascii="Arial" w:hAnsi="Arial" w:cs="Arial"/>
          <w:b/>
          <w:bCs/>
          <w:color w:val="000000" w:themeColor="text1"/>
          <w:sz w:val="20"/>
        </w:rPr>
      </w:pPr>
      <w:r w:rsidRPr="00002AAA">
        <w:rPr>
          <w:rFonts w:ascii="Arial" w:hAnsi="Arial" w:cs="Arial"/>
          <w:color w:val="000000" w:themeColor="text1"/>
          <w:sz w:val="20"/>
        </w:rPr>
        <w:t>7. The following disclosures shall be made for investment income due and accrued in the financial statements. (SSAP No. 37 captures disclosures for mortgage loans on nonaccrual status pursuant to paragraph 6.)</w:t>
      </w:r>
    </w:p>
    <w:p w14:paraId="552401B6" w14:textId="77777777" w:rsidR="00002AAA" w:rsidRPr="00002AAA" w:rsidRDefault="00002AAA" w:rsidP="00002AAA">
      <w:pPr>
        <w:pStyle w:val="BodyText2"/>
        <w:ind w:left="720"/>
        <w:rPr>
          <w:rFonts w:ascii="Arial" w:hAnsi="Arial" w:cs="Arial"/>
          <w:b/>
          <w:bCs/>
          <w:color w:val="000000" w:themeColor="text1"/>
          <w:sz w:val="20"/>
        </w:rPr>
      </w:pPr>
    </w:p>
    <w:p w14:paraId="61627A08" w14:textId="6549ACB6" w:rsidR="00002AAA" w:rsidRPr="00002AAA" w:rsidRDefault="00002AAA" w:rsidP="00110E57">
      <w:pPr>
        <w:pStyle w:val="BodyText2"/>
        <w:numPr>
          <w:ilvl w:val="0"/>
          <w:numId w:val="40"/>
        </w:numPr>
        <w:ind w:left="2160" w:hanging="720"/>
        <w:rPr>
          <w:rFonts w:ascii="Arial" w:hAnsi="Arial" w:cs="Arial"/>
          <w:b/>
          <w:bCs/>
          <w:color w:val="000000" w:themeColor="text1"/>
          <w:sz w:val="20"/>
        </w:rPr>
      </w:pPr>
      <w:r w:rsidRPr="00002AAA">
        <w:rPr>
          <w:rFonts w:ascii="Arial" w:hAnsi="Arial" w:cs="Arial"/>
          <w:color w:val="000000" w:themeColor="text1"/>
          <w:sz w:val="20"/>
        </w:rPr>
        <w:t>The bases by category of investment income for excluding (</w:t>
      </w:r>
      <w:proofErr w:type="spellStart"/>
      <w:r w:rsidRPr="00002AAA">
        <w:rPr>
          <w:rFonts w:ascii="Arial" w:hAnsi="Arial" w:cs="Arial"/>
          <w:color w:val="000000" w:themeColor="text1"/>
          <w:sz w:val="20"/>
        </w:rPr>
        <w:t>nonadmitting</w:t>
      </w:r>
      <w:proofErr w:type="spellEnd"/>
      <w:r w:rsidRPr="00002AAA">
        <w:rPr>
          <w:rFonts w:ascii="Arial" w:hAnsi="Arial" w:cs="Arial"/>
          <w:color w:val="000000" w:themeColor="text1"/>
          <w:sz w:val="20"/>
        </w:rPr>
        <w:t xml:space="preserve">) any investment income due and </w:t>
      </w:r>
      <w:proofErr w:type="gramStart"/>
      <w:r w:rsidRPr="00002AAA">
        <w:rPr>
          <w:rFonts w:ascii="Arial" w:hAnsi="Arial" w:cs="Arial"/>
          <w:color w:val="000000" w:themeColor="text1"/>
          <w:sz w:val="20"/>
        </w:rPr>
        <w:t>accrued;</w:t>
      </w:r>
      <w:proofErr w:type="gramEnd"/>
    </w:p>
    <w:p w14:paraId="19F079B9" w14:textId="77777777" w:rsidR="00002AAA" w:rsidRPr="00002AAA" w:rsidRDefault="00002AAA" w:rsidP="00002AAA">
      <w:pPr>
        <w:pStyle w:val="BodyText2"/>
        <w:ind w:left="2160" w:hanging="720"/>
        <w:rPr>
          <w:rFonts w:ascii="Arial" w:hAnsi="Arial" w:cs="Arial"/>
          <w:b/>
          <w:bCs/>
          <w:color w:val="000000" w:themeColor="text1"/>
          <w:sz w:val="20"/>
        </w:rPr>
      </w:pPr>
    </w:p>
    <w:p w14:paraId="397A6881" w14:textId="382F40B0" w:rsidR="00002AAA" w:rsidRPr="00002AAA" w:rsidRDefault="00002AAA" w:rsidP="00110E57">
      <w:pPr>
        <w:pStyle w:val="BodyText2"/>
        <w:numPr>
          <w:ilvl w:val="0"/>
          <w:numId w:val="40"/>
        </w:numPr>
        <w:ind w:left="2160" w:hanging="720"/>
        <w:rPr>
          <w:rFonts w:ascii="Arial" w:hAnsi="Arial" w:cs="Arial"/>
          <w:b/>
          <w:bCs/>
          <w:color w:val="000000" w:themeColor="text1"/>
          <w:sz w:val="20"/>
        </w:rPr>
      </w:pPr>
      <w:r w:rsidRPr="00002AAA">
        <w:rPr>
          <w:rFonts w:ascii="Arial" w:hAnsi="Arial" w:cs="Arial"/>
          <w:color w:val="000000" w:themeColor="text1"/>
          <w:sz w:val="20"/>
        </w:rPr>
        <w:t xml:space="preserve">Disclose total amount </w:t>
      </w:r>
      <w:proofErr w:type="gramStart"/>
      <w:r w:rsidRPr="00002AAA">
        <w:rPr>
          <w:rFonts w:ascii="Arial" w:hAnsi="Arial" w:cs="Arial"/>
          <w:color w:val="000000" w:themeColor="text1"/>
          <w:sz w:val="20"/>
        </w:rPr>
        <w:t>excluded;</w:t>
      </w:r>
      <w:proofErr w:type="gramEnd"/>
    </w:p>
    <w:p w14:paraId="2807DC7B" w14:textId="77777777" w:rsidR="00002AAA" w:rsidRPr="00002AAA" w:rsidRDefault="00002AAA" w:rsidP="00002AAA">
      <w:pPr>
        <w:pStyle w:val="BodyText2"/>
        <w:ind w:left="2160" w:hanging="720"/>
        <w:rPr>
          <w:rFonts w:ascii="Arial" w:hAnsi="Arial" w:cs="Arial"/>
          <w:b/>
          <w:bCs/>
          <w:color w:val="000000" w:themeColor="text1"/>
          <w:sz w:val="20"/>
          <w:highlight w:val="yellow"/>
        </w:rPr>
      </w:pPr>
    </w:p>
    <w:p w14:paraId="50A21653" w14:textId="4FF0D6BA" w:rsidR="00002AAA" w:rsidRPr="00002AAA" w:rsidRDefault="00002AAA" w:rsidP="00110E57">
      <w:pPr>
        <w:pStyle w:val="BodyText2"/>
        <w:numPr>
          <w:ilvl w:val="0"/>
          <w:numId w:val="40"/>
        </w:numPr>
        <w:ind w:left="2160" w:hanging="720"/>
        <w:rPr>
          <w:rFonts w:ascii="Arial" w:hAnsi="Arial" w:cs="Arial"/>
          <w:b/>
          <w:bCs/>
          <w:color w:val="000000" w:themeColor="text1"/>
          <w:sz w:val="20"/>
        </w:rPr>
      </w:pPr>
      <w:r w:rsidRPr="00002AAA">
        <w:rPr>
          <w:rFonts w:ascii="Arial" w:hAnsi="Arial" w:cs="Arial"/>
          <w:color w:val="000000" w:themeColor="text1"/>
          <w:sz w:val="20"/>
        </w:rPr>
        <w:t>Disclose the gross, nonadmitted and admitted amounts for interest income due and accrued.</w:t>
      </w:r>
    </w:p>
    <w:p w14:paraId="753F5E78" w14:textId="77777777" w:rsidR="00002AAA" w:rsidRPr="00002AAA" w:rsidRDefault="00002AAA" w:rsidP="00002AAA">
      <w:pPr>
        <w:pStyle w:val="BodyText2"/>
        <w:ind w:left="2160" w:hanging="720"/>
        <w:rPr>
          <w:rFonts w:ascii="Arial" w:hAnsi="Arial" w:cs="Arial"/>
          <w:b/>
          <w:bCs/>
          <w:color w:val="000000" w:themeColor="text1"/>
          <w:sz w:val="20"/>
        </w:rPr>
      </w:pPr>
    </w:p>
    <w:p w14:paraId="1B180626" w14:textId="1CE1FF7B" w:rsidR="00002AAA" w:rsidRPr="00002AAA" w:rsidRDefault="00002AAA" w:rsidP="00110E57">
      <w:pPr>
        <w:pStyle w:val="BodyText2"/>
        <w:numPr>
          <w:ilvl w:val="0"/>
          <w:numId w:val="40"/>
        </w:numPr>
        <w:ind w:left="2160" w:hanging="720"/>
        <w:rPr>
          <w:rFonts w:ascii="Arial" w:hAnsi="Arial" w:cs="Arial"/>
          <w:b/>
          <w:bCs/>
          <w:color w:val="000000" w:themeColor="text1"/>
          <w:sz w:val="20"/>
        </w:rPr>
      </w:pPr>
      <w:r w:rsidRPr="00002AAA">
        <w:rPr>
          <w:rFonts w:ascii="Arial" w:hAnsi="Arial" w:cs="Arial"/>
          <w:color w:val="000000" w:themeColor="text1"/>
          <w:sz w:val="20"/>
        </w:rPr>
        <w:t>Disclose aggregate deferred interest</w:t>
      </w:r>
      <w:r w:rsidRPr="00002AAA">
        <w:rPr>
          <w:rFonts w:ascii="Arial" w:hAnsi="Arial" w:cs="Arial"/>
          <w:strike/>
          <w:color w:val="000000" w:themeColor="text1"/>
          <w:sz w:val="20"/>
        </w:rPr>
        <w:t xml:space="preserve"> and cumulative amounts of paid-in-kind (PIK) interest included in the current principal balance</w:t>
      </w:r>
      <w:r w:rsidRPr="00002AAA">
        <w:rPr>
          <w:rFonts w:ascii="Arial" w:hAnsi="Arial" w:cs="Arial"/>
          <w:color w:val="000000" w:themeColor="text1"/>
          <w:sz w:val="20"/>
        </w:rPr>
        <w:t>.</w:t>
      </w:r>
    </w:p>
    <w:p w14:paraId="03B0B0A8" w14:textId="77777777" w:rsidR="00002AAA" w:rsidRPr="00002AAA" w:rsidRDefault="00002AAA" w:rsidP="00002AAA">
      <w:pPr>
        <w:pStyle w:val="BodyText2"/>
        <w:ind w:left="2160" w:hanging="720"/>
        <w:rPr>
          <w:rFonts w:ascii="Arial" w:hAnsi="Arial" w:cs="Arial"/>
          <w:b/>
          <w:bCs/>
          <w:color w:val="000000" w:themeColor="text1"/>
          <w:sz w:val="20"/>
        </w:rPr>
      </w:pPr>
    </w:p>
    <w:p w14:paraId="2C75D022" w14:textId="719D7455" w:rsidR="00002AAA" w:rsidRPr="00002AAA" w:rsidRDefault="00002AAA" w:rsidP="00110E57">
      <w:pPr>
        <w:pStyle w:val="BodyText2"/>
        <w:numPr>
          <w:ilvl w:val="0"/>
          <w:numId w:val="40"/>
        </w:numPr>
        <w:ind w:left="2160" w:hanging="720"/>
        <w:rPr>
          <w:rFonts w:ascii="Arial" w:hAnsi="Arial" w:cs="Arial"/>
          <w:b/>
          <w:bCs/>
          <w:color w:val="000000" w:themeColor="text1"/>
          <w:sz w:val="20"/>
        </w:rPr>
      </w:pPr>
      <w:r w:rsidRPr="00002AAA">
        <w:rPr>
          <w:rFonts w:ascii="Arial" w:hAnsi="Arial" w:cs="Arial"/>
          <w:color w:val="000000" w:themeColor="text1"/>
          <w:sz w:val="20"/>
          <w:u w:val="single"/>
        </w:rPr>
        <w:t>Disclose cumulative amounts of paid-in-kind (PIK) interest included in the current principal balance.</w:t>
      </w:r>
    </w:p>
    <w:p w14:paraId="34AC9292" w14:textId="77777777" w:rsidR="00F83779" w:rsidRDefault="00F83779" w:rsidP="00F83779">
      <w:pPr>
        <w:rPr>
          <w:sz w:val="22"/>
          <w:szCs w:val="22"/>
        </w:rPr>
      </w:pPr>
    </w:p>
    <w:p w14:paraId="5B7FC2A1" w14:textId="77777777" w:rsidR="00F83779" w:rsidRPr="00F45BC3" w:rsidRDefault="00F83779" w:rsidP="00F83779">
      <w:pPr>
        <w:pStyle w:val="ListContinue"/>
        <w:numPr>
          <w:ilvl w:val="0"/>
          <w:numId w:val="0"/>
        </w:numPr>
        <w:spacing w:after="0"/>
        <w:jc w:val="both"/>
        <w:rPr>
          <w:bCs/>
          <w:i/>
          <w:kern w:val="32"/>
          <w:sz w:val="22"/>
          <w:szCs w:val="22"/>
          <w:u w:val="single"/>
        </w:rPr>
      </w:pPr>
      <w:r w:rsidRPr="00F45BC3">
        <w:rPr>
          <w:bCs/>
          <w:i/>
          <w:kern w:val="32"/>
          <w:sz w:val="22"/>
          <w:szCs w:val="22"/>
          <w:u w:val="single"/>
        </w:rPr>
        <w:t>Recommendation:</w:t>
      </w:r>
    </w:p>
    <w:p w14:paraId="520B2AD0" w14:textId="760DC7A9" w:rsidR="00C62A9E" w:rsidRDefault="002D6099" w:rsidP="00A53D19">
      <w:pPr>
        <w:jc w:val="both"/>
        <w:rPr>
          <w:b/>
          <w:sz w:val="22"/>
          <w:szCs w:val="22"/>
          <w:shd w:val="clear" w:color="auto" w:fill="FFFFFF"/>
        </w:rPr>
      </w:pPr>
      <w:bookmarkStart w:id="51" w:name="_Hlk117849597"/>
      <w:r w:rsidRPr="005D286F">
        <w:rPr>
          <w:rStyle w:val="normaltextrun"/>
          <w:b/>
          <w:bCs/>
          <w:sz w:val="22"/>
          <w:szCs w:val="22"/>
          <w:shd w:val="clear" w:color="auto" w:fill="FFFFFF"/>
        </w:rPr>
        <w:t>NAIC staff recommends that the Working Group adopt the e</w:t>
      </w:r>
      <w:r w:rsidRPr="005D286F">
        <w:rPr>
          <w:b/>
          <w:bCs/>
          <w:sz w:val="22"/>
          <w:szCs w:val="22"/>
          <w:shd w:val="clear" w:color="auto" w:fill="FFFFFF"/>
        </w:rPr>
        <w:t xml:space="preserve">xposed </w:t>
      </w:r>
      <w:bookmarkEnd w:id="51"/>
      <w:r w:rsidRPr="005D286F">
        <w:rPr>
          <w:b/>
          <w:bCs/>
          <w:sz w:val="22"/>
          <w:szCs w:val="22"/>
          <w:shd w:val="clear" w:color="auto" w:fill="FFFFFF"/>
        </w:rPr>
        <w:t>revisions</w:t>
      </w:r>
      <w:r w:rsidR="00B11D7E">
        <w:rPr>
          <w:b/>
          <w:bCs/>
          <w:sz w:val="22"/>
          <w:szCs w:val="22"/>
          <w:shd w:val="clear" w:color="auto" w:fill="FFFFFF"/>
        </w:rPr>
        <w:t xml:space="preserve"> to </w:t>
      </w:r>
      <w:r w:rsidR="00B11D7E" w:rsidRPr="00B11D7E">
        <w:rPr>
          <w:b/>
          <w:bCs/>
          <w:i/>
          <w:iCs/>
          <w:sz w:val="22"/>
          <w:szCs w:val="22"/>
          <w:shd w:val="clear" w:color="auto" w:fill="FFFFFF"/>
        </w:rPr>
        <w:t>SSAP No. 3</w:t>
      </w:r>
      <w:r w:rsidR="00A53D19">
        <w:rPr>
          <w:b/>
          <w:bCs/>
          <w:i/>
          <w:iCs/>
          <w:sz w:val="22"/>
          <w:szCs w:val="22"/>
          <w:shd w:val="clear" w:color="auto" w:fill="FFFFFF"/>
        </w:rPr>
        <w:t>4</w:t>
      </w:r>
      <w:r w:rsidR="00B11D7E" w:rsidRPr="00B11D7E">
        <w:rPr>
          <w:b/>
          <w:bCs/>
          <w:i/>
          <w:iCs/>
          <w:sz w:val="22"/>
          <w:szCs w:val="22"/>
          <w:shd w:val="clear" w:color="auto" w:fill="FFFFFF"/>
        </w:rPr>
        <w:t>—Investment Income Due and Accrued</w:t>
      </w:r>
      <w:r w:rsidR="00B11D7E">
        <w:rPr>
          <w:b/>
          <w:bCs/>
          <w:sz w:val="22"/>
          <w:szCs w:val="22"/>
          <w:shd w:val="clear" w:color="auto" w:fill="FFFFFF"/>
        </w:rPr>
        <w:t>, with the minor revisions that were suggested by the Interest</w:t>
      </w:r>
      <w:r w:rsidR="00ED4E45">
        <w:rPr>
          <w:b/>
          <w:bCs/>
          <w:sz w:val="22"/>
          <w:szCs w:val="22"/>
          <w:shd w:val="clear" w:color="auto" w:fill="FFFFFF"/>
        </w:rPr>
        <w:t>ed</w:t>
      </w:r>
      <w:r w:rsidR="00B11D7E">
        <w:rPr>
          <w:b/>
          <w:bCs/>
          <w:sz w:val="22"/>
          <w:szCs w:val="22"/>
          <w:shd w:val="clear" w:color="auto" w:fill="FFFFFF"/>
        </w:rPr>
        <w:t xml:space="preserve"> Parties</w:t>
      </w:r>
      <w:r w:rsidR="00ED4E45">
        <w:rPr>
          <w:b/>
          <w:bCs/>
          <w:sz w:val="22"/>
          <w:szCs w:val="22"/>
          <w:shd w:val="clear" w:color="auto" w:fill="FFFFFF"/>
        </w:rPr>
        <w:t>’</w:t>
      </w:r>
      <w:r w:rsidR="00B11D7E">
        <w:rPr>
          <w:b/>
          <w:bCs/>
          <w:sz w:val="22"/>
          <w:szCs w:val="22"/>
          <w:shd w:val="clear" w:color="auto" w:fill="FFFFFF"/>
        </w:rPr>
        <w:t xml:space="preserve"> </w:t>
      </w:r>
      <w:r w:rsidR="00BA401F">
        <w:rPr>
          <w:b/>
          <w:bCs/>
          <w:sz w:val="22"/>
          <w:szCs w:val="22"/>
          <w:shd w:val="clear" w:color="auto" w:fill="FFFFFF"/>
        </w:rPr>
        <w:t>comment and illustrated above</w:t>
      </w:r>
      <w:r w:rsidR="001251E8">
        <w:rPr>
          <w:b/>
          <w:bCs/>
          <w:sz w:val="22"/>
          <w:szCs w:val="22"/>
          <w:shd w:val="clear" w:color="auto" w:fill="FFFFFF"/>
        </w:rPr>
        <w:t xml:space="preserve">, effective </w:t>
      </w:r>
      <w:r w:rsidR="00303831">
        <w:rPr>
          <w:b/>
          <w:bCs/>
          <w:sz w:val="22"/>
          <w:szCs w:val="22"/>
          <w:shd w:val="clear" w:color="auto" w:fill="FFFFFF"/>
        </w:rPr>
        <w:t>for year-</w:t>
      </w:r>
      <w:r w:rsidR="00F24841">
        <w:rPr>
          <w:b/>
          <w:bCs/>
          <w:sz w:val="22"/>
          <w:szCs w:val="22"/>
          <w:shd w:val="clear" w:color="auto" w:fill="FFFFFF"/>
        </w:rPr>
        <w:t>end 2023</w:t>
      </w:r>
      <w:r w:rsidR="00BA401F">
        <w:rPr>
          <w:b/>
          <w:bCs/>
          <w:sz w:val="22"/>
          <w:szCs w:val="22"/>
          <w:shd w:val="clear" w:color="auto" w:fill="FFFFFF"/>
        </w:rPr>
        <w:t>.</w:t>
      </w:r>
      <w:r w:rsidR="003A44A8">
        <w:rPr>
          <w:b/>
          <w:bCs/>
          <w:sz w:val="22"/>
          <w:szCs w:val="22"/>
          <w:shd w:val="clear" w:color="auto" w:fill="FFFFFF"/>
        </w:rPr>
        <w:t xml:space="preserve"> NAIC staff will work staff from the Blanks (E) Working Group to </w:t>
      </w:r>
      <w:r w:rsidR="00443131">
        <w:rPr>
          <w:b/>
          <w:bCs/>
          <w:sz w:val="22"/>
          <w:szCs w:val="22"/>
          <w:shd w:val="clear" w:color="auto" w:fill="FFFFFF"/>
        </w:rPr>
        <w:t>create an agenda item to incorporate the changes into the annual statement blanks.</w:t>
      </w:r>
      <w:r w:rsidR="00F24841">
        <w:rPr>
          <w:b/>
          <w:bCs/>
          <w:sz w:val="22"/>
          <w:szCs w:val="22"/>
          <w:shd w:val="clear" w:color="auto" w:fill="FFFFFF"/>
        </w:rPr>
        <w:t xml:space="preserve"> NAIC staff recognizes that this item was identified from bond project discussions, but this new disclose is not</w:t>
      </w:r>
      <w:r w:rsidR="0020466C">
        <w:rPr>
          <w:b/>
          <w:bCs/>
          <w:sz w:val="22"/>
          <w:szCs w:val="22"/>
          <w:shd w:val="clear" w:color="auto" w:fill="FFFFFF"/>
        </w:rPr>
        <w:t xml:space="preserve"> contingent on the bond proposal and is pertinent to existing investments held. </w:t>
      </w:r>
    </w:p>
    <w:p w14:paraId="40733617" w14:textId="77777777" w:rsidR="003D7911" w:rsidRDefault="003D7911" w:rsidP="00A53D19">
      <w:pPr>
        <w:jc w:val="both"/>
        <w:rPr>
          <w:b/>
          <w:sz w:val="22"/>
          <w:szCs w:val="22"/>
          <w:shd w:val="clear" w:color="auto" w:fill="FFFFFF"/>
        </w:rPr>
      </w:pPr>
    </w:p>
    <w:p w14:paraId="054B73CF" w14:textId="77777777" w:rsidR="0020466C" w:rsidRDefault="0020466C" w:rsidP="00A53D19">
      <w:pPr>
        <w:jc w:val="both"/>
        <w:rPr>
          <w:sz w:val="22"/>
          <w:szCs w:val="22"/>
        </w:rPr>
      </w:pPr>
    </w:p>
    <w:p w14:paraId="289EED49" w14:textId="77777777" w:rsidR="00B222EA" w:rsidRDefault="00B222EA" w:rsidP="00A53D19">
      <w:pPr>
        <w:jc w:val="both"/>
        <w:rPr>
          <w:sz w:val="22"/>
          <w:szCs w:val="22"/>
        </w:rPr>
      </w:pPr>
    </w:p>
    <w:p w14:paraId="06A19BED" w14:textId="77777777" w:rsidR="00B222EA" w:rsidRDefault="00B222EA" w:rsidP="00A53D19">
      <w:pPr>
        <w:jc w:val="both"/>
        <w:rPr>
          <w:sz w:val="22"/>
          <w:szCs w:val="22"/>
        </w:rPr>
      </w:pPr>
    </w:p>
    <w:p w14:paraId="4E087CBA" w14:textId="77777777" w:rsidR="00B222EA" w:rsidRDefault="00B222EA" w:rsidP="00A53D19">
      <w:pPr>
        <w:jc w:val="both"/>
        <w:rPr>
          <w:sz w:val="22"/>
          <w:szCs w:val="22"/>
        </w:rPr>
      </w:pPr>
    </w:p>
    <w:p w14:paraId="2272DA61" w14:textId="77777777" w:rsidR="00A64E4F" w:rsidRDefault="00A64E4F" w:rsidP="00A53D19">
      <w:pPr>
        <w:jc w:val="both"/>
        <w:rPr>
          <w:sz w:val="22"/>
          <w:szCs w:val="22"/>
        </w:rPr>
      </w:pPr>
    </w:p>
    <w:p w14:paraId="69920364" w14:textId="77777777" w:rsidR="00A64E4F" w:rsidRDefault="00A64E4F" w:rsidP="00A53D19">
      <w:pPr>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C62A9E" w:rsidRPr="00F45BC3" w14:paraId="66F540CB"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0465BC7" w14:textId="77777777" w:rsidR="00C62A9E" w:rsidRPr="00F45BC3" w:rsidRDefault="00C62A9E">
            <w:pPr>
              <w:widowControl w:val="0"/>
              <w:jc w:val="center"/>
              <w:rPr>
                <w:b/>
                <w:color w:val="FFFFFF"/>
                <w:sz w:val="22"/>
                <w:szCs w:val="22"/>
              </w:rPr>
            </w:pPr>
          </w:p>
          <w:p w14:paraId="363BC480" w14:textId="77777777" w:rsidR="00C62A9E" w:rsidRPr="00F45BC3" w:rsidRDefault="00C62A9E">
            <w:pPr>
              <w:widowControl w:val="0"/>
              <w:jc w:val="center"/>
              <w:rPr>
                <w:b/>
                <w:color w:val="FFFFFF"/>
                <w:sz w:val="22"/>
                <w:szCs w:val="22"/>
              </w:rPr>
            </w:pPr>
            <w:r w:rsidRPr="00F45BC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DEE28DC" w14:textId="77777777" w:rsidR="00C62A9E" w:rsidRPr="00F45BC3" w:rsidRDefault="00C62A9E">
            <w:pPr>
              <w:widowControl w:val="0"/>
              <w:jc w:val="center"/>
              <w:rPr>
                <w:b/>
                <w:color w:val="FFFFFF"/>
                <w:sz w:val="22"/>
                <w:szCs w:val="22"/>
              </w:rPr>
            </w:pPr>
          </w:p>
          <w:p w14:paraId="24A248E7" w14:textId="77777777" w:rsidR="00C62A9E" w:rsidRPr="00F45BC3" w:rsidRDefault="00C62A9E">
            <w:pPr>
              <w:widowControl w:val="0"/>
              <w:jc w:val="center"/>
              <w:rPr>
                <w:b/>
                <w:color w:val="FFFFFF"/>
                <w:sz w:val="22"/>
                <w:szCs w:val="22"/>
              </w:rPr>
            </w:pPr>
            <w:r w:rsidRPr="00F45BC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0D39C9D" w14:textId="77777777" w:rsidR="00C62A9E" w:rsidRPr="00F45BC3" w:rsidRDefault="00C62A9E">
            <w:pPr>
              <w:widowControl w:val="0"/>
              <w:jc w:val="center"/>
              <w:rPr>
                <w:b/>
                <w:color w:val="FFFFFF"/>
                <w:sz w:val="22"/>
                <w:szCs w:val="22"/>
              </w:rPr>
            </w:pPr>
          </w:p>
          <w:p w14:paraId="512BEC94" w14:textId="77777777" w:rsidR="00C62A9E" w:rsidRPr="00F45BC3" w:rsidRDefault="00C62A9E">
            <w:pPr>
              <w:widowControl w:val="0"/>
              <w:jc w:val="center"/>
              <w:rPr>
                <w:b/>
                <w:color w:val="FFFFFF"/>
                <w:sz w:val="22"/>
                <w:szCs w:val="22"/>
              </w:rPr>
            </w:pPr>
            <w:r w:rsidRPr="00F45BC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D1FD6CA" w14:textId="77777777" w:rsidR="00C62A9E" w:rsidRPr="00F45BC3" w:rsidRDefault="00C62A9E">
            <w:pPr>
              <w:widowControl w:val="0"/>
              <w:jc w:val="center"/>
              <w:rPr>
                <w:b/>
                <w:bCs/>
                <w:color w:val="FFFFFF"/>
                <w:sz w:val="22"/>
                <w:szCs w:val="22"/>
              </w:rPr>
            </w:pPr>
            <w:r w:rsidRPr="00F45BC3">
              <w:rPr>
                <w:b/>
                <w:bCs/>
                <w:sz w:val="22"/>
                <w:szCs w:val="22"/>
              </w:rPr>
              <w:t>Agreement with Exposed Document?</w:t>
            </w:r>
            <w:r w:rsidRPr="00F45BC3">
              <w:rPr>
                <w:b/>
                <w:bCs/>
                <w:color w:val="FFFFFF"/>
                <w:sz w:val="22"/>
                <w:szCs w:val="22"/>
              </w:rPr>
              <w:t> </w:t>
            </w:r>
          </w:p>
        </w:tc>
        <w:tc>
          <w:tcPr>
            <w:tcW w:w="1440" w:type="dxa"/>
            <w:tcBorders>
              <w:top w:val="nil"/>
              <w:left w:val="single" w:sz="4" w:space="0" w:color="FFFFFF"/>
              <w:bottom w:val="single" w:sz="4" w:space="0" w:color="FFFFFF"/>
              <w:right w:val="single" w:sz="4" w:space="0" w:color="FFFFFF"/>
            </w:tcBorders>
            <w:shd w:val="solid" w:color="auto" w:fill="auto"/>
          </w:tcPr>
          <w:p w14:paraId="697FCD56" w14:textId="77777777" w:rsidR="00C62A9E" w:rsidRPr="00F45BC3" w:rsidRDefault="00C62A9E">
            <w:pPr>
              <w:widowControl w:val="0"/>
              <w:jc w:val="center"/>
              <w:rPr>
                <w:b/>
                <w:bCs/>
                <w:color w:val="FFFFFF"/>
                <w:sz w:val="22"/>
                <w:szCs w:val="22"/>
              </w:rPr>
            </w:pPr>
            <w:r w:rsidRPr="00F45BC3">
              <w:rPr>
                <w:b/>
                <w:bCs/>
                <w:sz w:val="22"/>
                <w:szCs w:val="22"/>
              </w:rPr>
              <w:t>Comment Letter Page Number</w:t>
            </w:r>
          </w:p>
        </w:tc>
      </w:tr>
      <w:tr w:rsidR="00C62A9E" w:rsidRPr="00F45BC3" w14:paraId="4CFFB022" w14:textId="77777777">
        <w:trPr>
          <w:trHeight w:val="800"/>
        </w:trPr>
        <w:tc>
          <w:tcPr>
            <w:tcW w:w="1615" w:type="dxa"/>
            <w:tcBorders>
              <w:top w:val="single" w:sz="4" w:space="0" w:color="FFFFFF"/>
            </w:tcBorders>
            <w:shd w:val="clear" w:color="auto" w:fill="F2F2F2"/>
            <w:vAlign w:val="center"/>
          </w:tcPr>
          <w:p w14:paraId="69C3A2CE" w14:textId="7B896053" w:rsidR="00C62A9E" w:rsidRPr="00F45BC3" w:rsidRDefault="00C62A9E">
            <w:pPr>
              <w:widowControl w:val="0"/>
              <w:jc w:val="center"/>
              <w:rPr>
                <w:b/>
                <w:sz w:val="22"/>
                <w:szCs w:val="22"/>
              </w:rPr>
            </w:pPr>
            <w:r w:rsidRPr="00F45BC3">
              <w:rPr>
                <w:b/>
                <w:sz w:val="22"/>
                <w:szCs w:val="22"/>
              </w:rPr>
              <w:t>2022-</w:t>
            </w:r>
            <w:r>
              <w:rPr>
                <w:b/>
                <w:sz w:val="22"/>
                <w:szCs w:val="22"/>
              </w:rPr>
              <w:t>19</w:t>
            </w:r>
          </w:p>
          <w:p w14:paraId="1149AABB" w14:textId="4766BEB5" w:rsidR="00C62A9E" w:rsidRPr="00F45BC3" w:rsidRDefault="00C62A9E">
            <w:pPr>
              <w:widowControl w:val="0"/>
              <w:jc w:val="center"/>
              <w:rPr>
                <w:b/>
                <w:sz w:val="22"/>
                <w:szCs w:val="22"/>
              </w:rPr>
            </w:pPr>
            <w:r w:rsidRPr="00F45BC3">
              <w:rPr>
                <w:b/>
                <w:sz w:val="22"/>
                <w:szCs w:val="22"/>
              </w:rPr>
              <w:t>(</w:t>
            </w:r>
            <w:r>
              <w:rPr>
                <w:b/>
                <w:sz w:val="22"/>
                <w:szCs w:val="22"/>
              </w:rPr>
              <w:t>Julie</w:t>
            </w:r>
            <w:r w:rsidRPr="00F45BC3">
              <w:rPr>
                <w:b/>
                <w:sz w:val="22"/>
                <w:szCs w:val="22"/>
              </w:rPr>
              <w:t>)</w:t>
            </w:r>
          </w:p>
        </w:tc>
        <w:tc>
          <w:tcPr>
            <w:tcW w:w="3198" w:type="dxa"/>
            <w:tcBorders>
              <w:top w:val="single" w:sz="4" w:space="0" w:color="FFFFFF"/>
            </w:tcBorders>
            <w:shd w:val="clear" w:color="auto" w:fill="F2F2F2"/>
            <w:vAlign w:val="center"/>
          </w:tcPr>
          <w:p w14:paraId="52277F01" w14:textId="6DE733DC" w:rsidR="00C62A9E" w:rsidRPr="00F45BC3" w:rsidRDefault="00C62A9E">
            <w:pPr>
              <w:pStyle w:val="Heading2"/>
              <w:rPr>
                <w:iCs/>
                <w:sz w:val="22"/>
                <w:szCs w:val="22"/>
              </w:rPr>
            </w:pPr>
            <w:r>
              <w:rPr>
                <w:iCs/>
                <w:sz w:val="22"/>
                <w:szCs w:val="22"/>
              </w:rPr>
              <w:t>Negative IMR</w:t>
            </w:r>
          </w:p>
        </w:tc>
        <w:tc>
          <w:tcPr>
            <w:tcW w:w="2112" w:type="dxa"/>
            <w:tcBorders>
              <w:top w:val="single" w:sz="4" w:space="0" w:color="FFFFFF"/>
            </w:tcBorders>
            <w:shd w:val="clear" w:color="auto" w:fill="F2F2F2"/>
            <w:vAlign w:val="center"/>
          </w:tcPr>
          <w:p w14:paraId="5040369C" w14:textId="63B32E35" w:rsidR="00C62A9E" w:rsidRPr="00F45BC3" w:rsidRDefault="00691257">
            <w:pPr>
              <w:widowControl w:val="0"/>
              <w:jc w:val="center"/>
              <w:rPr>
                <w:b/>
                <w:sz w:val="22"/>
                <w:szCs w:val="22"/>
              </w:rPr>
            </w:pPr>
            <w:r>
              <w:rPr>
                <w:b/>
                <w:sz w:val="22"/>
                <w:szCs w:val="22"/>
              </w:rPr>
              <w:t>1</w:t>
            </w:r>
            <w:r w:rsidR="00867FF3">
              <w:rPr>
                <w:b/>
                <w:sz w:val="22"/>
                <w:szCs w:val="22"/>
              </w:rPr>
              <w:t>9</w:t>
            </w:r>
            <w:r w:rsidR="00C62A9E">
              <w:rPr>
                <w:b/>
                <w:sz w:val="22"/>
                <w:szCs w:val="22"/>
              </w:rPr>
              <w:t xml:space="preserve"> – Agenda Item</w:t>
            </w:r>
          </w:p>
        </w:tc>
        <w:tc>
          <w:tcPr>
            <w:tcW w:w="1710" w:type="dxa"/>
            <w:tcBorders>
              <w:top w:val="single" w:sz="4" w:space="0" w:color="FFFFFF"/>
            </w:tcBorders>
            <w:shd w:val="clear" w:color="auto" w:fill="F2F2F2"/>
            <w:vAlign w:val="center"/>
          </w:tcPr>
          <w:p w14:paraId="4A7BD211" w14:textId="7191D66D" w:rsidR="00C62A9E" w:rsidRPr="00F45BC3" w:rsidRDefault="00091578">
            <w:pPr>
              <w:widowControl w:val="0"/>
              <w:jc w:val="center"/>
              <w:rPr>
                <w:b/>
                <w:sz w:val="22"/>
                <w:szCs w:val="22"/>
              </w:rPr>
            </w:pPr>
            <w:r>
              <w:rPr>
                <w:b/>
                <w:sz w:val="22"/>
                <w:szCs w:val="22"/>
              </w:rPr>
              <w:t>Comments Received</w:t>
            </w:r>
          </w:p>
        </w:tc>
        <w:tc>
          <w:tcPr>
            <w:tcW w:w="1440" w:type="dxa"/>
            <w:tcBorders>
              <w:top w:val="single" w:sz="4" w:space="0" w:color="FFFFFF"/>
            </w:tcBorders>
            <w:shd w:val="clear" w:color="auto" w:fill="F2F2F2"/>
            <w:vAlign w:val="center"/>
          </w:tcPr>
          <w:p w14:paraId="0B36B663" w14:textId="6C251F86" w:rsidR="00E60736" w:rsidRPr="00F45BC3" w:rsidRDefault="003F67CC">
            <w:pPr>
              <w:widowControl w:val="0"/>
              <w:jc w:val="center"/>
              <w:rPr>
                <w:b/>
                <w:sz w:val="22"/>
                <w:szCs w:val="22"/>
              </w:rPr>
            </w:pPr>
            <w:r>
              <w:rPr>
                <w:b/>
                <w:sz w:val="22"/>
                <w:szCs w:val="22"/>
              </w:rPr>
              <w:t>ACLI</w:t>
            </w:r>
            <w:r w:rsidR="00AC7418">
              <w:rPr>
                <w:b/>
                <w:sz w:val="22"/>
                <w:szCs w:val="22"/>
              </w:rPr>
              <w:t>-26</w:t>
            </w:r>
          </w:p>
        </w:tc>
      </w:tr>
    </w:tbl>
    <w:p w14:paraId="0814DCB9" w14:textId="77777777" w:rsidR="00C62A9E" w:rsidRPr="00F45BC3" w:rsidRDefault="00C62A9E" w:rsidP="00C62A9E">
      <w:pPr>
        <w:rPr>
          <w:sz w:val="22"/>
          <w:szCs w:val="22"/>
        </w:rPr>
      </w:pPr>
    </w:p>
    <w:p w14:paraId="23646CEA" w14:textId="77777777" w:rsidR="00C62A9E" w:rsidRPr="007A4CDA" w:rsidRDefault="00C62A9E" w:rsidP="00C62A9E">
      <w:pPr>
        <w:jc w:val="both"/>
        <w:rPr>
          <w:sz w:val="22"/>
          <w:szCs w:val="22"/>
          <w:u w:val="single"/>
        </w:rPr>
      </w:pPr>
      <w:r w:rsidRPr="007A4CDA">
        <w:rPr>
          <w:i/>
          <w:sz w:val="22"/>
          <w:szCs w:val="22"/>
          <w:u w:val="single"/>
        </w:rPr>
        <w:t>Summary:</w:t>
      </w:r>
      <w:r w:rsidRPr="007A4CDA">
        <w:rPr>
          <w:sz w:val="22"/>
          <w:szCs w:val="22"/>
          <w:u w:val="single"/>
        </w:rPr>
        <w:t xml:space="preserve"> </w:t>
      </w:r>
    </w:p>
    <w:p w14:paraId="5EB32054" w14:textId="2E0E071A" w:rsidR="00C62A9E" w:rsidRPr="00F45BC3" w:rsidRDefault="00C62A9E" w:rsidP="00C62A9E">
      <w:pPr>
        <w:pStyle w:val="BodyText2"/>
        <w:jc w:val="both"/>
        <w:rPr>
          <w:b/>
          <w:bCs/>
          <w:color w:val="111822"/>
          <w:sz w:val="22"/>
          <w:szCs w:val="22"/>
          <w:shd w:val="clear" w:color="auto" w:fill="F7FCFF"/>
        </w:rPr>
      </w:pPr>
      <w:r w:rsidRPr="00F45BC3">
        <w:rPr>
          <w:iCs/>
          <w:sz w:val="22"/>
          <w:szCs w:val="22"/>
        </w:rPr>
        <w:t xml:space="preserve">During the 2022 Fall National Meeting, the Working Group </w:t>
      </w:r>
      <w:r>
        <w:rPr>
          <w:iCs/>
          <w:sz w:val="22"/>
          <w:szCs w:val="22"/>
        </w:rPr>
        <w:t xml:space="preserve">exposed </w:t>
      </w:r>
      <w:r w:rsidR="00417327">
        <w:rPr>
          <w:iCs/>
          <w:sz w:val="22"/>
          <w:szCs w:val="22"/>
        </w:rPr>
        <w:t xml:space="preserve">the agenda item as a new SAP Concept with a request for comments by industry on potential guardrails and details on unique considerations. The Working Group directed NAIC staff to coordinate with the Life Actuarial (A) Task Force and requested regulator-only sessions with industry to receive company specific information. </w:t>
      </w:r>
    </w:p>
    <w:p w14:paraId="18EC0FC2" w14:textId="77777777" w:rsidR="00C62A9E" w:rsidRPr="00F45BC3" w:rsidRDefault="00C62A9E" w:rsidP="00C62A9E">
      <w:pPr>
        <w:pStyle w:val="BodyText2"/>
        <w:jc w:val="both"/>
        <w:rPr>
          <w:iCs/>
          <w:sz w:val="22"/>
          <w:szCs w:val="22"/>
        </w:rPr>
      </w:pPr>
    </w:p>
    <w:p w14:paraId="332545C4" w14:textId="1336F389" w:rsidR="00C62A9E" w:rsidRPr="00F45BC3" w:rsidRDefault="003D13E8" w:rsidP="00C62A9E">
      <w:pPr>
        <w:pStyle w:val="paragraph"/>
        <w:spacing w:before="0" w:beforeAutospacing="0" w:after="0" w:afterAutospacing="0"/>
        <w:jc w:val="both"/>
        <w:textAlignment w:val="baseline"/>
        <w:rPr>
          <w:bCs/>
          <w:i/>
          <w:sz w:val="22"/>
          <w:szCs w:val="22"/>
          <w:u w:val="single"/>
        </w:rPr>
      </w:pPr>
      <w:r w:rsidRPr="003D13E8">
        <w:rPr>
          <w:bCs/>
          <w:i/>
          <w:sz w:val="22"/>
          <w:szCs w:val="22"/>
          <w:u w:val="single"/>
        </w:rPr>
        <w:t xml:space="preserve">American Council of Life Insurers (ACLI) </w:t>
      </w:r>
      <w:r w:rsidR="00C62A9E" w:rsidRPr="00F45BC3">
        <w:rPr>
          <w:bCs/>
          <w:i/>
          <w:sz w:val="22"/>
          <w:szCs w:val="22"/>
          <w:u w:val="single"/>
        </w:rPr>
        <w:t>Comments:</w:t>
      </w:r>
    </w:p>
    <w:p w14:paraId="6988896C" w14:textId="10D04C2B" w:rsidR="00E0691A" w:rsidRPr="00E0691A" w:rsidRDefault="00E0691A" w:rsidP="00E0691A">
      <w:pPr>
        <w:ind w:right="-90"/>
        <w:jc w:val="both"/>
        <w:rPr>
          <w:sz w:val="22"/>
          <w:szCs w:val="22"/>
        </w:rPr>
      </w:pPr>
      <w:r w:rsidRPr="00E0691A">
        <w:rPr>
          <w:sz w:val="22"/>
          <w:szCs w:val="22"/>
        </w:rPr>
        <w:t>The American Council of Life Insurers (ACLI) appreciates the opportunity to provide comments on the above referenced exposure as well as the thoughtful and timely attention this important topic is receiving from SAPWG and LATF.</w:t>
      </w:r>
      <w:r w:rsidR="00837CEC">
        <w:rPr>
          <w:sz w:val="22"/>
          <w:szCs w:val="22"/>
        </w:rPr>
        <w:t xml:space="preserve"> </w:t>
      </w:r>
      <w:r w:rsidRPr="00E0691A">
        <w:rPr>
          <w:sz w:val="22"/>
          <w:szCs w:val="22"/>
        </w:rPr>
        <w:t>The ACLI stands ready to continue working with the NAIC to create sufficient, yet practical, safeguards to ensure that the most appropriate treatment of Interest Maintenance Reserve (IMR) can be applied, and a company’s surplus and financial strength are properly reflected, while not disincentivizing prudent investment and risk management in the best interest of all.</w:t>
      </w:r>
      <w:r w:rsidR="00837CEC">
        <w:rPr>
          <w:sz w:val="22"/>
          <w:szCs w:val="22"/>
        </w:rPr>
        <w:t xml:space="preserve"> </w:t>
      </w:r>
    </w:p>
    <w:p w14:paraId="360CDBF0" w14:textId="77777777" w:rsidR="00E0691A" w:rsidRPr="00E0691A" w:rsidRDefault="00E0691A" w:rsidP="00E0691A">
      <w:pPr>
        <w:ind w:right="-90"/>
        <w:jc w:val="both"/>
        <w:rPr>
          <w:sz w:val="22"/>
          <w:szCs w:val="22"/>
        </w:rPr>
      </w:pPr>
    </w:p>
    <w:p w14:paraId="265E48A7" w14:textId="602F1F1C" w:rsidR="00E0691A" w:rsidRPr="00E0691A" w:rsidRDefault="00E0691A" w:rsidP="00E0691A">
      <w:pPr>
        <w:ind w:right="-90"/>
        <w:jc w:val="both"/>
        <w:rPr>
          <w:sz w:val="22"/>
          <w:szCs w:val="22"/>
        </w:rPr>
      </w:pPr>
      <w:r w:rsidRPr="00E0691A">
        <w:rPr>
          <w:sz w:val="22"/>
          <w:szCs w:val="22"/>
        </w:rPr>
        <w:t>A rising interest rate environment from historically low rates is generally favorable to the financial health of the life insurance industry. However, ACLI is concerned that without a change to the current treatment of negative IMR, the environment will give the inappropriate perception of decreased financial strength through lower surplus and risk-based capital ratios.</w:t>
      </w:r>
      <w:r w:rsidR="00837CEC">
        <w:rPr>
          <w:sz w:val="22"/>
          <w:szCs w:val="22"/>
        </w:rPr>
        <w:t xml:space="preserve"> </w:t>
      </w:r>
      <w:r w:rsidRPr="00E0691A">
        <w:rPr>
          <w:sz w:val="22"/>
          <w:szCs w:val="22"/>
        </w:rPr>
        <w:t>This problem will only be exacerbated if interest rates remain at or near their current levels or increase further; therefore, it is imperative that we work together toward developing an industry-wide solution for implementation by year-end 2023.</w:t>
      </w:r>
      <w:r w:rsidR="00CF0477">
        <w:rPr>
          <w:sz w:val="22"/>
          <w:szCs w:val="22"/>
        </w:rPr>
        <w:t xml:space="preserve"> </w:t>
      </w:r>
    </w:p>
    <w:p w14:paraId="0A15E691" w14:textId="77777777" w:rsidR="00E0691A" w:rsidRPr="00E0691A" w:rsidRDefault="00E0691A" w:rsidP="00E0691A">
      <w:pPr>
        <w:ind w:right="-90"/>
        <w:jc w:val="both"/>
        <w:rPr>
          <w:sz w:val="22"/>
          <w:szCs w:val="22"/>
        </w:rPr>
      </w:pPr>
    </w:p>
    <w:p w14:paraId="053B0F7D" w14:textId="13F5A7D2" w:rsidR="00E0691A" w:rsidRPr="00E0691A" w:rsidRDefault="00E0691A" w:rsidP="00E0691A">
      <w:pPr>
        <w:ind w:right="-90"/>
        <w:jc w:val="both"/>
        <w:rPr>
          <w:sz w:val="22"/>
          <w:szCs w:val="22"/>
        </w:rPr>
      </w:pPr>
      <w:r w:rsidRPr="00E0691A">
        <w:rPr>
          <w:sz w:val="22"/>
          <w:szCs w:val="22"/>
        </w:rPr>
        <w:t>Upon the sale of and subsequent reinvestment in a fixed income instrument, the reflection in surplus of either a gain or loss is not reflective of the true economics, as there is no change to solvency, liquidity, or claims paying ability because the difference between the reported amortized cost value and fair value is equal to the IMR.</w:t>
      </w:r>
      <w:r w:rsidR="00837CEC">
        <w:rPr>
          <w:sz w:val="22"/>
          <w:szCs w:val="22"/>
        </w:rPr>
        <w:t xml:space="preserve"> </w:t>
      </w:r>
      <w:r w:rsidRPr="00E0691A">
        <w:rPr>
          <w:sz w:val="22"/>
          <w:szCs w:val="22"/>
        </w:rPr>
        <w:t>This letter addresses our assessment of the suitability of the five potential guardrails proposed at the SAPWG fall national meeting and raises two additional proposals for consideration.</w:t>
      </w:r>
    </w:p>
    <w:p w14:paraId="45CDD479" w14:textId="77777777" w:rsidR="00E0691A" w:rsidRPr="00E0691A" w:rsidRDefault="00E0691A" w:rsidP="00E0691A">
      <w:pPr>
        <w:ind w:right="-90"/>
        <w:jc w:val="both"/>
        <w:rPr>
          <w:b/>
          <w:bCs/>
          <w:sz w:val="22"/>
          <w:szCs w:val="22"/>
        </w:rPr>
      </w:pPr>
    </w:p>
    <w:p w14:paraId="3AA20E46" w14:textId="77777777" w:rsidR="00E0691A" w:rsidRPr="00E0691A" w:rsidRDefault="00E0691A" w:rsidP="00E0691A">
      <w:pPr>
        <w:ind w:right="-90"/>
        <w:jc w:val="both"/>
        <w:rPr>
          <w:b/>
          <w:bCs/>
          <w:sz w:val="22"/>
          <w:szCs w:val="22"/>
        </w:rPr>
      </w:pPr>
      <w:r w:rsidRPr="00E0691A">
        <w:rPr>
          <w:b/>
          <w:bCs/>
          <w:sz w:val="22"/>
          <w:szCs w:val="22"/>
        </w:rPr>
        <w:t>Background</w:t>
      </w:r>
    </w:p>
    <w:p w14:paraId="0651614C" w14:textId="77777777" w:rsidR="00E0691A" w:rsidRPr="00E0691A" w:rsidRDefault="00E0691A" w:rsidP="00E0691A">
      <w:pPr>
        <w:jc w:val="both"/>
        <w:rPr>
          <w:sz w:val="22"/>
          <w:szCs w:val="22"/>
        </w:rPr>
      </w:pPr>
      <w:r w:rsidRPr="00E0691A">
        <w:rPr>
          <w:sz w:val="22"/>
          <w:szCs w:val="22"/>
        </w:rPr>
        <w:t xml:space="preserve">While this letter will focus on potential additional safeguards, as suggested at the SAPWG fall national meeting, this is a complex topic and we want to summarize, review, and expand on relevant background information largely included in our previous letter dated October 31, 2022. </w:t>
      </w:r>
    </w:p>
    <w:p w14:paraId="7B0E5BE0" w14:textId="77777777" w:rsidR="00E0691A" w:rsidRPr="00E0691A" w:rsidRDefault="00E0691A" w:rsidP="00E0691A">
      <w:pPr>
        <w:jc w:val="both"/>
        <w:rPr>
          <w:sz w:val="22"/>
          <w:szCs w:val="22"/>
        </w:rPr>
      </w:pPr>
    </w:p>
    <w:p w14:paraId="70E79436" w14:textId="29B76F65" w:rsidR="00E0691A" w:rsidRPr="00E0691A" w:rsidRDefault="00E0691A" w:rsidP="00E0691A">
      <w:pPr>
        <w:jc w:val="both"/>
        <w:rPr>
          <w:sz w:val="22"/>
          <w:szCs w:val="22"/>
        </w:rPr>
      </w:pPr>
      <w:r w:rsidRPr="00E0691A">
        <w:rPr>
          <w:sz w:val="22"/>
          <w:szCs w:val="22"/>
        </w:rPr>
        <w:t>The NAIC’s statutory accounting framework is largely an “amortized cost framework” in that fixed income investments are generally reported at amortized cost and long-term insurance liabilities are generally reported with locked and conservative assumptions.</w:t>
      </w:r>
      <w:r w:rsidR="00837CEC">
        <w:rPr>
          <w:sz w:val="22"/>
          <w:szCs w:val="22"/>
        </w:rPr>
        <w:t xml:space="preserve"> </w:t>
      </w:r>
    </w:p>
    <w:p w14:paraId="7F2DD4EC" w14:textId="77777777" w:rsidR="00E0691A" w:rsidRPr="00E0691A" w:rsidRDefault="00E0691A" w:rsidP="00E0691A">
      <w:pPr>
        <w:jc w:val="both"/>
        <w:rPr>
          <w:sz w:val="22"/>
          <w:szCs w:val="22"/>
        </w:rPr>
      </w:pPr>
    </w:p>
    <w:p w14:paraId="1C4E64F0" w14:textId="17544C9F" w:rsidR="00E0691A" w:rsidRPr="00E0691A" w:rsidRDefault="00E0691A" w:rsidP="00E0691A">
      <w:pPr>
        <w:jc w:val="both"/>
        <w:rPr>
          <w:sz w:val="22"/>
          <w:szCs w:val="22"/>
        </w:rPr>
      </w:pPr>
      <w:r w:rsidRPr="00E0691A">
        <w:rPr>
          <w:sz w:val="22"/>
          <w:szCs w:val="22"/>
        </w:rPr>
        <w:t>We strongly support the NAIC framework, as it facilitates the issuance of long-term insurance products in the US market by not overly focusing on current market fluctuations.</w:t>
      </w:r>
      <w:r w:rsidR="00837CEC">
        <w:rPr>
          <w:sz w:val="22"/>
          <w:szCs w:val="22"/>
        </w:rPr>
        <w:t xml:space="preserve"> </w:t>
      </w:r>
      <w:r w:rsidRPr="00E0691A">
        <w:rPr>
          <w:sz w:val="22"/>
          <w:szCs w:val="22"/>
        </w:rPr>
        <w:t>This is unlike many market valuation regimes where over-reliance or misapplication of current market conditions often distorts the financial solvency of insurance companies and can lead and has led to the decrease or elimination of such long-term product issuances in those regimes.</w:t>
      </w:r>
    </w:p>
    <w:p w14:paraId="068300C4" w14:textId="77777777" w:rsidR="00E0691A" w:rsidRPr="00E0691A" w:rsidRDefault="00E0691A" w:rsidP="00E0691A">
      <w:pPr>
        <w:jc w:val="both"/>
        <w:rPr>
          <w:sz w:val="22"/>
          <w:szCs w:val="22"/>
        </w:rPr>
      </w:pPr>
    </w:p>
    <w:p w14:paraId="6AC10DCE" w14:textId="313893CB" w:rsidR="00E0691A" w:rsidRPr="00E0691A" w:rsidRDefault="00E0691A" w:rsidP="00E0691A">
      <w:pPr>
        <w:jc w:val="both"/>
        <w:rPr>
          <w:sz w:val="22"/>
          <w:szCs w:val="22"/>
        </w:rPr>
      </w:pPr>
      <w:r w:rsidRPr="00E0691A">
        <w:rPr>
          <w:sz w:val="22"/>
          <w:szCs w:val="22"/>
        </w:rPr>
        <w:lastRenderedPageBreak/>
        <w:t>However, an amortized cost framework could also potentially distort the financial solvency of insurance companies through the misrepresentation of surplus.</w:t>
      </w:r>
      <w:r w:rsidR="00837CEC">
        <w:rPr>
          <w:sz w:val="22"/>
          <w:szCs w:val="22"/>
        </w:rPr>
        <w:t xml:space="preserve"> </w:t>
      </w:r>
      <w:r w:rsidRPr="00E0691A">
        <w:rPr>
          <w:sz w:val="22"/>
          <w:szCs w:val="22"/>
        </w:rPr>
        <w:t>The IMR was developed as a safeguard to ensure surplus is properly reflected within the NAIC’s framework.</w:t>
      </w:r>
      <w:r w:rsidR="00837CEC">
        <w:rPr>
          <w:sz w:val="22"/>
          <w:szCs w:val="22"/>
        </w:rPr>
        <w:t xml:space="preserve"> </w:t>
      </w:r>
    </w:p>
    <w:p w14:paraId="0B3B974B" w14:textId="77777777" w:rsidR="00E0691A" w:rsidRPr="00E0691A" w:rsidRDefault="00E0691A" w:rsidP="00E0691A">
      <w:pPr>
        <w:jc w:val="both"/>
        <w:rPr>
          <w:sz w:val="22"/>
          <w:szCs w:val="22"/>
        </w:rPr>
      </w:pPr>
    </w:p>
    <w:p w14:paraId="0827CA9A" w14:textId="7AEF6079" w:rsidR="00E0691A" w:rsidRPr="00E0691A" w:rsidRDefault="00E0691A" w:rsidP="00E0691A">
      <w:pPr>
        <w:jc w:val="both"/>
        <w:rPr>
          <w:sz w:val="22"/>
          <w:szCs w:val="22"/>
        </w:rPr>
      </w:pPr>
      <w:r w:rsidRPr="00E0691A">
        <w:rPr>
          <w:sz w:val="22"/>
          <w:szCs w:val="22"/>
        </w:rPr>
        <w:t>Specifically, in a declining interest rate environment, an insurance company could sell its fixed income investment portfolio, recognize gains, increase surplus and show increased financial strength.</w:t>
      </w:r>
      <w:r w:rsidR="00837CEC">
        <w:rPr>
          <w:sz w:val="22"/>
          <w:szCs w:val="22"/>
        </w:rPr>
        <w:t xml:space="preserve"> </w:t>
      </w:r>
      <w:r w:rsidRPr="00E0691A">
        <w:rPr>
          <w:sz w:val="22"/>
          <w:szCs w:val="22"/>
        </w:rPr>
        <w:t>This increase in surplus would largely be illusory as the increased surplus would be offset by a lower yielding investment portfolio.</w:t>
      </w:r>
    </w:p>
    <w:p w14:paraId="79942BD1" w14:textId="77777777" w:rsidR="00E0691A" w:rsidRPr="00E0691A" w:rsidRDefault="00E0691A" w:rsidP="00E0691A">
      <w:pPr>
        <w:jc w:val="both"/>
        <w:rPr>
          <w:sz w:val="22"/>
          <w:szCs w:val="22"/>
        </w:rPr>
      </w:pPr>
    </w:p>
    <w:p w14:paraId="4461E1C5" w14:textId="754EE47B" w:rsidR="00E0691A" w:rsidRPr="00E0691A" w:rsidRDefault="00E0691A" w:rsidP="00E0691A">
      <w:pPr>
        <w:jc w:val="both"/>
        <w:rPr>
          <w:sz w:val="22"/>
          <w:szCs w:val="22"/>
        </w:rPr>
      </w:pPr>
      <w:r w:rsidRPr="00E0691A">
        <w:rPr>
          <w:sz w:val="22"/>
          <w:szCs w:val="22"/>
        </w:rPr>
        <w:t>IMR requires deferrals of those gains from surplus, and the gains are amortized through income over the remaining life of the bonds sold to:</w:t>
      </w:r>
      <w:r w:rsidR="00837CEC">
        <w:rPr>
          <w:sz w:val="22"/>
          <w:szCs w:val="22"/>
        </w:rPr>
        <w:t xml:space="preserve"> </w:t>
      </w:r>
    </w:p>
    <w:p w14:paraId="7A1F0B52" w14:textId="77777777" w:rsidR="00E0691A" w:rsidRPr="00E0691A" w:rsidRDefault="00E0691A" w:rsidP="00E0691A">
      <w:pPr>
        <w:jc w:val="both"/>
        <w:rPr>
          <w:sz w:val="22"/>
          <w:szCs w:val="22"/>
        </w:rPr>
      </w:pPr>
    </w:p>
    <w:p w14:paraId="140230F1" w14:textId="77777777" w:rsidR="00E0691A" w:rsidRPr="00E0691A" w:rsidRDefault="00E0691A" w:rsidP="00565D51">
      <w:pPr>
        <w:pStyle w:val="ListParagraph"/>
        <w:numPr>
          <w:ilvl w:val="0"/>
          <w:numId w:val="29"/>
        </w:numPr>
        <w:spacing w:after="160" w:line="259" w:lineRule="auto"/>
        <w:jc w:val="both"/>
        <w:rPr>
          <w:sz w:val="22"/>
          <w:szCs w:val="22"/>
        </w:rPr>
      </w:pPr>
      <w:r w:rsidRPr="00E0691A">
        <w:rPr>
          <w:sz w:val="22"/>
          <w:szCs w:val="22"/>
        </w:rPr>
        <w:t>Ensure accurate representation of a company’s reported surplus by eliminating the potential for overstatement of surplus, and</w:t>
      </w:r>
    </w:p>
    <w:p w14:paraId="331C539C" w14:textId="77777777" w:rsidR="00E0691A" w:rsidRPr="00E0691A" w:rsidRDefault="00E0691A" w:rsidP="00565D51">
      <w:pPr>
        <w:pStyle w:val="ListParagraph"/>
        <w:numPr>
          <w:ilvl w:val="0"/>
          <w:numId w:val="29"/>
        </w:numPr>
        <w:spacing w:after="160" w:line="259" w:lineRule="auto"/>
        <w:jc w:val="both"/>
        <w:rPr>
          <w:sz w:val="22"/>
          <w:szCs w:val="22"/>
        </w:rPr>
      </w:pPr>
      <w:r w:rsidRPr="00E0691A">
        <w:rPr>
          <w:sz w:val="22"/>
          <w:szCs w:val="22"/>
        </w:rPr>
        <w:t>Keep the relationship of anticipated investment yield consistent with that needed to support the liabilities.</w:t>
      </w:r>
    </w:p>
    <w:p w14:paraId="60C05B24" w14:textId="159D2B5B" w:rsidR="00E0691A" w:rsidRPr="00E0691A" w:rsidRDefault="00E0691A" w:rsidP="00E0691A">
      <w:pPr>
        <w:jc w:val="both"/>
        <w:rPr>
          <w:color w:val="000000" w:themeColor="text1"/>
          <w:sz w:val="22"/>
          <w:szCs w:val="22"/>
        </w:rPr>
      </w:pPr>
      <w:r w:rsidRPr="00E0691A">
        <w:rPr>
          <w:color w:val="000000" w:themeColor="text1"/>
          <w:sz w:val="22"/>
          <w:szCs w:val="22"/>
        </w:rPr>
        <w:t>But without IMR, a rising interest rate environment could result in similarly misleading surplus (in this case an illusory lack of surplus) because a company would be investing in higher yielding bonds.</w:t>
      </w:r>
      <w:r w:rsidR="00837CEC">
        <w:rPr>
          <w:color w:val="000000" w:themeColor="text1"/>
          <w:sz w:val="22"/>
          <w:szCs w:val="22"/>
        </w:rPr>
        <w:t xml:space="preserve"> </w:t>
      </w:r>
    </w:p>
    <w:p w14:paraId="4E755B41" w14:textId="77777777" w:rsidR="00E0691A" w:rsidRPr="00E0691A" w:rsidRDefault="00E0691A" w:rsidP="00E0691A">
      <w:pPr>
        <w:jc w:val="both"/>
        <w:rPr>
          <w:sz w:val="22"/>
          <w:szCs w:val="22"/>
        </w:rPr>
      </w:pPr>
    </w:p>
    <w:p w14:paraId="073AAB07" w14:textId="0C3690FA" w:rsidR="00E0691A" w:rsidRPr="00E0691A" w:rsidRDefault="00E0691A" w:rsidP="00E0691A">
      <w:pPr>
        <w:jc w:val="both"/>
        <w:rPr>
          <w:sz w:val="22"/>
          <w:szCs w:val="22"/>
        </w:rPr>
      </w:pPr>
      <w:r w:rsidRPr="00E0691A">
        <w:rPr>
          <w:sz w:val="22"/>
          <w:szCs w:val="22"/>
        </w:rPr>
        <w:t xml:space="preserve">When IMR was developed, it was anticipated that the IMR would work consistently for both </w:t>
      </w:r>
      <w:proofErr w:type="gramStart"/>
      <w:r w:rsidRPr="00E0691A">
        <w:rPr>
          <w:sz w:val="22"/>
          <w:szCs w:val="22"/>
        </w:rPr>
        <w:t>net</w:t>
      </w:r>
      <w:proofErr w:type="gramEnd"/>
      <w:r w:rsidRPr="00E0691A">
        <w:rPr>
          <w:sz w:val="22"/>
          <w:szCs w:val="22"/>
        </w:rPr>
        <w:t xml:space="preserve"> realized gains and losses; however, the allowance of a net negative IMR was not initially adopted upon implementation in 1992.</w:t>
      </w:r>
      <w:r w:rsidR="00837CEC">
        <w:rPr>
          <w:sz w:val="22"/>
          <w:szCs w:val="22"/>
        </w:rPr>
        <w:t xml:space="preserve"> </w:t>
      </w:r>
      <w:r w:rsidRPr="00E0691A">
        <w:rPr>
          <w:sz w:val="22"/>
          <w:szCs w:val="22"/>
        </w:rPr>
        <w:t>It was expected that the issue would be addressed in subsequent years and remained on the SAPWG agenda at least until 2005 but was never addressed in any substantive way.</w:t>
      </w:r>
      <w:r w:rsidR="00837CEC">
        <w:rPr>
          <w:sz w:val="22"/>
          <w:szCs w:val="22"/>
        </w:rPr>
        <w:t xml:space="preserve"> </w:t>
      </w:r>
      <w:r w:rsidRPr="00E0691A">
        <w:rPr>
          <w:sz w:val="22"/>
          <w:szCs w:val="22"/>
        </w:rPr>
        <w:t>This was largely because of a lack of urgency due to the decades-long declining interest rate environment where IMR was largely positive for life insurance companies.</w:t>
      </w:r>
    </w:p>
    <w:p w14:paraId="70BFD9EC" w14:textId="77777777" w:rsidR="00E0691A" w:rsidRPr="00E0691A" w:rsidRDefault="00E0691A" w:rsidP="00E0691A">
      <w:pPr>
        <w:jc w:val="both"/>
        <w:rPr>
          <w:sz w:val="22"/>
          <w:szCs w:val="22"/>
        </w:rPr>
      </w:pPr>
      <w:r w:rsidRPr="00E0691A">
        <w:rPr>
          <w:sz w:val="22"/>
          <w:szCs w:val="22"/>
        </w:rPr>
        <w:t xml:space="preserve"> </w:t>
      </w:r>
    </w:p>
    <w:p w14:paraId="0B181D49" w14:textId="6F8BD765" w:rsidR="00E0691A" w:rsidRPr="00E0691A" w:rsidRDefault="00E0691A" w:rsidP="00E0691A">
      <w:pPr>
        <w:jc w:val="both"/>
        <w:rPr>
          <w:sz w:val="22"/>
          <w:szCs w:val="22"/>
        </w:rPr>
      </w:pPr>
      <w:r w:rsidRPr="00E0691A">
        <w:rPr>
          <w:sz w:val="22"/>
          <w:szCs w:val="22"/>
        </w:rPr>
        <w:t>This issue had been referred to SAPWG from the AVR/IMR working group which believed the basic rationale for the IMR would conclude that neither a maximum nor minimum is appropriate.</w:t>
      </w:r>
      <w:r w:rsidR="00837CEC">
        <w:rPr>
          <w:sz w:val="22"/>
          <w:szCs w:val="22"/>
        </w:rPr>
        <w:t xml:space="preserve"> </w:t>
      </w:r>
      <w:r w:rsidRPr="00E0691A">
        <w:rPr>
          <w:sz w:val="22"/>
          <w:szCs w:val="22"/>
        </w:rPr>
        <w:t>It was fully expected that the IMR, whether negative or positive, would be included in asset adequacy testing and addressed by the actuarial opinion.</w:t>
      </w:r>
      <w:r w:rsidR="00837CEC">
        <w:rPr>
          <w:sz w:val="22"/>
          <w:szCs w:val="22"/>
        </w:rPr>
        <w:t xml:space="preserve"> </w:t>
      </w:r>
    </w:p>
    <w:p w14:paraId="37283863" w14:textId="77777777" w:rsidR="00E0691A" w:rsidRPr="00E0691A" w:rsidRDefault="00E0691A" w:rsidP="00E0691A">
      <w:pPr>
        <w:jc w:val="both"/>
        <w:rPr>
          <w:sz w:val="22"/>
          <w:szCs w:val="22"/>
        </w:rPr>
      </w:pPr>
    </w:p>
    <w:p w14:paraId="1D07F0A7" w14:textId="0F4A058E" w:rsidR="00E0691A" w:rsidRPr="00E0691A" w:rsidRDefault="00E0691A" w:rsidP="00E0691A">
      <w:pPr>
        <w:jc w:val="both"/>
        <w:rPr>
          <w:sz w:val="22"/>
          <w:szCs w:val="22"/>
        </w:rPr>
      </w:pPr>
      <w:r w:rsidRPr="00E0691A">
        <w:rPr>
          <w:sz w:val="22"/>
          <w:szCs w:val="22"/>
        </w:rPr>
        <w:t>We are very appreciative that SAPWG and LATF are looking to substantively revisit the negative IMR issue as anticipated during its original development.</w:t>
      </w:r>
      <w:r w:rsidR="00837CEC">
        <w:rPr>
          <w:sz w:val="22"/>
          <w:szCs w:val="22"/>
        </w:rPr>
        <w:t xml:space="preserve"> </w:t>
      </w:r>
      <w:r w:rsidRPr="00E0691A">
        <w:rPr>
          <w:sz w:val="22"/>
          <w:szCs w:val="22"/>
        </w:rPr>
        <w:t>The current interest rate environment has changed circumstances in a meaningful way.</w:t>
      </w:r>
      <w:r w:rsidR="00837CEC">
        <w:rPr>
          <w:sz w:val="22"/>
          <w:szCs w:val="22"/>
        </w:rPr>
        <w:t xml:space="preserve"> </w:t>
      </w:r>
      <w:r w:rsidRPr="00E0691A">
        <w:rPr>
          <w:sz w:val="22"/>
          <w:szCs w:val="22"/>
        </w:rPr>
        <w:t>While rising interest rates from historically low levels are beneficial to insurance companies, the recent rapid rise of interest rates has increased the urgency to address the negative IMR issue to avoid the misrepresentation of capital positions of insurance companies.</w:t>
      </w:r>
      <w:r w:rsidR="00837CEC">
        <w:rPr>
          <w:sz w:val="22"/>
          <w:szCs w:val="22"/>
        </w:rPr>
        <w:t xml:space="preserve"> </w:t>
      </w:r>
    </w:p>
    <w:p w14:paraId="54A80378" w14:textId="77777777" w:rsidR="00E0691A" w:rsidRPr="00E0691A" w:rsidRDefault="00E0691A" w:rsidP="00E0691A">
      <w:pPr>
        <w:jc w:val="both"/>
        <w:rPr>
          <w:sz w:val="22"/>
          <w:szCs w:val="22"/>
        </w:rPr>
      </w:pPr>
    </w:p>
    <w:p w14:paraId="4C99F367" w14:textId="65E8176B" w:rsidR="00E0691A" w:rsidRPr="00E0691A" w:rsidRDefault="00E0691A" w:rsidP="00E0691A">
      <w:pPr>
        <w:jc w:val="both"/>
        <w:rPr>
          <w:sz w:val="22"/>
          <w:szCs w:val="22"/>
        </w:rPr>
      </w:pPr>
      <w:r w:rsidRPr="00E0691A">
        <w:rPr>
          <w:sz w:val="22"/>
          <w:szCs w:val="22"/>
        </w:rPr>
        <w:t>The current interest rate environment or a further rise in interest rates would only exacerbate the urgency as losses from bond sales could result in a significantly inappropriate portrayal of surplus that would be inconsistent with the rationale for which IMR was initially developed.</w:t>
      </w:r>
      <w:r w:rsidR="00837CEC">
        <w:rPr>
          <w:sz w:val="22"/>
          <w:szCs w:val="22"/>
        </w:rPr>
        <w:t xml:space="preserve"> </w:t>
      </w:r>
      <w:r w:rsidRPr="00E0691A">
        <w:rPr>
          <w:sz w:val="22"/>
          <w:szCs w:val="22"/>
        </w:rPr>
        <w:t>In this case, insurers would show a significant illusory lack of surplus because they would be investing in higher yielding bonds.</w:t>
      </w:r>
    </w:p>
    <w:p w14:paraId="491B83F8" w14:textId="77777777" w:rsidR="00E0691A" w:rsidRPr="00E0691A" w:rsidRDefault="00E0691A" w:rsidP="00E0691A">
      <w:pPr>
        <w:jc w:val="both"/>
        <w:rPr>
          <w:sz w:val="22"/>
          <w:szCs w:val="22"/>
        </w:rPr>
      </w:pPr>
    </w:p>
    <w:p w14:paraId="3FA29ADC" w14:textId="474CB3EA" w:rsidR="00E0691A" w:rsidRPr="00E0691A" w:rsidRDefault="00E0691A" w:rsidP="00E0691A">
      <w:pPr>
        <w:jc w:val="both"/>
        <w:rPr>
          <w:sz w:val="22"/>
          <w:szCs w:val="22"/>
        </w:rPr>
      </w:pPr>
      <w:r w:rsidRPr="00E0691A">
        <w:rPr>
          <w:sz w:val="22"/>
          <w:szCs w:val="22"/>
        </w:rPr>
        <w:t>IMR is an important construct that effectively adjusts liabilities so that the balance sheet liabilities net of IMR remain on the same basis as the reported balance sheet assets, limiting artificial volatility within surplus.</w:t>
      </w:r>
      <w:r w:rsidR="00837CEC">
        <w:rPr>
          <w:sz w:val="22"/>
          <w:szCs w:val="22"/>
        </w:rPr>
        <w:t xml:space="preserve"> </w:t>
      </w:r>
      <w:r w:rsidRPr="00E0691A">
        <w:rPr>
          <w:sz w:val="22"/>
          <w:szCs w:val="22"/>
        </w:rPr>
        <w:t>As discussed above, negative IMR, from an asset-liability perspective, represents either high future income from reinvestments or future reserve releases that will be available to pay claims from an asset liability perspective.</w:t>
      </w:r>
    </w:p>
    <w:p w14:paraId="5C1BB4A0" w14:textId="77777777" w:rsidR="00E0691A" w:rsidRPr="00E0691A" w:rsidRDefault="00E0691A" w:rsidP="00E0691A">
      <w:pPr>
        <w:jc w:val="both"/>
        <w:rPr>
          <w:sz w:val="22"/>
          <w:szCs w:val="22"/>
        </w:rPr>
      </w:pPr>
    </w:p>
    <w:p w14:paraId="2DED3BA3" w14:textId="77777777" w:rsidR="00E0691A" w:rsidRPr="00E0691A" w:rsidRDefault="00E0691A" w:rsidP="00E0691A">
      <w:pPr>
        <w:jc w:val="both"/>
        <w:rPr>
          <w:sz w:val="22"/>
          <w:szCs w:val="22"/>
        </w:rPr>
      </w:pPr>
      <w:r w:rsidRPr="00E0691A">
        <w:rPr>
          <w:sz w:val="22"/>
          <w:szCs w:val="22"/>
        </w:rPr>
        <w:t xml:space="preserve">Although the status quo use of permitted practices may grant relief for specific companies, it may lead to an unlevel playing field. Consequently, the ACLI wants to emphasize the importance of developing a uniform national standard for consistently ensuring the appropriate theoretical and practical treatment of IMR (e.g., symmetrical treatment of both gains and losses). </w:t>
      </w:r>
    </w:p>
    <w:p w14:paraId="0115AA12" w14:textId="77777777" w:rsidR="00E0691A" w:rsidRPr="00E0691A" w:rsidRDefault="00E0691A" w:rsidP="00E0691A">
      <w:pPr>
        <w:jc w:val="both"/>
        <w:rPr>
          <w:sz w:val="22"/>
          <w:szCs w:val="22"/>
        </w:rPr>
      </w:pPr>
    </w:p>
    <w:p w14:paraId="372A1D73" w14:textId="3F0A5684" w:rsidR="00E0691A" w:rsidRDefault="00E0691A" w:rsidP="00E0691A">
      <w:pPr>
        <w:jc w:val="both"/>
        <w:rPr>
          <w:sz w:val="22"/>
          <w:szCs w:val="22"/>
        </w:rPr>
      </w:pPr>
      <w:r w:rsidRPr="00E0691A">
        <w:rPr>
          <w:sz w:val="22"/>
          <w:szCs w:val="22"/>
        </w:rPr>
        <w:t>The ACLI would like to work with the NAIC to fulfill the original intent of IMR that ensures surplus and financial strength are properly reflected and do not disincentivize prudent investment and risk management.</w:t>
      </w:r>
      <w:r w:rsidR="00837CEC">
        <w:rPr>
          <w:sz w:val="22"/>
          <w:szCs w:val="22"/>
        </w:rPr>
        <w:t xml:space="preserve"> </w:t>
      </w:r>
      <w:r w:rsidRPr="00E0691A">
        <w:rPr>
          <w:sz w:val="22"/>
          <w:szCs w:val="22"/>
        </w:rPr>
        <w:t xml:space="preserve">At the same time, we want to work with regulators to ensure IMR cannot somehow be circumvented in a rising interest rate environment, whether intentionally or inadvertently, to misrepresent financial strength. </w:t>
      </w:r>
    </w:p>
    <w:p w14:paraId="67573A5F" w14:textId="77777777" w:rsidR="00ED6641" w:rsidRPr="00E0691A" w:rsidRDefault="00ED6641" w:rsidP="00E0691A">
      <w:pPr>
        <w:jc w:val="both"/>
        <w:rPr>
          <w:sz w:val="22"/>
          <w:szCs w:val="22"/>
        </w:rPr>
      </w:pPr>
    </w:p>
    <w:p w14:paraId="77ACA4E4" w14:textId="12FD6220" w:rsidR="00E0691A" w:rsidRPr="00E0691A" w:rsidRDefault="00E0691A" w:rsidP="00E0691A">
      <w:pPr>
        <w:rPr>
          <w:b/>
          <w:bCs/>
          <w:sz w:val="22"/>
          <w:szCs w:val="22"/>
        </w:rPr>
      </w:pPr>
      <w:bookmarkStart w:id="52" w:name="_Hlk125024322"/>
      <w:r w:rsidRPr="00E0691A">
        <w:rPr>
          <w:b/>
          <w:bCs/>
          <w:sz w:val="22"/>
          <w:szCs w:val="22"/>
        </w:rPr>
        <w:t>Common Interest to not Disincentivize Prudent Behavior</w:t>
      </w:r>
    </w:p>
    <w:p w14:paraId="43D74035" w14:textId="77777777" w:rsidR="00E0691A" w:rsidRPr="00E0691A" w:rsidRDefault="00E0691A" w:rsidP="00E0691A">
      <w:pPr>
        <w:jc w:val="both"/>
        <w:rPr>
          <w:sz w:val="22"/>
          <w:szCs w:val="22"/>
        </w:rPr>
      </w:pPr>
      <w:r w:rsidRPr="00E0691A">
        <w:rPr>
          <w:sz w:val="22"/>
          <w:szCs w:val="22"/>
        </w:rPr>
        <w:t xml:space="preserve">We want to reiterate the importance of not disincentivizing prudent portfolio and asset liability management. </w:t>
      </w:r>
    </w:p>
    <w:p w14:paraId="33C705ED" w14:textId="77777777" w:rsidR="00E0691A" w:rsidRPr="00E0691A" w:rsidRDefault="00E0691A" w:rsidP="00E0691A">
      <w:pPr>
        <w:jc w:val="both"/>
        <w:rPr>
          <w:sz w:val="22"/>
          <w:szCs w:val="22"/>
        </w:rPr>
      </w:pPr>
    </w:p>
    <w:p w14:paraId="753B1250" w14:textId="25E2CBA7" w:rsidR="00E0691A" w:rsidRPr="00E0691A" w:rsidRDefault="00E0691A" w:rsidP="00E0691A">
      <w:pPr>
        <w:jc w:val="both"/>
        <w:rPr>
          <w:sz w:val="22"/>
          <w:szCs w:val="22"/>
        </w:rPr>
      </w:pPr>
      <w:r w:rsidRPr="00E0691A">
        <w:rPr>
          <w:sz w:val="22"/>
          <w:szCs w:val="22"/>
        </w:rPr>
        <w:t>In addition to prudent portfolio management and managing credit/investment risk exposure, insurance companies manage duration.</w:t>
      </w:r>
      <w:r w:rsidR="00837CEC">
        <w:rPr>
          <w:sz w:val="22"/>
          <w:szCs w:val="22"/>
        </w:rPr>
        <w:t xml:space="preserve"> </w:t>
      </w:r>
      <w:r w:rsidRPr="00E0691A">
        <w:rPr>
          <w:sz w:val="22"/>
          <w:szCs w:val="22"/>
        </w:rPr>
        <w:t>These prudent risk management processes all require on-going transactions that impact the IMR, such as whether it is sales and reinvestment in fixed income investments, which we discussed in our previous letter dated October 31, 2022, or use of derivatives to achieve the same appropriate end.</w:t>
      </w:r>
      <w:r w:rsidR="00837CEC">
        <w:rPr>
          <w:sz w:val="22"/>
          <w:szCs w:val="22"/>
        </w:rPr>
        <w:t xml:space="preserve"> </w:t>
      </w:r>
      <w:r w:rsidRPr="00E0691A">
        <w:rPr>
          <w:sz w:val="22"/>
          <w:szCs w:val="22"/>
        </w:rPr>
        <w:t xml:space="preserve">We would note that bond sales may trigger derivative terminations that offset in IMR; however, derivatives settlements can impact IMR without an offset impact from a bond sale. </w:t>
      </w:r>
    </w:p>
    <w:p w14:paraId="763A7042" w14:textId="77777777" w:rsidR="00E0691A" w:rsidRPr="00E0691A" w:rsidRDefault="00E0691A" w:rsidP="00E0691A">
      <w:pPr>
        <w:jc w:val="both"/>
        <w:rPr>
          <w:sz w:val="22"/>
          <w:szCs w:val="22"/>
        </w:rPr>
      </w:pPr>
    </w:p>
    <w:p w14:paraId="3AF19514" w14:textId="3B1BAF83" w:rsidR="00E0691A" w:rsidRPr="00E0691A" w:rsidRDefault="00E0691A" w:rsidP="00E0691A">
      <w:pPr>
        <w:jc w:val="both"/>
        <w:rPr>
          <w:sz w:val="22"/>
          <w:szCs w:val="22"/>
        </w:rPr>
      </w:pPr>
      <w:r w:rsidRPr="00E0691A">
        <w:rPr>
          <w:sz w:val="22"/>
          <w:szCs w:val="22"/>
        </w:rPr>
        <w:t>Hedging strategies are used to address product risks like contract guarantees, disintermediation, and reinvestment risks as part of prudent risk management practices utilized by life insurance companies.</w:t>
      </w:r>
      <w:r w:rsidR="00837CEC">
        <w:rPr>
          <w:sz w:val="22"/>
          <w:szCs w:val="22"/>
        </w:rPr>
        <w:t xml:space="preserve"> </w:t>
      </w:r>
      <w:r w:rsidRPr="00E0691A">
        <w:rPr>
          <w:sz w:val="22"/>
          <w:szCs w:val="22"/>
        </w:rPr>
        <w:t>These hedging strategies may involve interest rate swaps, caps, floors, swaptions, interest rate futures, among others, that also may generate IMR gains and losses.</w:t>
      </w:r>
    </w:p>
    <w:p w14:paraId="60F0F8E7" w14:textId="77777777" w:rsidR="00E0691A" w:rsidRPr="00E0691A" w:rsidRDefault="00E0691A" w:rsidP="00E0691A">
      <w:pPr>
        <w:jc w:val="both"/>
        <w:rPr>
          <w:sz w:val="22"/>
          <w:szCs w:val="22"/>
        </w:rPr>
      </w:pPr>
    </w:p>
    <w:p w14:paraId="1789B18D" w14:textId="32F0E114" w:rsidR="00E0691A" w:rsidRPr="00E0691A" w:rsidRDefault="00E0691A" w:rsidP="00E0691A">
      <w:pPr>
        <w:jc w:val="both"/>
        <w:rPr>
          <w:sz w:val="22"/>
          <w:szCs w:val="22"/>
        </w:rPr>
      </w:pPr>
      <w:r w:rsidRPr="00E0691A">
        <w:rPr>
          <w:sz w:val="22"/>
          <w:szCs w:val="22"/>
        </w:rPr>
        <w:t>For example, negative IMR can be generated by hedging strategies utilized for pension risk transfers.</w:t>
      </w:r>
      <w:r w:rsidR="00837CEC">
        <w:rPr>
          <w:sz w:val="22"/>
          <w:szCs w:val="22"/>
        </w:rPr>
        <w:t xml:space="preserve"> </w:t>
      </w:r>
      <w:r w:rsidRPr="00E0691A">
        <w:rPr>
          <w:sz w:val="22"/>
          <w:szCs w:val="22"/>
        </w:rPr>
        <w:t>Once the contract is executed, insurers will enter hedging contracts to ensure interest rate certainty while awaiting cash and assets in-kind and/or the right investment opportunities to meet the long-term goals for the accounts.</w:t>
      </w:r>
      <w:r w:rsidR="00837CEC">
        <w:rPr>
          <w:sz w:val="22"/>
          <w:szCs w:val="22"/>
        </w:rPr>
        <w:t xml:space="preserve"> </w:t>
      </w:r>
      <w:r w:rsidRPr="00E0691A">
        <w:rPr>
          <w:sz w:val="22"/>
          <w:szCs w:val="22"/>
        </w:rPr>
        <w:t xml:space="preserve">As the hedges are unwound to meet pricing and investment targets, immediate losses and negative IMR may be generated as interest rates rise, but the losses are ultimately offset over time with higher fixed instrument yields. </w:t>
      </w:r>
    </w:p>
    <w:p w14:paraId="186D3CD3" w14:textId="77777777" w:rsidR="00E0691A" w:rsidRPr="00E0691A" w:rsidRDefault="00E0691A" w:rsidP="00E0691A">
      <w:pPr>
        <w:jc w:val="both"/>
        <w:rPr>
          <w:sz w:val="22"/>
          <w:szCs w:val="22"/>
        </w:rPr>
      </w:pPr>
    </w:p>
    <w:p w14:paraId="31C332E2" w14:textId="5255B09B" w:rsidR="00E0691A" w:rsidRPr="00E0691A" w:rsidRDefault="00E0691A" w:rsidP="00E0691A">
      <w:pPr>
        <w:jc w:val="both"/>
        <w:rPr>
          <w:sz w:val="22"/>
          <w:szCs w:val="22"/>
        </w:rPr>
      </w:pPr>
      <w:r w:rsidRPr="00E0691A">
        <w:rPr>
          <w:sz w:val="22"/>
          <w:szCs w:val="22"/>
        </w:rPr>
        <w:t xml:space="preserve">Further, many </w:t>
      </w:r>
      <w:proofErr w:type="gramStart"/>
      <w:r w:rsidRPr="00E0691A">
        <w:rPr>
          <w:sz w:val="22"/>
          <w:szCs w:val="22"/>
        </w:rPr>
        <w:t>life</w:t>
      </w:r>
      <w:proofErr w:type="gramEnd"/>
      <w:r w:rsidRPr="00E0691A">
        <w:rPr>
          <w:sz w:val="22"/>
          <w:szCs w:val="22"/>
        </w:rPr>
        <w:t xml:space="preserve"> insurance and annuity products have significant long term reinvestment risk, where premiums are received for many decades before benefit payments may be made.</w:t>
      </w:r>
      <w:r w:rsidR="00837CEC">
        <w:rPr>
          <w:sz w:val="22"/>
          <w:szCs w:val="22"/>
        </w:rPr>
        <w:t xml:space="preserve"> </w:t>
      </w:r>
      <w:r w:rsidRPr="00E0691A">
        <w:rPr>
          <w:sz w:val="22"/>
          <w:szCs w:val="22"/>
        </w:rPr>
        <w:t>Companies may use interest rate futures, swaps, or bond forwards, to reduce reinvestment risk by locking in interest rates at which the future premiums will be invested.</w:t>
      </w:r>
      <w:r w:rsidR="00837CEC">
        <w:rPr>
          <w:sz w:val="22"/>
          <w:szCs w:val="22"/>
        </w:rPr>
        <w:t xml:space="preserve"> </w:t>
      </w:r>
      <w:r w:rsidRPr="00E0691A">
        <w:rPr>
          <w:sz w:val="22"/>
          <w:szCs w:val="22"/>
        </w:rPr>
        <w:t>When interest rates rise, these hedging transactions may settle, roll-over, or be terminated, leading to expected IMR losses but are ultimately offset by future higher reinvestment yields.</w:t>
      </w:r>
      <w:r w:rsidR="00837CEC">
        <w:rPr>
          <w:sz w:val="22"/>
          <w:szCs w:val="22"/>
        </w:rPr>
        <w:t xml:space="preserve"> </w:t>
      </w:r>
      <w:r w:rsidRPr="00E0691A">
        <w:rPr>
          <w:sz w:val="22"/>
          <w:szCs w:val="22"/>
        </w:rPr>
        <w:t>Without these hedging transactions, returns might not be equivalent to policyowner obligations, exposing the company to significant interest rate risk.</w:t>
      </w:r>
      <w:r w:rsidR="00837CEC">
        <w:rPr>
          <w:sz w:val="22"/>
          <w:szCs w:val="22"/>
        </w:rPr>
        <w:t xml:space="preserve"> </w:t>
      </w:r>
    </w:p>
    <w:p w14:paraId="2883E5D7" w14:textId="77777777" w:rsidR="00E0691A" w:rsidRPr="00E0691A" w:rsidRDefault="00E0691A" w:rsidP="00E0691A">
      <w:pPr>
        <w:jc w:val="both"/>
        <w:rPr>
          <w:sz w:val="22"/>
          <w:szCs w:val="22"/>
        </w:rPr>
      </w:pPr>
    </w:p>
    <w:p w14:paraId="6715257F" w14:textId="6F64D74B" w:rsidR="00E0691A" w:rsidRPr="00E0691A" w:rsidRDefault="00E0691A" w:rsidP="00E0691A">
      <w:pPr>
        <w:jc w:val="both"/>
        <w:rPr>
          <w:sz w:val="22"/>
          <w:szCs w:val="22"/>
        </w:rPr>
      </w:pPr>
      <w:r w:rsidRPr="00E0691A">
        <w:rPr>
          <w:sz w:val="22"/>
          <w:szCs w:val="22"/>
        </w:rPr>
        <w:t>Similarly, life insurance companies may utilize stochastic asset liability modeling to establish asset duration targets that may include setting different asset duration targets by product if appropriate, through an asset segmentation plan.</w:t>
      </w:r>
      <w:r w:rsidR="00837CEC">
        <w:rPr>
          <w:sz w:val="22"/>
          <w:szCs w:val="22"/>
        </w:rPr>
        <w:t xml:space="preserve"> </w:t>
      </w:r>
      <w:r w:rsidRPr="00E0691A">
        <w:rPr>
          <w:sz w:val="22"/>
          <w:szCs w:val="22"/>
        </w:rPr>
        <w:t>This considers scenarios where interest rates increase rapidly (where there is potential for disintermediation risk) and very low interest rates (considering product guarantees).</w:t>
      </w:r>
      <w:r w:rsidR="00837CEC">
        <w:rPr>
          <w:sz w:val="22"/>
          <w:szCs w:val="22"/>
        </w:rPr>
        <w:t xml:space="preserve"> </w:t>
      </w:r>
      <w:r w:rsidRPr="00E0691A">
        <w:rPr>
          <w:sz w:val="22"/>
          <w:szCs w:val="22"/>
        </w:rPr>
        <w:t>Such analysis is refreshed on a regular basis to update the duration target based both on the liability in force characteristics and the economic environment.</w:t>
      </w:r>
      <w:r w:rsidR="00837CEC">
        <w:rPr>
          <w:sz w:val="22"/>
          <w:szCs w:val="22"/>
        </w:rPr>
        <w:t xml:space="preserve"> </w:t>
      </w:r>
      <w:r w:rsidRPr="00E0691A">
        <w:rPr>
          <w:sz w:val="22"/>
          <w:szCs w:val="22"/>
        </w:rPr>
        <w:t xml:space="preserve">Portfolio asset duration is managed to the target on an ongoing basis and requires asset sales /purchases or use of derivatives that affect IMR. These are but several distinct examples of the types of prudent risk management practices utilized by life insurance companies. </w:t>
      </w:r>
    </w:p>
    <w:p w14:paraId="314C626A" w14:textId="77777777" w:rsidR="00E0691A" w:rsidRPr="00E0691A" w:rsidRDefault="00E0691A" w:rsidP="00E0691A">
      <w:pPr>
        <w:jc w:val="both"/>
        <w:rPr>
          <w:sz w:val="22"/>
          <w:szCs w:val="22"/>
        </w:rPr>
      </w:pPr>
    </w:p>
    <w:p w14:paraId="5A6837DA" w14:textId="2F0FA0FE" w:rsidR="00E0691A" w:rsidRPr="00E0691A" w:rsidRDefault="00E0691A" w:rsidP="00E0691A">
      <w:pPr>
        <w:jc w:val="both"/>
        <w:rPr>
          <w:sz w:val="22"/>
          <w:szCs w:val="22"/>
        </w:rPr>
      </w:pPr>
      <w:r w:rsidRPr="00E0691A">
        <w:rPr>
          <w:sz w:val="22"/>
          <w:szCs w:val="22"/>
        </w:rPr>
        <w:t>A rising interest rate environment is generally favorable to the financial health of the life insurance industry.</w:t>
      </w:r>
      <w:r w:rsidR="00837CEC">
        <w:rPr>
          <w:sz w:val="22"/>
          <w:szCs w:val="22"/>
        </w:rPr>
        <w:t xml:space="preserve"> </w:t>
      </w:r>
      <w:r w:rsidRPr="00E0691A">
        <w:rPr>
          <w:sz w:val="22"/>
          <w:szCs w:val="22"/>
        </w:rPr>
        <w:t>Without a change to the treatment of negative IMR, a rising interest rate environment will give the inappropriate perception of decreased financial strength through lower surplus and risk-based capital ratios, which is both counterintuitive and not reflective of the economics.</w:t>
      </w:r>
      <w:r w:rsidR="00837CEC">
        <w:rPr>
          <w:sz w:val="22"/>
          <w:szCs w:val="22"/>
        </w:rPr>
        <w:t xml:space="preserve"> </w:t>
      </w:r>
      <w:r w:rsidRPr="00E0691A">
        <w:rPr>
          <w:sz w:val="22"/>
          <w:szCs w:val="22"/>
        </w:rPr>
        <w:t>It may create undesirable incentives for companies to deviate from prudent investment/risk management to avoid creating negative IMR.</w:t>
      </w:r>
    </w:p>
    <w:p w14:paraId="6B337AA3" w14:textId="77777777" w:rsidR="00E0691A" w:rsidRPr="00E0691A" w:rsidRDefault="00E0691A" w:rsidP="00E0691A">
      <w:pPr>
        <w:jc w:val="both"/>
        <w:rPr>
          <w:b/>
          <w:bCs/>
          <w:sz w:val="22"/>
          <w:szCs w:val="22"/>
        </w:rPr>
      </w:pPr>
    </w:p>
    <w:p w14:paraId="30F4B441" w14:textId="6B27B262" w:rsidR="00E0691A" w:rsidRPr="00E0691A" w:rsidRDefault="00E0691A" w:rsidP="00E0691A">
      <w:pPr>
        <w:jc w:val="both"/>
        <w:rPr>
          <w:sz w:val="22"/>
          <w:szCs w:val="22"/>
        </w:rPr>
      </w:pPr>
      <w:r w:rsidRPr="00E0691A">
        <w:rPr>
          <w:sz w:val="22"/>
          <w:szCs w:val="22"/>
        </w:rPr>
        <w:t>It essentially creates two equally objectionable alternatives for insurers and their policyowners.</w:t>
      </w:r>
      <w:r w:rsidR="00CF0477">
        <w:rPr>
          <w:sz w:val="22"/>
          <w:szCs w:val="22"/>
        </w:rPr>
        <w:t xml:space="preserve"> </w:t>
      </w:r>
    </w:p>
    <w:p w14:paraId="36B3F0F7" w14:textId="77777777" w:rsidR="00E0691A" w:rsidRPr="00E0691A" w:rsidRDefault="00E0691A" w:rsidP="00E0691A">
      <w:pPr>
        <w:pStyle w:val="ListParagraph"/>
        <w:spacing w:after="160" w:line="259" w:lineRule="auto"/>
        <w:jc w:val="both"/>
        <w:rPr>
          <w:sz w:val="22"/>
          <w:szCs w:val="22"/>
        </w:rPr>
      </w:pPr>
    </w:p>
    <w:p w14:paraId="302FF4EB" w14:textId="77777777" w:rsidR="00E0691A" w:rsidRPr="00E0691A" w:rsidRDefault="00E0691A" w:rsidP="00565D51">
      <w:pPr>
        <w:pStyle w:val="ListParagraph"/>
        <w:numPr>
          <w:ilvl w:val="0"/>
          <w:numId w:val="31"/>
        </w:numPr>
        <w:spacing w:after="160" w:line="259" w:lineRule="auto"/>
        <w:jc w:val="both"/>
        <w:rPr>
          <w:sz w:val="22"/>
          <w:szCs w:val="22"/>
        </w:rPr>
      </w:pPr>
      <w:r w:rsidRPr="00E0691A">
        <w:rPr>
          <w:sz w:val="22"/>
          <w:szCs w:val="22"/>
        </w:rPr>
        <w:t>Applying the current statutory guidance will improperly reflect financial strength through understating surplus,</w:t>
      </w:r>
    </w:p>
    <w:p w14:paraId="3AD3B642" w14:textId="77777777" w:rsidR="00E0691A" w:rsidRPr="00E0691A" w:rsidRDefault="00E0691A" w:rsidP="00565D51">
      <w:pPr>
        <w:pStyle w:val="ListParagraph"/>
        <w:numPr>
          <w:ilvl w:val="0"/>
          <w:numId w:val="31"/>
        </w:numPr>
        <w:spacing w:after="160" w:line="259" w:lineRule="auto"/>
        <w:jc w:val="both"/>
        <w:rPr>
          <w:sz w:val="22"/>
          <w:szCs w:val="22"/>
        </w:rPr>
      </w:pPr>
      <w:r w:rsidRPr="00E0691A">
        <w:rPr>
          <w:sz w:val="22"/>
          <w:szCs w:val="22"/>
        </w:rPr>
        <w:t xml:space="preserve">Insurers could take steps to manage their current capital position by limiting trading of fixed income investments and/or usage of derivatives, which would diminish significant economic value or worse, create a mismatch between assets and liabilities and prevent the ability to fulfil long-term contract obligations. </w:t>
      </w:r>
      <w:r w:rsidRPr="00E0691A">
        <w:rPr>
          <w:sz w:val="22"/>
          <w:szCs w:val="22"/>
        </w:rPr>
        <w:lastRenderedPageBreak/>
        <w:t>Insurers may avoid hedging or trading to ensure future reinvestment risks are mitigated, by being incentivized to overly focus on managing misrepresented short-term financial position by effectively keeping asset duration shorter than their liabilities and taking on interest rate risk.</w:t>
      </w:r>
    </w:p>
    <w:p w14:paraId="6703E87A" w14:textId="690F9AF5" w:rsidR="00E0691A" w:rsidRPr="00E0691A" w:rsidRDefault="00E0691A" w:rsidP="00E0691A">
      <w:pPr>
        <w:jc w:val="both"/>
        <w:rPr>
          <w:sz w:val="22"/>
          <w:szCs w:val="22"/>
        </w:rPr>
      </w:pPr>
      <w:r w:rsidRPr="00E0691A">
        <w:rPr>
          <w:sz w:val="22"/>
          <w:szCs w:val="22"/>
        </w:rPr>
        <w:t>We do not believe this is in the best interest of insurance companies or their policyowners and believe it is a common interest we share with regulators. Consequently, developing a national standard for allowing negative IMR with appropriate safeguards should be a common goal for all.</w:t>
      </w:r>
      <w:r w:rsidR="00837CEC">
        <w:rPr>
          <w:sz w:val="22"/>
          <w:szCs w:val="22"/>
        </w:rPr>
        <w:t xml:space="preserve"> </w:t>
      </w:r>
    </w:p>
    <w:p w14:paraId="1BFA7CBE" w14:textId="77777777" w:rsidR="00E0691A" w:rsidRPr="00E0691A" w:rsidRDefault="00E0691A" w:rsidP="00E0691A">
      <w:pPr>
        <w:jc w:val="both"/>
        <w:rPr>
          <w:b/>
          <w:bCs/>
          <w:sz w:val="22"/>
          <w:szCs w:val="22"/>
        </w:rPr>
      </w:pPr>
    </w:p>
    <w:p w14:paraId="7390587E" w14:textId="77777777" w:rsidR="00E0691A" w:rsidRPr="00E0691A" w:rsidRDefault="00E0691A" w:rsidP="00E0691A">
      <w:pPr>
        <w:jc w:val="both"/>
        <w:rPr>
          <w:b/>
          <w:bCs/>
          <w:sz w:val="22"/>
          <w:szCs w:val="22"/>
        </w:rPr>
      </w:pPr>
      <w:r w:rsidRPr="00E0691A">
        <w:rPr>
          <w:b/>
          <w:bCs/>
          <w:sz w:val="22"/>
          <w:szCs w:val="22"/>
        </w:rPr>
        <w:t>Existing Safeguards</w:t>
      </w:r>
    </w:p>
    <w:p w14:paraId="22BA08C4" w14:textId="77777777" w:rsidR="00E0691A" w:rsidRPr="00E0691A" w:rsidRDefault="00E0691A" w:rsidP="00E0691A">
      <w:pPr>
        <w:jc w:val="both"/>
        <w:rPr>
          <w:sz w:val="22"/>
          <w:szCs w:val="22"/>
        </w:rPr>
      </w:pPr>
      <w:r w:rsidRPr="00E0691A">
        <w:rPr>
          <w:sz w:val="22"/>
          <w:szCs w:val="22"/>
        </w:rPr>
        <w:t>As noted above, IMR itself is a safeguard for the NAIC’s amortized cost framework that accomplishes two main objectives:</w:t>
      </w:r>
    </w:p>
    <w:p w14:paraId="55EEFC8D" w14:textId="77777777" w:rsidR="00E0691A" w:rsidRPr="00E0691A" w:rsidRDefault="00E0691A" w:rsidP="00E0691A">
      <w:pPr>
        <w:jc w:val="both"/>
        <w:rPr>
          <w:sz w:val="22"/>
          <w:szCs w:val="22"/>
        </w:rPr>
      </w:pPr>
    </w:p>
    <w:p w14:paraId="4C5B93A6" w14:textId="77777777" w:rsidR="00E0691A" w:rsidRPr="00E0691A" w:rsidRDefault="00E0691A" w:rsidP="00565D51">
      <w:pPr>
        <w:pStyle w:val="ListParagraph"/>
        <w:numPr>
          <w:ilvl w:val="0"/>
          <w:numId w:val="29"/>
        </w:numPr>
        <w:spacing w:after="160" w:line="259" w:lineRule="auto"/>
        <w:jc w:val="both"/>
        <w:rPr>
          <w:sz w:val="22"/>
          <w:szCs w:val="22"/>
        </w:rPr>
      </w:pPr>
      <w:r w:rsidRPr="00E0691A">
        <w:rPr>
          <w:sz w:val="22"/>
          <w:szCs w:val="22"/>
        </w:rPr>
        <w:t>Addresses the risk of misrepresentation of surplus, and</w:t>
      </w:r>
    </w:p>
    <w:p w14:paraId="703C2CC1" w14:textId="77777777" w:rsidR="00E0691A" w:rsidRPr="00E0691A" w:rsidRDefault="00E0691A" w:rsidP="00565D51">
      <w:pPr>
        <w:pStyle w:val="ListParagraph"/>
        <w:numPr>
          <w:ilvl w:val="0"/>
          <w:numId w:val="29"/>
        </w:numPr>
        <w:spacing w:after="160" w:line="259" w:lineRule="auto"/>
        <w:jc w:val="both"/>
        <w:rPr>
          <w:sz w:val="22"/>
          <w:szCs w:val="22"/>
        </w:rPr>
      </w:pPr>
      <w:r w:rsidRPr="00E0691A">
        <w:rPr>
          <w:sz w:val="22"/>
          <w:szCs w:val="22"/>
        </w:rPr>
        <w:t>Keeps the relationship of anticipated investment yield consistent with that needed to support the liabilities.</w:t>
      </w:r>
    </w:p>
    <w:p w14:paraId="4F8DE611" w14:textId="77777777" w:rsidR="00E0691A" w:rsidRPr="00E0691A" w:rsidRDefault="00E0691A" w:rsidP="00E0691A">
      <w:pPr>
        <w:jc w:val="both"/>
        <w:rPr>
          <w:sz w:val="22"/>
          <w:szCs w:val="22"/>
          <w:u w:val="single"/>
        </w:rPr>
      </w:pPr>
      <w:r w:rsidRPr="00E0691A">
        <w:rPr>
          <w:sz w:val="22"/>
          <w:szCs w:val="22"/>
          <w:u w:val="single"/>
        </w:rPr>
        <w:t>Excess Withdrawal Safeguard</w:t>
      </w:r>
    </w:p>
    <w:p w14:paraId="11C0010E" w14:textId="77777777" w:rsidR="00E0691A" w:rsidRPr="00E0691A" w:rsidRDefault="00E0691A" w:rsidP="00E0691A">
      <w:pPr>
        <w:jc w:val="both"/>
        <w:rPr>
          <w:sz w:val="22"/>
          <w:szCs w:val="22"/>
        </w:rPr>
      </w:pPr>
    </w:p>
    <w:p w14:paraId="0DF538A0" w14:textId="42044D2C" w:rsidR="00E0691A" w:rsidRPr="00E0691A" w:rsidRDefault="00E0691A" w:rsidP="00E0691A">
      <w:pPr>
        <w:jc w:val="both"/>
        <w:rPr>
          <w:sz w:val="22"/>
          <w:szCs w:val="22"/>
        </w:rPr>
      </w:pPr>
      <w:r w:rsidRPr="00E0691A">
        <w:rPr>
          <w:sz w:val="22"/>
          <w:szCs w:val="22"/>
        </w:rPr>
        <w:t>An Excess Withdrawal safeguard is already embedded in the IMR framework for the situations in which asset sales are “forced”, either due to reputational or disintermediation events, and the liability that the assets supported no longer exists.</w:t>
      </w:r>
      <w:r w:rsidR="00837CEC">
        <w:rPr>
          <w:sz w:val="22"/>
          <w:szCs w:val="22"/>
        </w:rPr>
        <w:t xml:space="preserve"> </w:t>
      </w:r>
      <w:r w:rsidRPr="00E0691A">
        <w:rPr>
          <w:sz w:val="22"/>
          <w:szCs w:val="22"/>
        </w:rPr>
        <w:t>At such a point, deferring gains and losses to IMR ceases.</w:t>
      </w:r>
    </w:p>
    <w:p w14:paraId="138A10FE" w14:textId="77777777" w:rsidR="00E0691A" w:rsidRPr="00E0691A" w:rsidRDefault="00E0691A" w:rsidP="00E0691A">
      <w:pPr>
        <w:jc w:val="both"/>
        <w:rPr>
          <w:sz w:val="22"/>
          <w:szCs w:val="22"/>
        </w:rPr>
      </w:pPr>
    </w:p>
    <w:p w14:paraId="32BAA2F6" w14:textId="48CEB73D" w:rsidR="00E0691A" w:rsidRPr="00E0691A" w:rsidRDefault="00E0691A" w:rsidP="00E0691A">
      <w:pPr>
        <w:jc w:val="both"/>
        <w:rPr>
          <w:sz w:val="22"/>
          <w:szCs w:val="22"/>
        </w:rPr>
      </w:pPr>
      <w:r w:rsidRPr="00E0691A">
        <w:rPr>
          <w:sz w:val="22"/>
          <w:szCs w:val="22"/>
        </w:rPr>
        <w:t>While we believe this safeguard was primarily developed to address troubled companies or potential disintermediation in a rising interest rate environment, we understand regulators may want to re-assess the safeguard’s robustness.</w:t>
      </w:r>
      <w:r w:rsidR="00837CEC">
        <w:rPr>
          <w:sz w:val="22"/>
          <w:szCs w:val="22"/>
        </w:rPr>
        <w:t xml:space="preserve"> </w:t>
      </w:r>
      <w:r w:rsidRPr="00E0691A">
        <w:rPr>
          <w:sz w:val="22"/>
          <w:szCs w:val="22"/>
        </w:rPr>
        <w:t>The ACLI supports such a re-assessment and looks forward to working with the NAIC.</w:t>
      </w:r>
    </w:p>
    <w:p w14:paraId="3D0A842B" w14:textId="77777777" w:rsidR="00E0691A" w:rsidRPr="00E0691A" w:rsidRDefault="00E0691A" w:rsidP="00E0691A">
      <w:pPr>
        <w:jc w:val="both"/>
        <w:rPr>
          <w:sz w:val="22"/>
          <w:szCs w:val="22"/>
        </w:rPr>
      </w:pPr>
    </w:p>
    <w:p w14:paraId="577D466D" w14:textId="77777777" w:rsidR="00E0691A" w:rsidRPr="00E0691A" w:rsidRDefault="00E0691A" w:rsidP="00E0691A">
      <w:pPr>
        <w:jc w:val="both"/>
        <w:rPr>
          <w:sz w:val="22"/>
          <w:szCs w:val="22"/>
          <w:u w:val="single"/>
        </w:rPr>
      </w:pPr>
      <w:r w:rsidRPr="00E0691A">
        <w:rPr>
          <w:sz w:val="22"/>
          <w:szCs w:val="22"/>
          <w:u w:val="single"/>
        </w:rPr>
        <w:t>Asset Adequacy Testing (AAT)</w:t>
      </w:r>
    </w:p>
    <w:p w14:paraId="7C03B782" w14:textId="77777777" w:rsidR="00E0691A" w:rsidRPr="00E0691A" w:rsidRDefault="00E0691A" w:rsidP="00E0691A">
      <w:pPr>
        <w:jc w:val="both"/>
        <w:rPr>
          <w:sz w:val="22"/>
          <w:szCs w:val="22"/>
        </w:rPr>
      </w:pPr>
    </w:p>
    <w:p w14:paraId="35A3F65B" w14:textId="17D7BFC6" w:rsidR="00E0691A" w:rsidRPr="00E0691A" w:rsidRDefault="00E0691A" w:rsidP="00E0691A">
      <w:pPr>
        <w:jc w:val="both"/>
        <w:rPr>
          <w:sz w:val="22"/>
          <w:szCs w:val="22"/>
        </w:rPr>
      </w:pPr>
      <w:r w:rsidRPr="00E0691A">
        <w:rPr>
          <w:sz w:val="22"/>
          <w:szCs w:val="22"/>
        </w:rPr>
        <w:t>AAT is an additional safeguard that helps protect against further unintended consequences when IMR goes negative.</w:t>
      </w:r>
      <w:r w:rsidR="00837CEC">
        <w:rPr>
          <w:sz w:val="22"/>
          <w:szCs w:val="22"/>
        </w:rPr>
        <w:t xml:space="preserve"> </w:t>
      </w:r>
      <w:r w:rsidRPr="00E0691A">
        <w:rPr>
          <w:sz w:val="22"/>
          <w:szCs w:val="22"/>
        </w:rPr>
        <w:t>Reflecting all admitted negative IMR in AAT would replace assets that generate investment income in AAT, where the starting point is statutory assets are equal to statutory liabilities.</w:t>
      </w:r>
      <w:r w:rsidR="00837CEC">
        <w:rPr>
          <w:sz w:val="22"/>
          <w:szCs w:val="22"/>
        </w:rPr>
        <w:t xml:space="preserve"> </w:t>
      </w:r>
      <w:r w:rsidRPr="00E0691A">
        <w:rPr>
          <w:sz w:val="22"/>
          <w:szCs w:val="22"/>
        </w:rPr>
        <w:t>Unless the remaining assets can earn a sufficient yield due to reinvestment, there will be negative impacts to the results, which could lead to additional asset adequacy reserves and hence a reduction in statutory surplus.</w:t>
      </w:r>
      <w:r w:rsidR="00837CEC">
        <w:rPr>
          <w:sz w:val="22"/>
          <w:szCs w:val="22"/>
        </w:rPr>
        <w:t xml:space="preserve"> </w:t>
      </w:r>
      <w:r w:rsidRPr="00E0691A">
        <w:rPr>
          <w:sz w:val="22"/>
          <w:szCs w:val="22"/>
        </w:rPr>
        <w:t>AAT provides a framework to ensure that there are sufficient margins to support claims alongside a negative IMR asset that eventually amortizes to zero, hence ensuring adequate reserves and proper representation of surplus.</w:t>
      </w:r>
      <w:bookmarkEnd w:id="52"/>
      <w:r w:rsidR="00837CEC">
        <w:rPr>
          <w:sz w:val="22"/>
          <w:szCs w:val="22"/>
        </w:rPr>
        <w:t xml:space="preserve"> </w:t>
      </w:r>
      <w:r w:rsidRPr="00E0691A">
        <w:rPr>
          <w:sz w:val="22"/>
          <w:szCs w:val="22"/>
        </w:rPr>
        <w:t>A simplified example of how AAT works with negative IMR in different reinvestment scenarios is included in Appendix I of this letter.</w:t>
      </w:r>
    </w:p>
    <w:p w14:paraId="6E2ECBE9" w14:textId="77777777" w:rsidR="00E0691A" w:rsidRPr="00E0691A" w:rsidRDefault="00E0691A" w:rsidP="00E0691A">
      <w:pPr>
        <w:jc w:val="both"/>
        <w:rPr>
          <w:sz w:val="22"/>
          <w:szCs w:val="22"/>
        </w:rPr>
      </w:pPr>
    </w:p>
    <w:p w14:paraId="14519518" w14:textId="4924B1DC" w:rsidR="00E0691A" w:rsidRPr="00E0691A" w:rsidRDefault="00E0691A" w:rsidP="00E0691A">
      <w:pPr>
        <w:jc w:val="both"/>
        <w:rPr>
          <w:sz w:val="22"/>
          <w:szCs w:val="22"/>
        </w:rPr>
      </w:pPr>
      <w:r w:rsidRPr="00E0691A">
        <w:rPr>
          <w:sz w:val="22"/>
          <w:szCs w:val="22"/>
        </w:rPr>
        <w:t>While we believe that AAT provides a robust safeguard that prevents a misuse of allowable negative IMR, we understand the NAIC wants to contemplate additional safeguards, as AAT may not be applied uniformly across states and practitioners and is only shared with regulators annually.</w:t>
      </w:r>
      <w:r w:rsidR="00837CEC">
        <w:rPr>
          <w:sz w:val="22"/>
          <w:szCs w:val="22"/>
        </w:rPr>
        <w:t xml:space="preserve"> </w:t>
      </w:r>
    </w:p>
    <w:p w14:paraId="18D17F7B" w14:textId="77777777" w:rsidR="00E0691A" w:rsidRPr="00E0691A" w:rsidRDefault="00E0691A" w:rsidP="00E0691A">
      <w:pPr>
        <w:jc w:val="both"/>
        <w:rPr>
          <w:sz w:val="22"/>
          <w:szCs w:val="22"/>
        </w:rPr>
      </w:pPr>
    </w:p>
    <w:p w14:paraId="38144948" w14:textId="77777777" w:rsidR="00E0691A" w:rsidRPr="00E0691A" w:rsidRDefault="00E0691A" w:rsidP="00E0691A">
      <w:pPr>
        <w:jc w:val="both"/>
        <w:rPr>
          <w:b/>
          <w:bCs/>
          <w:sz w:val="22"/>
          <w:szCs w:val="22"/>
        </w:rPr>
      </w:pPr>
      <w:r w:rsidRPr="00E0691A">
        <w:rPr>
          <w:b/>
          <w:bCs/>
          <w:sz w:val="22"/>
          <w:szCs w:val="22"/>
        </w:rPr>
        <w:t>Additional Potential Safeguards</w:t>
      </w:r>
    </w:p>
    <w:p w14:paraId="6C85DF0D" w14:textId="77777777" w:rsidR="00E0691A" w:rsidRPr="00E0691A" w:rsidRDefault="00E0691A" w:rsidP="00E0691A">
      <w:pPr>
        <w:jc w:val="both"/>
        <w:rPr>
          <w:sz w:val="22"/>
          <w:szCs w:val="22"/>
        </w:rPr>
      </w:pPr>
      <w:r w:rsidRPr="00E0691A">
        <w:rPr>
          <w:sz w:val="22"/>
          <w:szCs w:val="22"/>
        </w:rPr>
        <w:t>At the SAPWG fall national meeting the following five potential safeguards were discussed:</w:t>
      </w:r>
    </w:p>
    <w:p w14:paraId="66CAD88D" w14:textId="77777777" w:rsidR="00E0691A" w:rsidRPr="00E0691A" w:rsidRDefault="00E0691A" w:rsidP="00E0691A">
      <w:pPr>
        <w:pStyle w:val="ListParagraph"/>
        <w:jc w:val="both"/>
        <w:rPr>
          <w:sz w:val="22"/>
          <w:szCs w:val="22"/>
        </w:rPr>
      </w:pPr>
    </w:p>
    <w:p w14:paraId="0EE2898B" w14:textId="77777777" w:rsidR="00E0691A" w:rsidRPr="00E0691A" w:rsidRDefault="00E0691A" w:rsidP="00565D51">
      <w:pPr>
        <w:pStyle w:val="ListParagraph"/>
        <w:numPr>
          <w:ilvl w:val="0"/>
          <w:numId w:val="30"/>
        </w:numPr>
        <w:spacing w:line="280" w:lineRule="exact"/>
        <w:jc w:val="both"/>
        <w:rPr>
          <w:sz w:val="22"/>
          <w:szCs w:val="22"/>
        </w:rPr>
      </w:pPr>
      <w:r w:rsidRPr="00E0691A">
        <w:rPr>
          <w:sz w:val="22"/>
          <w:szCs w:val="22"/>
        </w:rPr>
        <w:t>Ensure there is reinvestment in fixed income securities (see below),</w:t>
      </w:r>
    </w:p>
    <w:p w14:paraId="23C357B0" w14:textId="77777777" w:rsidR="00E0691A" w:rsidRPr="00E0691A" w:rsidRDefault="00E0691A" w:rsidP="00565D51">
      <w:pPr>
        <w:pStyle w:val="ListParagraph"/>
        <w:numPr>
          <w:ilvl w:val="0"/>
          <w:numId w:val="30"/>
        </w:numPr>
        <w:spacing w:line="280" w:lineRule="exact"/>
        <w:jc w:val="both"/>
        <w:rPr>
          <w:sz w:val="22"/>
          <w:szCs w:val="22"/>
        </w:rPr>
      </w:pPr>
      <w:r w:rsidRPr="00E0691A">
        <w:rPr>
          <w:sz w:val="22"/>
          <w:szCs w:val="22"/>
        </w:rPr>
        <w:t xml:space="preserve">Enhancement to asset adequacy testing (see below), </w:t>
      </w:r>
    </w:p>
    <w:p w14:paraId="1807CBA3" w14:textId="77777777" w:rsidR="00E0691A" w:rsidRPr="00E0691A" w:rsidRDefault="00E0691A" w:rsidP="00565D51">
      <w:pPr>
        <w:pStyle w:val="ListParagraph"/>
        <w:numPr>
          <w:ilvl w:val="0"/>
          <w:numId w:val="30"/>
        </w:numPr>
        <w:spacing w:line="280" w:lineRule="exact"/>
        <w:jc w:val="both"/>
        <w:rPr>
          <w:sz w:val="22"/>
          <w:szCs w:val="22"/>
        </w:rPr>
      </w:pPr>
      <w:r w:rsidRPr="00E0691A">
        <w:rPr>
          <w:sz w:val="22"/>
          <w:szCs w:val="22"/>
        </w:rPr>
        <w:t xml:space="preserve">Shorten the amortization period for negative IMR (see Appendix II), </w:t>
      </w:r>
    </w:p>
    <w:p w14:paraId="7E1BF7BD" w14:textId="77777777" w:rsidR="00E0691A" w:rsidRPr="00E0691A" w:rsidRDefault="00E0691A" w:rsidP="00565D51">
      <w:pPr>
        <w:pStyle w:val="ListParagraph"/>
        <w:numPr>
          <w:ilvl w:val="0"/>
          <w:numId w:val="30"/>
        </w:numPr>
        <w:spacing w:line="280" w:lineRule="exact"/>
        <w:jc w:val="both"/>
        <w:rPr>
          <w:sz w:val="22"/>
          <w:szCs w:val="22"/>
        </w:rPr>
      </w:pPr>
      <w:r w:rsidRPr="00E0691A">
        <w:rPr>
          <w:sz w:val="22"/>
          <w:szCs w:val="22"/>
        </w:rPr>
        <w:t>Limit negative IMR as a percentage of surplus, assets, etc. (see Appendix II), or</w:t>
      </w:r>
    </w:p>
    <w:p w14:paraId="0E36A2D4" w14:textId="2DED7153" w:rsidR="00E0691A" w:rsidRPr="007A4CDA" w:rsidRDefault="00E0691A" w:rsidP="00E0691A">
      <w:pPr>
        <w:pStyle w:val="ListParagraph"/>
        <w:numPr>
          <w:ilvl w:val="0"/>
          <w:numId w:val="30"/>
        </w:numPr>
        <w:spacing w:line="280" w:lineRule="exact"/>
        <w:jc w:val="both"/>
        <w:rPr>
          <w:sz w:val="22"/>
          <w:szCs w:val="22"/>
        </w:rPr>
      </w:pPr>
      <w:r w:rsidRPr="00E0691A">
        <w:rPr>
          <w:sz w:val="22"/>
          <w:szCs w:val="22"/>
        </w:rPr>
        <w:t>Restrict surplus via the special surplus funds (see Appendix II).</w:t>
      </w:r>
    </w:p>
    <w:p w14:paraId="33EEAB31" w14:textId="77777777" w:rsidR="00A266E8" w:rsidRDefault="00A266E8" w:rsidP="00E0691A">
      <w:pPr>
        <w:jc w:val="both"/>
        <w:rPr>
          <w:sz w:val="22"/>
          <w:szCs w:val="22"/>
        </w:rPr>
      </w:pPr>
    </w:p>
    <w:p w14:paraId="70AA9C8A" w14:textId="1D3C78B0" w:rsidR="00E0691A" w:rsidRPr="00E0691A" w:rsidRDefault="00E0691A" w:rsidP="00E0691A">
      <w:pPr>
        <w:jc w:val="both"/>
        <w:rPr>
          <w:sz w:val="22"/>
          <w:szCs w:val="22"/>
        </w:rPr>
      </w:pPr>
      <w:r w:rsidRPr="00E0691A">
        <w:rPr>
          <w:sz w:val="22"/>
          <w:szCs w:val="22"/>
        </w:rPr>
        <w:t>ACLI proposes two additional possibilities:</w:t>
      </w:r>
    </w:p>
    <w:p w14:paraId="5C443D09" w14:textId="77777777" w:rsidR="00E0691A" w:rsidRPr="00E0691A" w:rsidRDefault="00E0691A" w:rsidP="00E0691A">
      <w:pPr>
        <w:jc w:val="both"/>
        <w:rPr>
          <w:sz w:val="22"/>
          <w:szCs w:val="22"/>
        </w:rPr>
      </w:pPr>
    </w:p>
    <w:p w14:paraId="40E6797B" w14:textId="77777777" w:rsidR="00E0691A" w:rsidRPr="00E0691A" w:rsidRDefault="00E0691A" w:rsidP="00565D51">
      <w:pPr>
        <w:pStyle w:val="ListParagraph"/>
        <w:numPr>
          <w:ilvl w:val="0"/>
          <w:numId w:val="32"/>
        </w:numPr>
        <w:spacing w:line="280" w:lineRule="exact"/>
        <w:jc w:val="both"/>
        <w:rPr>
          <w:sz w:val="22"/>
          <w:szCs w:val="22"/>
        </w:rPr>
      </w:pPr>
      <w:r w:rsidRPr="00E0691A">
        <w:rPr>
          <w:sz w:val="22"/>
          <w:szCs w:val="22"/>
        </w:rPr>
        <w:t>Limit based on the risk-based capital framework (see below), or</w:t>
      </w:r>
    </w:p>
    <w:p w14:paraId="64CF3D25" w14:textId="77777777" w:rsidR="00E0691A" w:rsidRPr="00E0691A" w:rsidRDefault="00E0691A" w:rsidP="00565D51">
      <w:pPr>
        <w:pStyle w:val="ListParagraph"/>
        <w:numPr>
          <w:ilvl w:val="0"/>
          <w:numId w:val="32"/>
        </w:numPr>
        <w:spacing w:line="280" w:lineRule="exact"/>
        <w:jc w:val="both"/>
        <w:rPr>
          <w:sz w:val="22"/>
          <w:szCs w:val="22"/>
        </w:rPr>
      </w:pPr>
      <w:r w:rsidRPr="00E0691A">
        <w:rPr>
          <w:sz w:val="22"/>
          <w:szCs w:val="22"/>
        </w:rPr>
        <w:lastRenderedPageBreak/>
        <w:t>Create an “Opt-in Framework” with structured governance (see below).</w:t>
      </w:r>
    </w:p>
    <w:p w14:paraId="7D69AFFF" w14:textId="77777777" w:rsidR="00E0691A" w:rsidRPr="00E0691A" w:rsidRDefault="00E0691A" w:rsidP="00E0691A">
      <w:pPr>
        <w:jc w:val="both"/>
        <w:rPr>
          <w:sz w:val="22"/>
          <w:szCs w:val="22"/>
        </w:rPr>
      </w:pPr>
    </w:p>
    <w:p w14:paraId="5A91B7A1" w14:textId="5DF1923F" w:rsidR="00E0691A" w:rsidRPr="00E0691A" w:rsidRDefault="00E0691A" w:rsidP="00E0691A">
      <w:pPr>
        <w:jc w:val="both"/>
        <w:rPr>
          <w:sz w:val="22"/>
          <w:szCs w:val="22"/>
        </w:rPr>
      </w:pPr>
      <w:r w:rsidRPr="00E0691A">
        <w:rPr>
          <w:sz w:val="22"/>
          <w:szCs w:val="22"/>
        </w:rPr>
        <w:t xml:space="preserve">The remainder of this letter outlines a broad framework of the </w:t>
      </w:r>
      <w:proofErr w:type="gramStart"/>
      <w:r w:rsidRPr="00E0691A">
        <w:rPr>
          <w:sz w:val="22"/>
          <w:szCs w:val="22"/>
        </w:rPr>
        <w:t>aforementioned additional</w:t>
      </w:r>
      <w:proofErr w:type="gramEnd"/>
      <w:r w:rsidRPr="00E0691A">
        <w:rPr>
          <w:sz w:val="22"/>
          <w:szCs w:val="22"/>
        </w:rPr>
        <w:t xml:space="preserve"> safeguards that we believe are responsive to regulators’ specific concerns.</w:t>
      </w:r>
      <w:r w:rsidR="00837CEC">
        <w:rPr>
          <w:sz w:val="22"/>
          <w:szCs w:val="22"/>
        </w:rPr>
        <w:t xml:space="preserve"> </w:t>
      </w:r>
      <w:r w:rsidRPr="00E0691A">
        <w:rPr>
          <w:sz w:val="22"/>
          <w:szCs w:val="22"/>
        </w:rPr>
        <w:t xml:space="preserve">Redundant or more arbitrary potential safeguards are further discussed in Appendix II attached to this letter. </w:t>
      </w:r>
    </w:p>
    <w:p w14:paraId="233E8E35" w14:textId="77777777" w:rsidR="00E0691A" w:rsidRPr="00E0691A" w:rsidRDefault="00E0691A" w:rsidP="00E0691A">
      <w:pPr>
        <w:jc w:val="both"/>
        <w:rPr>
          <w:sz w:val="22"/>
          <w:szCs w:val="22"/>
        </w:rPr>
      </w:pPr>
    </w:p>
    <w:p w14:paraId="31E23E41" w14:textId="77777777" w:rsidR="00E0691A" w:rsidRPr="00E0691A" w:rsidRDefault="00E0691A" w:rsidP="00E0691A">
      <w:pPr>
        <w:jc w:val="both"/>
        <w:rPr>
          <w:sz w:val="22"/>
          <w:szCs w:val="22"/>
          <w:u w:val="single"/>
        </w:rPr>
      </w:pPr>
      <w:r w:rsidRPr="00E0691A">
        <w:rPr>
          <w:sz w:val="22"/>
          <w:szCs w:val="22"/>
          <w:u w:val="single"/>
        </w:rPr>
        <w:t xml:space="preserve">Ensure there is reinvestment in fixed income </w:t>
      </w:r>
      <w:proofErr w:type="gramStart"/>
      <w:r w:rsidRPr="00E0691A">
        <w:rPr>
          <w:sz w:val="22"/>
          <w:szCs w:val="22"/>
          <w:u w:val="single"/>
        </w:rPr>
        <w:t>securities</w:t>
      </w:r>
      <w:proofErr w:type="gramEnd"/>
      <w:r w:rsidRPr="00E0691A">
        <w:rPr>
          <w:sz w:val="22"/>
          <w:szCs w:val="22"/>
          <w:u w:val="single"/>
        </w:rPr>
        <w:t xml:space="preserve"> </w:t>
      </w:r>
    </w:p>
    <w:p w14:paraId="4F7B0387" w14:textId="77777777" w:rsidR="00E0691A" w:rsidRPr="00E0691A" w:rsidRDefault="00E0691A" w:rsidP="00E0691A">
      <w:pPr>
        <w:jc w:val="both"/>
        <w:rPr>
          <w:sz w:val="22"/>
          <w:szCs w:val="22"/>
        </w:rPr>
      </w:pPr>
    </w:p>
    <w:p w14:paraId="3D43298F" w14:textId="4F987CDB" w:rsidR="00E0691A" w:rsidRPr="00E0691A" w:rsidRDefault="00E0691A" w:rsidP="00E0691A">
      <w:pPr>
        <w:jc w:val="both"/>
        <w:rPr>
          <w:sz w:val="22"/>
          <w:szCs w:val="22"/>
        </w:rPr>
      </w:pPr>
      <w:r w:rsidRPr="00E0691A">
        <w:rPr>
          <w:sz w:val="22"/>
          <w:szCs w:val="22"/>
        </w:rPr>
        <w:t>IMR theory assumes sales of fixed income investments are reinvested in new fixed income investments.</w:t>
      </w:r>
      <w:r w:rsidR="00837CEC">
        <w:rPr>
          <w:sz w:val="22"/>
          <w:szCs w:val="22"/>
        </w:rPr>
        <w:t xml:space="preserve"> </w:t>
      </w:r>
      <w:r w:rsidRPr="00E0691A">
        <w:rPr>
          <w:sz w:val="22"/>
          <w:szCs w:val="22"/>
        </w:rPr>
        <w:t xml:space="preserve">When doing so, the reinvestment is done in the current interest rate environment, and the difference in earnings arising from the reinvestment is roughly equal in magnitude, but opposite in direction, to the gain or loss realized on the old investment. </w:t>
      </w:r>
    </w:p>
    <w:p w14:paraId="549E32C8" w14:textId="77777777" w:rsidR="00E0691A" w:rsidRPr="00E0691A" w:rsidRDefault="00E0691A" w:rsidP="00E0691A">
      <w:pPr>
        <w:jc w:val="both"/>
        <w:rPr>
          <w:sz w:val="22"/>
          <w:szCs w:val="22"/>
        </w:rPr>
      </w:pPr>
    </w:p>
    <w:p w14:paraId="540F08B5" w14:textId="593ACBA3" w:rsidR="00E0691A" w:rsidRPr="00E0691A" w:rsidRDefault="00E0691A" w:rsidP="00E0691A">
      <w:pPr>
        <w:jc w:val="both"/>
        <w:rPr>
          <w:sz w:val="22"/>
          <w:szCs w:val="22"/>
        </w:rPr>
      </w:pPr>
      <w:r w:rsidRPr="00E0691A">
        <w:rPr>
          <w:sz w:val="22"/>
          <w:szCs w:val="22"/>
        </w:rPr>
        <w:t>In a rising interest rate environment, a sale essentially transforms the loss to negative IMR.</w:t>
      </w:r>
      <w:r w:rsidR="00837CEC">
        <w:rPr>
          <w:sz w:val="22"/>
          <w:szCs w:val="22"/>
        </w:rPr>
        <w:t xml:space="preserve"> </w:t>
      </w:r>
      <w:r w:rsidRPr="00E0691A">
        <w:rPr>
          <w:sz w:val="22"/>
          <w:szCs w:val="22"/>
        </w:rPr>
        <w:t xml:space="preserve">There is essentially no difference in balance sheet economics pre- and post-trade, related to liquidity or claims paying ability, </w:t>
      </w:r>
      <w:bookmarkStart w:id="53" w:name="_Hlk127272136"/>
      <w:r w:rsidRPr="00E0691A">
        <w:rPr>
          <w:sz w:val="22"/>
          <w:szCs w:val="22"/>
        </w:rPr>
        <w:t>as the difference between the reported amortized cost value, and fair value, upon sale, is equal to the negative IMR.</w:t>
      </w:r>
      <w:bookmarkEnd w:id="53"/>
    </w:p>
    <w:p w14:paraId="5FCDF0BA" w14:textId="77777777" w:rsidR="00E0691A" w:rsidRPr="00E0691A" w:rsidRDefault="00E0691A" w:rsidP="00E0691A">
      <w:pPr>
        <w:jc w:val="both"/>
        <w:rPr>
          <w:sz w:val="22"/>
          <w:szCs w:val="22"/>
        </w:rPr>
      </w:pPr>
    </w:p>
    <w:p w14:paraId="7A98FBC3" w14:textId="6FACF068" w:rsidR="00E0691A" w:rsidRPr="00E0691A" w:rsidRDefault="00E0691A" w:rsidP="00E0691A">
      <w:pPr>
        <w:jc w:val="both"/>
        <w:rPr>
          <w:sz w:val="22"/>
          <w:szCs w:val="22"/>
        </w:rPr>
      </w:pPr>
      <w:r w:rsidRPr="00E0691A">
        <w:rPr>
          <w:sz w:val="22"/>
          <w:szCs w:val="22"/>
        </w:rPr>
        <w:t>While AAT would arguably address any deficit in reinvestment as illustrated in our example in Appendix I, ACLI is open to supporting additional demonstrations of reinvestment in fixed income investment.</w:t>
      </w:r>
      <w:r w:rsidR="00837CEC">
        <w:rPr>
          <w:sz w:val="22"/>
          <w:szCs w:val="22"/>
        </w:rPr>
        <w:t xml:space="preserve"> </w:t>
      </w:r>
      <w:r w:rsidRPr="00E0691A">
        <w:rPr>
          <w:sz w:val="22"/>
          <w:szCs w:val="22"/>
        </w:rPr>
        <w:t xml:space="preserve">This could be done, for example, by generally requiring the sum of the proceeds from the sale and maturity of bonds (line 12.1) and mortgage loans (line 12.3) are less than the sum of the cost of bonds acquired bonds (line 13.1) and mortgage loans (line 13.3) from the cash flow statement ultimately submitted to regulators in the annual statement. </w:t>
      </w:r>
    </w:p>
    <w:p w14:paraId="59FF7321" w14:textId="77777777" w:rsidR="00E0691A" w:rsidRPr="00E0691A" w:rsidRDefault="00E0691A" w:rsidP="00E0691A">
      <w:pPr>
        <w:jc w:val="both"/>
        <w:rPr>
          <w:sz w:val="22"/>
          <w:szCs w:val="22"/>
        </w:rPr>
      </w:pPr>
    </w:p>
    <w:p w14:paraId="37F0AC9A" w14:textId="77777777" w:rsidR="00E0691A" w:rsidRPr="00E0691A" w:rsidRDefault="00E0691A" w:rsidP="00E0691A">
      <w:pPr>
        <w:jc w:val="both"/>
        <w:rPr>
          <w:sz w:val="22"/>
          <w:szCs w:val="22"/>
        </w:rPr>
      </w:pPr>
      <w:r w:rsidRPr="00E0691A">
        <w:rPr>
          <w:sz w:val="22"/>
          <w:szCs w:val="22"/>
        </w:rPr>
        <w:t>Such a requirement would provide the following benefits:</w:t>
      </w:r>
    </w:p>
    <w:p w14:paraId="271A7434" w14:textId="77777777" w:rsidR="00E0691A" w:rsidRPr="00E0691A" w:rsidRDefault="00E0691A" w:rsidP="00E0691A">
      <w:pPr>
        <w:jc w:val="both"/>
        <w:rPr>
          <w:sz w:val="22"/>
          <w:szCs w:val="22"/>
        </w:rPr>
      </w:pPr>
    </w:p>
    <w:p w14:paraId="3CE8A3B7" w14:textId="77777777" w:rsidR="00E0691A" w:rsidRPr="00E0691A" w:rsidRDefault="00E0691A" w:rsidP="00565D51">
      <w:pPr>
        <w:pStyle w:val="ListParagraph"/>
        <w:numPr>
          <w:ilvl w:val="0"/>
          <w:numId w:val="33"/>
        </w:numPr>
        <w:spacing w:line="280" w:lineRule="exact"/>
        <w:jc w:val="both"/>
        <w:rPr>
          <w:sz w:val="22"/>
          <w:szCs w:val="22"/>
        </w:rPr>
      </w:pPr>
      <w:r w:rsidRPr="00E0691A">
        <w:rPr>
          <w:sz w:val="22"/>
          <w:szCs w:val="22"/>
        </w:rPr>
        <w:t>It is objective, easily verifiable, and ultimately rolls up into the audited financial statements,</w:t>
      </w:r>
    </w:p>
    <w:p w14:paraId="43DD7F7E" w14:textId="77777777" w:rsidR="00E0691A" w:rsidRPr="00E0691A" w:rsidRDefault="00E0691A" w:rsidP="00565D51">
      <w:pPr>
        <w:pStyle w:val="ListParagraph"/>
        <w:numPr>
          <w:ilvl w:val="0"/>
          <w:numId w:val="33"/>
        </w:numPr>
        <w:spacing w:line="280" w:lineRule="exact"/>
        <w:jc w:val="both"/>
        <w:rPr>
          <w:sz w:val="22"/>
          <w:szCs w:val="22"/>
        </w:rPr>
      </w:pPr>
      <w:r w:rsidRPr="00E0691A">
        <w:rPr>
          <w:sz w:val="22"/>
          <w:szCs w:val="22"/>
        </w:rPr>
        <w:t>It eliminates the issue surrounding the “fungibility of cash” – that is “proving” reinvestment of each sale, which would be difficult and potentially inappropriate, if on a macro basis there was a major shift to equities for example, and</w:t>
      </w:r>
    </w:p>
    <w:p w14:paraId="2370E0B6" w14:textId="77777777" w:rsidR="00E0691A" w:rsidRPr="00E0691A" w:rsidRDefault="00E0691A" w:rsidP="00565D51">
      <w:pPr>
        <w:pStyle w:val="ListParagraph"/>
        <w:numPr>
          <w:ilvl w:val="0"/>
          <w:numId w:val="33"/>
        </w:numPr>
        <w:spacing w:line="280" w:lineRule="exact"/>
        <w:jc w:val="both"/>
        <w:rPr>
          <w:sz w:val="22"/>
          <w:szCs w:val="22"/>
        </w:rPr>
      </w:pPr>
      <w:r w:rsidRPr="00E0691A">
        <w:rPr>
          <w:sz w:val="22"/>
          <w:szCs w:val="22"/>
        </w:rPr>
        <w:t>It demonstrates on a macro basis significant reinvestment is occurring.</w:t>
      </w:r>
    </w:p>
    <w:p w14:paraId="3C697B16" w14:textId="77777777" w:rsidR="00E0691A" w:rsidRPr="00E0691A" w:rsidRDefault="00E0691A" w:rsidP="00E0691A">
      <w:pPr>
        <w:jc w:val="both"/>
        <w:rPr>
          <w:sz w:val="22"/>
          <w:szCs w:val="22"/>
        </w:rPr>
      </w:pPr>
    </w:p>
    <w:p w14:paraId="35A3D415" w14:textId="77777777" w:rsidR="00E0691A" w:rsidRPr="00E0691A" w:rsidRDefault="00E0691A" w:rsidP="00E0691A">
      <w:pPr>
        <w:jc w:val="both"/>
        <w:rPr>
          <w:sz w:val="22"/>
          <w:szCs w:val="22"/>
        </w:rPr>
      </w:pPr>
      <w:r w:rsidRPr="00E0691A">
        <w:rPr>
          <w:sz w:val="22"/>
          <w:szCs w:val="22"/>
        </w:rPr>
        <w:t xml:space="preserve">We note that even if there were a significant shift to equities, in theory, this should be captured by AAT with equity investments being appropriately stressed, but it would also significantly reduce risk-based capital ratios which would provide significant dis-incentivization for this to occur. </w:t>
      </w:r>
    </w:p>
    <w:p w14:paraId="690C0258" w14:textId="77777777" w:rsidR="00E0691A" w:rsidRPr="00E0691A" w:rsidRDefault="00E0691A" w:rsidP="00E0691A">
      <w:pPr>
        <w:jc w:val="both"/>
        <w:rPr>
          <w:sz w:val="22"/>
          <w:szCs w:val="22"/>
        </w:rPr>
      </w:pPr>
    </w:p>
    <w:p w14:paraId="0CC2C635" w14:textId="77777777" w:rsidR="00E0691A" w:rsidRPr="00E0691A" w:rsidRDefault="00E0691A" w:rsidP="00E0691A">
      <w:pPr>
        <w:jc w:val="both"/>
        <w:rPr>
          <w:sz w:val="22"/>
          <w:szCs w:val="22"/>
        </w:rPr>
      </w:pPr>
      <w:r w:rsidRPr="00E0691A">
        <w:rPr>
          <w:sz w:val="22"/>
          <w:szCs w:val="22"/>
        </w:rPr>
        <w:t>Lastly, such a metric could be coupled with the “Opt-in Approach” proposed below, that would provide additional structure by requiring documentation and controls on prudent strategies for investment management, asset liability management or hedging deemed appropriate and against which future transactions could subsequently be verified as appropriate by the company’s domiciliary regulator.</w:t>
      </w:r>
    </w:p>
    <w:p w14:paraId="401BCD22" w14:textId="77777777" w:rsidR="00E0691A" w:rsidRPr="00E0691A" w:rsidRDefault="00E0691A" w:rsidP="00E0691A">
      <w:pPr>
        <w:jc w:val="both"/>
        <w:rPr>
          <w:sz w:val="22"/>
          <w:szCs w:val="22"/>
          <w:u w:val="single"/>
        </w:rPr>
      </w:pPr>
    </w:p>
    <w:p w14:paraId="05995F81" w14:textId="77777777" w:rsidR="00E0691A" w:rsidRPr="00E0691A" w:rsidRDefault="00E0691A" w:rsidP="00514A4E">
      <w:pPr>
        <w:keepNext/>
        <w:jc w:val="both"/>
        <w:rPr>
          <w:sz w:val="22"/>
          <w:szCs w:val="22"/>
          <w:u w:val="single"/>
        </w:rPr>
      </w:pPr>
      <w:r w:rsidRPr="00E0691A">
        <w:rPr>
          <w:sz w:val="22"/>
          <w:szCs w:val="22"/>
          <w:u w:val="single"/>
        </w:rPr>
        <w:t>Enhancement to Asset Adequacy Testing</w:t>
      </w:r>
    </w:p>
    <w:p w14:paraId="67F19CA5" w14:textId="77777777" w:rsidR="00E0691A" w:rsidRPr="00E0691A" w:rsidRDefault="00E0691A" w:rsidP="00514A4E">
      <w:pPr>
        <w:keepNext/>
        <w:jc w:val="both"/>
        <w:rPr>
          <w:sz w:val="22"/>
          <w:szCs w:val="22"/>
        </w:rPr>
      </w:pPr>
    </w:p>
    <w:p w14:paraId="3B135C67" w14:textId="27E995EF" w:rsidR="00E0691A" w:rsidRPr="00E0691A" w:rsidRDefault="00E0691A" w:rsidP="00514A4E">
      <w:pPr>
        <w:keepNext/>
        <w:jc w:val="both"/>
        <w:rPr>
          <w:sz w:val="22"/>
          <w:szCs w:val="22"/>
        </w:rPr>
      </w:pPr>
      <w:r w:rsidRPr="00E0691A">
        <w:rPr>
          <w:sz w:val="22"/>
          <w:szCs w:val="22"/>
        </w:rPr>
        <w:t>We propose that negative IMR should only be allowed if it is included in AAT.</w:t>
      </w:r>
      <w:r w:rsidR="00837CEC">
        <w:rPr>
          <w:sz w:val="22"/>
          <w:szCs w:val="22"/>
        </w:rPr>
        <w:t xml:space="preserve"> </w:t>
      </w:r>
      <w:r w:rsidRPr="00E0691A">
        <w:rPr>
          <w:sz w:val="22"/>
          <w:szCs w:val="22"/>
        </w:rPr>
        <w:t>This would replace assets that generate investment income in AAT when starting with statutory assets equal to statutory liabilities.</w:t>
      </w:r>
      <w:r w:rsidR="00837CEC">
        <w:rPr>
          <w:sz w:val="22"/>
          <w:szCs w:val="22"/>
        </w:rPr>
        <w:t xml:space="preserve"> </w:t>
      </w:r>
      <w:r w:rsidRPr="00E0691A">
        <w:rPr>
          <w:sz w:val="22"/>
          <w:szCs w:val="22"/>
        </w:rPr>
        <w:t>Unless the remaining assets can earn a higher yield through reinvestment at higher rates, there will be negative impacts to the results, which could lead to additional asset adequacy reserves and a reduction in statutory surplus.</w:t>
      </w:r>
      <w:r w:rsidR="00837CEC">
        <w:rPr>
          <w:sz w:val="22"/>
          <w:szCs w:val="22"/>
        </w:rPr>
        <w:t xml:space="preserve"> </w:t>
      </w:r>
    </w:p>
    <w:p w14:paraId="70CCBBEC" w14:textId="77777777" w:rsidR="00E0691A" w:rsidRPr="00E0691A" w:rsidRDefault="00E0691A" w:rsidP="00E0691A">
      <w:pPr>
        <w:jc w:val="both"/>
        <w:rPr>
          <w:sz w:val="22"/>
          <w:szCs w:val="22"/>
        </w:rPr>
      </w:pPr>
    </w:p>
    <w:p w14:paraId="79524B23" w14:textId="77777777" w:rsidR="00E0691A" w:rsidRPr="00E0691A" w:rsidRDefault="00E0691A" w:rsidP="00E0691A">
      <w:pPr>
        <w:jc w:val="both"/>
        <w:rPr>
          <w:sz w:val="22"/>
          <w:szCs w:val="22"/>
        </w:rPr>
      </w:pPr>
      <w:r w:rsidRPr="00E0691A">
        <w:rPr>
          <w:sz w:val="22"/>
          <w:szCs w:val="22"/>
        </w:rPr>
        <w:t xml:space="preserve">Fixed income investments that sit in surplus or non-product portfolios could be sold generating IMR. Therefore, we recommend the allowance of negative IMR only if it is included in AAT. This would further prevent any potential balance sheet manipulation, whether intentional or unintentional, through shifting assets with losses to non-insurance portfolios and admitting losses on assets that are not offset by matched liabilities. </w:t>
      </w:r>
    </w:p>
    <w:p w14:paraId="1AB917E2" w14:textId="77777777" w:rsidR="00E0691A" w:rsidRPr="00E0691A" w:rsidRDefault="00E0691A" w:rsidP="00E0691A">
      <w:pPr>
        <w:jc w:val="both"/>
        <w:rPr>
          <w:sz w:val="22"/>
          <w:szCs w:val="22"/>
        </w:rPr>
      </w:pPr>
      <w:r w:rsidRPr="00E0691A">
        <w:rPr>
          <w:sz w:val="22"/>
          <w:szCs w:val="22"/>
        </w:rPr>
        <w:t>This concept could also be coupled with the “Opt-in Approach” proposed below.</w:t>
      </w:r>
    </w:p>
    <w:p w14:paraId="49D6012F" w14:textId="77777777" w:rsidR="00E0691A" w:rsidRPr="00E0691A" w:rsidRDefault="00E0691A" w:rsidP="00E0691A">
      <w:pPr>
        <w:jc w:val="both"/>
        <w:rPr>
          <w:sz w:val="22"/>
          <w:szCs w:val="22"/>
        </w:rPr>
      </w:pPr>
    </w:p>
    <w:p w14:paraId="31F837E0" w14:textId="77777777" w:rsidR="00E0691A" w:rsidRPr="00E0691A" w:rsidRDefault="00E0691A" w:rsidP="00E0691A">
      <w:pPr>
        <w:jc w:val="both"/>
        <w:rPr>
          <w:sz w:val="22"/>
          <w:szCs w:val="22"/>
          <w:u w:val="single"/>
        </w:rPr>
      </w:pPr>
      <w:r w:rsidRPr="00E0691A">
        <w:rPr>
          <w:sz w:val="22"/>
          <w:szCs w:val="22"/>
          <w:u w:val="single"/>
        </w:rPr>
        <w:t xml:space="preserve">Limit based on the risk-based capital </w:t>
      </w:r>
      <w:proofErr w:type="gramStart"/>
      <w:r w:rsidRPr="00E0691A">
        <w:rPr>
          <w:sz w:val="22"/>
          <w:szCs w:val="22"/>
          <w:u w:val="single"/>
        </w:rPr>
        <w:t>framework</w:t>
      </w:r>
      <w:proofErr w:type="gramEnd"/>
    </w:p>
    <w:p w14:paraId="6124A240" w14:textId="26608DFF" w:rsidR="00E0691A" w:rsidRPr="00E0691A" w:rsidRDefault="00E0691A" w:rsidP="00E0691A">
      <w:pPr>
        <w:jc w:val="both"/>
        <w:rPr>
          <w:sz w:val="22"/>
          <w:szCs w:val="22"/>
        </w:rPr>
      </w:pPr>
      <w:r w:rsidRPr="00E0691A">
        <w:rPr>
          <w:sz w:val="22"/>
          <w:szCs w:val="22"/>
        </w:rPr>
        <w:t>One potential safeguard that was not mentioned by SAPWG at the fall national meeting is to allow negative IMR only if a company’s risk-based capital threshold showed that they were financially strong.</w:t>
      </w:r>
      <w:r w:rsidR="00837CEC">
        <w:rPr>
          <w:sz w:val="22"/>
          <w:szCs w:val="22"/>
        </w:rPr>
        <w:t xml:space="preserve"> </w:t>
      </w:r>
      <w:r w:rsidRPr="00E0691A">
        <w:rPr>
          <w:sz w:val="22"/>
          <w:szCs w:val="22"/>
        </w:rPr>
        <w:t>This would have the following benefits:</w:t>
      </w:r>
    </w:p>
    <w:p w14:paraId="55715A00" w14:textId="77777777" w:rsidR="00E0691A" w:rsidRPr="00E0691A" w:rsidRDefault="00E0691A" w:rsidP="00E0691A">
      <w:pPr>
        <w:jc w:val="both"/>
        <w:rPr>
          <w:sz w:val="22"/>
          <w:szCs w:val="22"/>
        </w:rPr>
      </w:pPr>
    </w:p>
    <w:p w14:paraId="7896894A" w14:textId="77777777" w:rsidR="00E0691A" w:rsidRPr="00E0691A" w:rsidRDefault="00E0691A" w:rsidP="00565D51">
      <w:pPr>
        <w:pStyle w:val="ListParagraph"/>
        <w:numPr>
          <w:ilvl w:val="0"/>
          <w:numId w:val="34"/>
        </w:numPr>
        <w:spacing w:line="280" w:lineRule="exact"/>
        <w:jc w:val="both"/>
        <w:rPr>
          <w:sz w:val="22"/>
          <w:szCs w:val="22"/>
        </w:rPr>
      </w:pPr>
      <w:r w:rsidRPr="00E0691A">
        <w:rPr>
          <w:sz w:val="22"/>
          <w:szCs w:val="22"/>
        </w:rPr>
        <w:t>Address regulator concerns on allowing negative IMR if a company was or was nearing being financially troubled,</w:t>
      </w:r>
    </w:p>
    <w:p w14:paraId="421DCD2D" w14:textId="77777777" w:rsidR="00E0691A" w:rsidRPr="00E0691A" w:rsidRDefault="00E0691A" w:rsidP="00565D51">
      <w:pPr>
        <w:pStyle w:val="ListParagraph"/>
        <w:numPr>
          <w:ilvl w:val="0"/>
          <w:numId w:val="34"/>
        </w:numPr>
        <w:spacing w:line="280" w:lineRule="exact"/>
        <w:jc w:val="both"/>
        <w:rPr>
          <w:sz w:val="22"/>
          <w:szCs w:val="22"/>
        </w:rPr>
      </w:pPr>
      <w:r w:rsidRPr="00E0691A">
        <w:rPr>
          <w:sz w:val="22"/>
          <w:szCs w:val="22"/>
        </w:rPr>
        <w:t>Would not be arbitrary and would be based on an objective and verifiable threshold that would be available to regulators, potentially quarterly, and provide early warning to any concerns they may have in this regard, and</w:t>
      </w:r>
    </w:p>
    <w:p w14:paraId="0C550367" w14:textId="77777777" w:rsidR="00E0691A" w:rsidRPr="00E0691A" w:rsidRDefault="00E0691A" w:rsidP="00565D51">
      <w:pPr>
        <w:pStyle w:val="ListParagraph"/>
        <w:numPr>
          <w:ilvl w:val="0"/>
          <w:numId w:val="34"/>
        </w:numPr>
        <w:spacing w:line="280" w:lineRule="exact"/>
        <w:jc w:val="both"/>
        <w:rPr>
          <w:sz w:val="22"/>
          <w:szCs w:val="22"/>
        </w:rPr>
      </w:pPr>
      <w:r w:rsidRPr="00E0691A">
        <w:rPr>
          <w:sz w:val="22"/>
          <w:szCs w:val="22"/>
        </w:rPr>
        <w:t>Would essentially achieve the same ends as shortening the amortization period, restricting capital, or creating an arbitrary limit.</w:t>
      </w:r>
    </w:p>
    <w:p w14:paraId="347047E8" w14:textId="77777777" w:rsidR="00E0691A" w:rsidRPr="00E0691A" w:rsidRDefault="00E0691A" w:rsidP="00E0691A">
      <w:pPr>
        <w:jc w:val="both"/>
        <w:rPr>
          <w:sz w:val="22"/>
          <w:szCs w:val="22"/>
        </w:rPr>
      </w:pPr>
    </w:p>
    <w:p w14:paraId="52835FAE" w14:textId="77777777" w:rsidR="00E0691A" w:rsidRPr="00E0691A" w:rsidRDefault="00E0691A" w:rsidP="00E0691A">
      <w:pPr>
        <w:jc w:val="both"/>
        <w:rPr>
          <w:sz w:val="22"/>
          <w:szCs w:val="22"/>
        </w:rPr>
      </w:pPr>
      <w:r w:rsidRPr="00E0691A">
        <w:rPr>
          <w:sz w:val="22"/>
          <w:szCs w:val="22"/>
        </w:rPr>
        <w:t>We are willing to work with the NAIC to think through an appropriate threshold as well as what would occur if that threshold was subsequently crossed so there would not be inappropriate cliff effects.</w:t>
      </w:r>
    </w:p>
    <w:p w14:paraId="14FA6C3B" w14:textId="77777777" w:rsidR="00E0691A" w:rsidRPr="00E0691A" w:rsidRDefault="00E0691A" w:rsidP="00E0691A">
      <w:pPr>
        <w:jc w:val="both"/>
        <w:rPr>
          <w:sz w:val="22"/>
          <w:szCs w:val="22"/>
          <w:u w:val="single"/>
        </w:rPr>
      </w:pPr>
    </w:p>
    <w:p w14:paraId="6616DAFD" w14:textId="77777777" w:rsidR="00E0691A" w:rsidRPr="00E0691A" w:rsidRDefault="00E0691A" w:rsidP="00E0691A">
      <w:pPr>
        <w:jc w:val="both"/>
        <w:rPr>
          <w:sz w:val="22"/>
          <w:szCs w:val="22"/>
        </w:rPr>
      </w:pPr>
      <w:r w:rsidRPr="00E0691A">
        <w:rPr>
          <w:sz w:val="22"/>
          <w:szCs w:val="22"/>
        </w:rPr>
        <w:t>This concept could also be coupled with the “Opt-in Approach” proposed below.</w:t>
      </w:r>
    </w:p>
    <w:p w14:paraId="15DC07A9" w14:textId="77777777" w:rsidR="00E0691A" w:rsidRPr="00E0691A" w:rsidRDefault="00E0691A" w:rsidP="00E0691A">
      <w:pPr>
        <w:jc w:val="both"/>
        <w:rPr>
          <w:sz w:val="22"/>
          <w:szCs w:val="22"/>
          <w:u w:val="single"/>
        </w:rPr>
      </w:pPr>
    </w:p>
    <w:p w14:paraId="351E9984" w14:textId="77777777" w:rsidR="00E0691A" w:rsidRPr="00E0691A" w:rsidRDefault="00E0691A" w:rsidP="00E0691A">
      <w:pPr>
        <w:jc w:val="both"/>
        <w:rPr>
          <w:sz w:val="22"/>
          <w:szCs w:val="22"/>
          <w:u w:val="single"/>
        </w:rPr>
      </w:pPr>
      <w:r w:rsidRPr="00E0691A">
        <w:rPr>
          <w:sz w:val="22"/>
          <w:szCs w:val="22"/>
          <w:u w:val="single"/>
        </w:rPr>
        <w:t>Create an “Opt-in Framework” with Structured Governance</w:t>
      </w:r>
    </w:p>
    <w:p w14:paraId="71F41C7D" w14:textId="77777777" w:rsidR="00E0691A" w:rsidRPr="00E0691A" w:rsidRDefault="00E0691A" w:rsidP="00E0691A">
      <w:pPr>
        <w:rPr>
          <w:b/>
          <w:bCs/>
          <w:sz w:val="22"/>
          <w:szCs w:val="22"/>
        </w:rPr>
      </w:pPr>
    </w:p>
    <w:p w14:paraId="3CF5E8D0" w14:textId="0C670BDD" w:rsidR="00E0691A" w:rsidRPr="00E0691A" w:rsidRDefault="00E0691A" w:rsidP="00E0691A">
      <w:pPr>
        <w:jc w:val="both"/>
        <w:rPr>
          <w:sz w:val="22"/>
          <w:szCs w:val="22"/>
        </w:rPr>
      </w:pPr>
      <w:r w:rsidRPr="00E0691A">
        <w:rPr>
          <w:sz w:val="22"/>
          <w:szCs w:val="22"/>
        </w:rPr>
        <w:t>An “Opt-in Framework</w:t>
      </w:r>
      <w:r w:rsidR="005E3056" w:rsidRPr="00E0691A">
        <w:rPr>
          <w:sz w:val="22"/>
          <w:szCs w:val="22"/>
        </w:rPr>
        <w:t>,”</w:t>
      </w:r>
      <w:r w:rsidRPr="00E0691A">
        <w:rPr>
          <w:sz w:val="22"/>
          <w:szCs w:val="22"/>
        </w:rPr>
        <w:t xml:space="preserve"> </w:t>
      </w:r>
      <w:proofErr w:type="gramStart"/>
      <w:r w:rsidRPr="00E0691A">
        <w:rPr>
          <w:sz w:val="22"/>
          <w:szCs w:val="22"/>
        </w:rPr>
        <w:t>similar to</w:t>
      </w:r>
      <w:proofErr w:type="gramEnd"/>
      <w:r w:rsidRPr="00E0691A">
        <w:rPr>
          <w:sz w:val="22"/>
          <w:szCs w:val="22"/>
        </w:rPr>
        <w:t xml:space="preserve"> the framework included within SSAP No. 108 – Derivative Hedging Variable Annuity Guarantees (SSAP No. 108), could be developed.</w:t>
      </w:r>
    </w:p>
    <w:p w14:paraId="40F141B7" w14:textId="77777777" w:rsidR="00E0691A" w:rsidRPr="00E0691A" w:rsidRDefault="00E0691A" w:rsidP="00E0691A">
      <w:pPr>
        <w:jc w:val="both"/>
        <w:rPr>
          <w:sz w:val="22"/>
          <w:szCs w:val="22"/>
        </w:rPr>
      </w:pPr>
    </w:p>
    <w:p w14:paraId="0272CE45" w14:textId="2B3EDE29" w:rsidR="00E0691A" w:rsidRPr="00E0691A" w:rsidRDefault="00E0691A" w:rsidP="00E0691A">
      <w:pPr>
        <w:jc w:val="both"/>
        <w:rPr>
          <w:sz w:val="22"/>
          <w:szCs w:val="22"/>
        </w:rPr>
      </w:pPr>
      <w:r w:rsidRPr="00E0691A">
        <w:rPr>
          <w:sz w:val="22"/>
          <w:szCs w:val="22"/>
        </w:rPr>
        <w:t>SSAP No. 108 recognizes the prudency of hedging guarantees embedded within variable annuity contracts while also recognizing the non-economic volatility created (and therefore inappropriate under/overstatement of surplus).</w:t>
      </w:r>
      <w:r w:rsidR="00837CEC">
        <w:rPr>
          <w:sz w:val="22"/>
          <w:szCs w:val="22"/>
        </w:rPr>
        <w:t xml:space="preserve"> </w:t>
      </w:r>
      <w:r w:rsidRPr="00E0691A">
        <w:rPr>
          <w:sz w:val="22"/>
          <w:szCs w:val="22"/>
        </w:rPr>
        <w:t>It also recognized that this volatility was created because derivatives used in a dynamic hedging approach were required to be reported at fair market value, as they would not meet the strict hedge accounting requirements, while the liabilities did not require marking to market of the hedged guarantees.</w:t>
      </w:r>
    </w:p>
    <w:p w14:paraId="095FD6CE" w14:textId="77777777" w:rsidR="00E0691A" w:rsidRPr="00E0691A" w:rsidRDefault="00E0691A" w:rsidP="00E0691A">
      <w:pPr>
        <w:jc w:val="both"/>
        <w:rPr>
          <w:sz w:val="22"/>
          <w:szCs w:val="22"/>
        </w:rPr>
      </w:pPr>
    </w:p>
    <w:p w14:paraId="3CC056FC" w14:textId="42507A1E" w:rsidR="00E0691A" w:rsidRPr="00E0691A" w:rsidRDefault="00E0691A" w:rsidP="00E0691A">
      <w:pPr>
        <w:jc w:val="both"/>
        <w:rPr>
          <w:sz w:val="22"/>
          <w:szCs w:val="22"/>
        </w:rPr>
      </w:pPr>
      <w:r w:rsidRPr="00E0691A">
        <w:rPr>
          <w:sz w:val="22"/>
          <w:szCs w:val="22"/>
        </w:rPr>
        <w:t>To not disincentivize this prudent dynamic hedging, SSAP No. 108 requires additional structure and governance to avoid misrepresentation.</w:t>
      </w:r>
      <w:r w:rsidR="00837CEC">
        <w:rPr>
          <w:sz w:val="22"/>
          <w:szCs w:val="22"/>
        </w:rPr>
        <w:t xml:space="preserve"> </w:t>
      </w:r>
      <w:r w:rsidRPr="00E0691A">
        <w:rPr>
          <w:sz w:val="22"/>
          <w:szCs w:val="22"/>
        </w:rPr>
        <w:t>The allowance of negative IMR has similar parallels.</w:t>
      </w:r>
    </w:p>
    <w:p w14:paraId="39D5CA38" w14:textId="77777777" w:rsidR="00E0691A" w:rsidRPr="00E0691A" w:rsidRDefault="00E0691A" w:rsidP="00E0691A">
      <w:pPr>
        <w:jc w:val="both"/>
        <w:rPr>
          <w:sz w:val="22"/>
          <w:szCs w:val="22"/>
        </w:rPr>
      </w:pPr>
    </w:p>
    <w:p w14:paraId="59BB983D" w14:textId="77777777" w:rsidR="00E0691A" w:rsidRPr="00E0691A" w:rsidRDefault="00E0691A" w:rsidP="00E0691A">
      <w:pPr>
        <w:jc w:val="both"/>
        <w:rPr>
          <w:sz w:val="22"/>
          <w:szCs w:val="22"/>
        </w:rPr>
      </w:pPr>
      <w:r w:rsidRPr="00E0691A">
        <w:rPr>
          <w:sz w:val="22"/>
          <w:szCs w:val="22"/>
        </w:rPr>
        <w:t>Key provisions of SSAP No. 108 that could be considered for a framework for negative IMR allowability include:</w:t>
      </w:r>
    </w:p>
    <w:p w14:paraId="0CCC4A75" w14:textId="77777777" w:rsidR="00E0691A" w:rsidRPr="00E0691A" w:rsidRDefault="00E0691A" w:rsidP="00E0691A">
      <w:pPr>
        <w:jc w:val="both"/>
        <w:rPr>
          <w:sz w:val="22"/>
          <w:szCs w:val="22"/>
        </w:rPr>
      </w:pPr>
    </w:p>
    <w:p w14:paraId="14512C5E" w14:textId="77777777" w:rsidR="00E0691A" w:rsidRPr="00E0691A" w:rsidRDefault="00E0691A" w:rsidP="00565D51">
      <w:pPr>
        <w:pStyle w:val="ListParagraph"/>
        <w:numPr>
          <w:ilvl w:val="0"/>
          <w:numId w:val="35"/>
        </w:numPr>
        <w:spacing w:line="280" w:lineRule="exact"/>
        <w:jc w:val="both"/>
        <w:rPr>
          <w:sz w:val="22"/>
          <w:szCs w:val="22"/>
        </w:rPr>
      </w:pPr>
      <w:r w:rsidRPr="00E0691A">
        <w:rPr>
          <w:sz w:val="22"/>
          <w:szCs w:val="22"/>
        </w:rPr>
        <w:t xml:space="preserve">Explicit approval of a company’s domiciliary regulator prior to implementation, </w:t>
      </w:r>
    </w:p>
    <w:p w14:paraId="091FDF07" w14:textId="77777777" w:rsidR="00E0691A" w:rsidRPr="00E0691A" w:rsidRDefault="00E0691A" w:rsidP="00565D51">
      <w:pPr>
        <w:pStyle w:val="ListParagraph"/>
        <w:numPr>
          <w:ilvl w:val="0"/>
          <w:numId w:val="35"/>
        </w:numPr>
        <w:spacing w:line="280" w:lineRule="exact"/>
        <w:jc w:val="both"/>
        <w:rPr>
          <w:sz w:val="22"/>
          <w:szCs w:val="22"/>
        </w:rPr>
      </w:pPr>
      <w:r w:rsidRPr="00E0691A">
        <w:rPr>
          <w:sz w:val="22"/>
          <w:szCs w:val="22"/>
        </w:rPr>
        <w:t>A clearly defined portfolio and asset liability management strategy (with documentation; analogous to SSAP No. 108 but tailored more appropriately for portfolio and asset liability management strategies),</w:t>
      </w:r>
    </w:p>
    <w:p w14:paraId="26BBD0F5" w14:textId="77777777" w:rsidR="00E0691A" w:rsidRPr="00E0691A" w:rsidRDefault="00E0691A" w:rsidP="00565D51">
      <w:pPr>
        <w:pStyle w:val="ListParagraph"/>
        <w:numPr>
          <w:ilvl w:val="0"/>
          <w:numId w:val="35"/>
        </w:numPr>
        <w:spacing w:line="280" w:lineRule="exact"/>
        <w:jc w:val="both"/>
        <w:rPr>
          <w:sz w:val="22"/>
          <w:szCs w:val="22"/>
        </w:rPr>
      </w:pPr>
      <w:r w:rsidRPr="00E0691A">
        <w:rPr>
          <w:sz w:val="22"/>
          <w:szCs w:val="22"/>
        </w:rPr>
        <w:t>Actuarial certification of the asset liability management strategy, and</w:t>
      </w:r>
    </w:p>
    <w:p w14:paraId="0E4C1070" w14:textId="77777777" w:rsidR="00E0691A" w:rsidRPr="00E0691A" w:rsidRDefault="00E0691A" w:rsidP="00565D51">
      <w:pPr>
        <w:pStyle w:val="ListParagraph"/>
        <w:numPr>
          <w:ilvl w:val="0"/>
          <w:numId w:val="35"/>
        </w:numPr>
        <w:spacing w:line="280" w:lineRule="exact"/>
        <w:jc w:val="both"/>
        <w:rPr>
          <w:sz w:val="22"/>
          <w:szCs w:val="22"/>
        </w:rPr>
      </w:pPr>
      <w:r w:rsidRPr="00E0691A">
        <w:rPr>
          <w:sz w:val="22"/>
          <w:szCs w:val="22"/>
        </w:rPr>
        <w:t>Certification by a financial officer of the company (CFO, treasurer, CIO, or designated person with authority over the actual portfolio and asset liability management strategies).</w:t>
      </w:r>
    </w:p>
    <w:p w14:paraId="171F4C77" w14:textId="77777777" w:rsidR="00E0691A" w:rsidRPr="00E0691A" w:rsidRDefault="00E0691A" w:rsidP="00E0691A">
      <w:pPr>
        <w:jc w:val="both"/>
        <w:rPr>
          <w:sz w:val="22"/>
          <w:szCs w:val="22"/>
        </w:rPr>
      </w:pPr>
    </w:p>
    <w:p w14:paraId="26C5386A" w14:textId="77777777" w:rsidR="00E0691A" w:rsidRPr="00E0691A" w:rsidRDefault="00E0691A" w:rsidP="00E0691A">
      <w:pPr>
        <w:jc w:val="both"/>
        <w:rPr>
          <w:sz w:val="22"/>
          <w:szCs w:val="22"/>
        </w:rPr>
      </w:pPr>
      <w:r w:rsidRPr="00E0691A">
        <w:rPr>
          <w:sz w:val="22"/>
          <w:szCs w:val="22"/>
        </w:rPr>
        <w:t>This framework provides sufficient tools that allow for timely and appropriate regulatory review; additional tools could be specifically tailored for IMR.</w:t>
      </w:r>
    </w:p>
    <w:p w14:paraId="77120369" w14:textId="77777777" w:rsidR="00E0691A" w:rsidRPr="00E0691A" w:rsidRDefault="00E0691A" w:rsidP="00E0691A">
      <w:pPr>
        <w:jc w:val="both"/>
        <w:rPr>
          <w:sz w:val="22"/>
          <w:szCs w:val="22"/>
        </w:rPr>
      </w:pPr>
    </w:p>
    <w:p w14:paraId="0919C93C" w14:textId="77777777" w:rsidR="00E0691A" w:rsidRPr="00E0691A" w:rsidRDefault="00E0691A" w:rsidP="00E0691A">
      <w:pPr>
        <w:jc w:val="both"/>
        <w:rPr>
          <w:sz w:val="22"/>
          <w:szCs w:val="22"/>
        </w:rPr>
      </w:pPr>
      <w:r w:rsidRPr="00E0691A">
        <w:rPr>
          <w:sz w:val="22"/>
          <w:szCs w:val="22"/>
        </w:rPr>
        <w:t>In the context of a negative IMR, the approach could be tailored to incorporate documentation and controls of prudent strategies for investment management, asset liability management, and hedging strategies deemed appropriate and against which future transactions could subsequently be verified as necessary by the company’s domiciliary regulator.</w:t>
      </w:r>
    </w:p>
    <w:p w14:paraId="3D49C077" w14:textId="77777777" w:rsidR="00E0691A" w:rsidRPr="00E0691A" w:rsidRDefault="00E0691A" w:rsidP="00E0691A">
      <w:pPr>
        <w:jc w:val="both"/>
        <w:rPr>
          <w:sz w:val="22"/>
          <w:szCs w:val="22"/>
        </w:rPr>
      </w:pPr>
    </w:p>
    <w:p w14:paraId="51695B83" w14:textId="03609680" w:rsidR="00E0691A" w:rsidRPr="00E0691A" w:rsidRDefault="00E0691A" w:rsidP="00E0691A">
      <w:pPr>
        <w:jc w:val="both"/>
        <w:rPr>
          <w:sz w:val="22"/>
          <w:szCs w:val="22"/>
        </w:rPr>
      </w:pPr>
      <w:r w:rsidRPr="00E0691A">
        <w:rPr>
          <w:sz w:val="22"/>
          <w:szCs w:val="22"/>
        </w:rPr>
        <w:lastRenderedPageBreak/>
        <w:t>Achieving the “opt-in” in the context of negative IMR could require satisfying these documentation requirements, in addition to incorporating and complying with a combination of one or more of the other potential safeguards mentioned above.</w:t>
      </w:r>
      <w:r w:rsidR="00837CEC">
        <w:rPr>
          <w:sz w:val="22"/>
          <w:szCs w:val="22"/>
        </w:rPr>
        <w:t xml:space="preserve"> </w:t>
      </w:r>
      <w:r w:rsidRPr="00E0691A">
        <w:rPr>
          <w:sz w:val="22"/>
          <w:szCs w:val="22"/>
        </w:rPr>
        <w:t>This package of requirements and safeguards would constitute a national standard for allowing negative IMR that can be consistently applied across all companies.</w:t>
      </w:r>
    </w:p>
    <w:p w14:paraId="51E898F7" w14:textId="77777777" w:rsidR="00E0691A" w:rsidRPr="00E0691A" w:rsidRDefault="00E0691A" w:rsidP="00E0691A">
      <w:pPr>
        <w:jc w:val="center"/>
        <w:rPr>
          <w:sz w:val="22"/>
          <w:szCs w:val="22"/>
        </w:rPr>
      </w:pPr>
    </w:p>
    <w:p w14:paraId="5C5CA715" w14:textId="5C1926AC" w:rsidR="00E0691A" w:rsidRPr="00E0691A" w:rsidRDefault="00E0691A" w:rsidP="00E0691A">
      <w:pPr>
        <w:jc w:val="both"/>
        <w:rPr>
          <w:sz w:val="22"/>
          <w:szCs w:val="22"/>
        </w:rPr>
      </w:pPr>
      <w:r w:rsidRPr="00E0691A">
        <w:rPr>
          <w:sz w:val="22"/>
          <w:szCs w:val="22"/>
        </w:rPr>
        <w:t>In the current interest rate environment, and with additional interest rate increases potentially on the horizon, the disallowance of negative IMR has become a serious and pressing issue for industry as we seek to execute prudent portfolio and risk management strategies that align with our economic realities. The ACLI looks forward to working with the NAIC to expedite a reasonable, permanent solution that fulfils the original intent of IMR and work on the appropriate additional safeguards that may be needed for year-end 2023 implementation.</w:t>
      </w:r>
      <w:r w:rsidR="00837CEC">
        <w:rPr>
          <w:sz w:val="22"/>
          <w:szCs w:val="22"/>
        </w:rPr>
        <w:t xml:space="preserve"> </w:t>
      </w:r>
      <w:r w:rsidRPr="00E0691A">
        <w:rPr>
          <w:sz w:val="22"/>
          <w:szCs w:val="22"/>
        </w:rPr>
        <w:t>Lastly, ACLI recalls a specific question raised by regulators at the NAIC’s fall national meeting.</w:t>
      </w:r>
      <w:r w:rsidR="00837CEC">
        <w:rPr>
          <w:sz w:val="22"/>
          <w:szCs w:val="22"/>
        </w:rPr>
        <w:t xml:space="preserve"> </w:t>
      </w:r>
      <w:r w:rsidRPr="00E0691A">
        <w:rPr>
          <w:sz w:val="22"/>
          <w:szCs w:val="22"/>
        </w:rPr>
        <w:t>We would like to understand this question and/or concern more fully and discuss with regulators or NAIC staff.</w:t>
      </w:r>
    </w:p>
    <w:p w14:paraId="1D30013F" w14:textId="77777777" w:rsidR="00C62A9E" w:rsidRDefault="00C62A9E" w:rsidP="00C62A9E">
      <w:pPr>
        <w:rPr>
          <w:sz w:val="22"/>
          <w:szCs w:val="22"/>
        </w:rPr>
      </w:pPr>
    </w:p>
    <w:p w14:paraId="55AC9F8F" w14:textId="77777777" w:rsidR="00C62A9E" w:rsidRPr="00F45BC3" w:rsidRDefault="00C62A9E" w:rsidP="00C62A9E">
      <w:pPr>
        <w:pStyle w:val="ListContinue"/>
        <w:numPr>
          <w:ilvl w:val="0"/>
          <w:numId w:val="0"/>
        </w:numPr>
        <w:spacing w:after="0"/>
        <w:jc w:val="both"/>
        <w:rPr>
          <w:bCs/>
          <w:i/>
          <w:kern w:val="32"/>
          <w:sz w:val="22"/>
          <w:szCs w:val="22"/>
          <w:u w:val="single"/>
        </w:rPr>
      </w:pPr>
      <w:r w:rsidRPr="00F45BC3">
        <w:rPr>
          <w:bCs/>
          <w:i/>
          <w:kern w:val="32"/>
          <w:sz w:val="22"/>
          <w:szCs w:val="22"/>
          <w:u w:val="single"/>
        </w:rPr>
        <w:t>Recommendation:</w:t>
      </w:r>
    </w:p>
    <w:p w14:paraId="5A720A56" w14:textId="61AD609E" w:rsidR="00C62A9E" w:rsidRPr="008A64F5" w:rsidRDefault="008A64F5" w:rsidP="00C62A9E">
      <w:pPr>
        <w:rPr>
          <w:b/>
          <w:sz w:val="22"/>
          <w:szCs w:val="22"/>
        </w:rPr>
      </w:pPr>
      <w:r w:rsidRPr="008A64F5">
        <w:rPr>
          <w:b/>
          <w:bCs/>
          <w:sz w:val="22"/>
          <w:szCs w:val="22"/>
        </w:rPr>
        <w:t xml:space="preserve">NAIC staff recommends that the Working Group provide feedback and direction for future consideration. </w:t>
      </w:r>
    </w:p>
    <w:p w14:paraId="7E275534" w14:textId="77777777" w:rsidR="00C62A9E" w:rsidRDefault="00C62A9E" w:rsidP="008D18E2">
      <w:pPr>
        <w:rPr>
          <w:b/>
          <w:sz w:val="22"/>
          <w:szCs w:val="22"/>
        </w:rPr>
      </w:pPr>
    </w:p>
    <w:p w14:paraId="080DE85F" w14:textId="77777777" w:rsidR="00DD1A40" w:rsidRDefault="00DD1A40" w:rsidP="00513498">
      <w:pPr>
        <w:widowControl w:val="0"/>
        <w:spacing w:after="60"/>
        <w:ind w:left="360"/>
        <w:jc w:val="both"/>
        <w:rPr>
          <w:sz w:val="16"/>
          <w:szCs w:val="16"/>
        </w:rPr>
      </w:pPr>
    </w:p>
    <w:p w14:paraId="3F35B7A6" w14:textId="223E3D60" w:rsidR="005A2C74" w:rsidRDefault="000C0BE9" w:rsidP="006226A3">
      <w:pPr>
        <w:widowControl w:val="0"/>
        <w:spacing w:after="60"/>
        <w:jc w:val="both"/>
        <w:rPr>
          <w:sz w:val="16"/>
          <w:szCs w:val="16"/>
        </w:rPr>
      </w:pPr>
      <w:r w:rsidRPr="00AE2967">
        <w:rPr>
          <w:b/>
          <w:bCs/>
          <w:sz w:val="22"/>
          <w:szCs w:val="22"/>
        </w:rPr>
        <w:t xml:space="preserve">The comment letters are </w:t>
      </w:r>
      <w:r w:rsidRPr="00FF7996">
        <w:rPr>
          <w:b/>
          <w:bCs/>
          <w:sz w:val="22"/>
          <w:szCs w:val="22"/>
        </w:rPr>
        <w:t xml:space="preserve">included in Attachment </w:t>
      </w:r>
      <w:r w:rsidR="00FF7996" w:rsidRPr="00FF7996">
        <w:rPr>
          <w:b/>
          <w:bCs/>
          <w:sz w:val="22"/>
          <w:szCs w:val="22"/>
        </w:rPr>
        <w:t>20</w:t>
      </w:r>
      <w:r w:rsidRPr="00FF7996">
        <w:rPr>
          <w:b/>
          <w:bCs/>
          <w:sz w:val="22"/>
          <w:szCs w:val="22"/>
        </w:rPr>
        <w:t xml:space="preserve"> (</w:t>
      </w:r>
      <w:r w:rsidR="00FF7996" w:rsidRPr="00FF7996">
        <w:rPr>
          <w:b/>
          <w:bCs/>
          <w:sz w:val="22"/>
          <w:szCs w:val="22"/>
        </w:rPr>
        <w:t>42</w:t>
      </w:r>
      <w:r w:rsidRPr="00FF7996">
        <w:rPr>
          <w:b/>
          <w:bCs/>
          <w:sz w:val="22"/>
          <w:szCs w:val="22"/>
        </w:rPr>
        <w:t xml:space="preserve"> pages).</w:t>
      </w:r>
    </w:p>
    <w:p w14:paraId="524EDCFD" w14:textId="77777777" w:rsidR="000C0BE9" w:rsidRDefault="000C0BE9" w:rsidP="006226A3">
      <w:pPr>
        <w:widowControl w:val="0"/>
        <w:spacing w:after="60"/>
        <w:jc w:val="both"/>
        <w:rPr>
          <w:sz w:val="16"/>
          <w:szCs w:val="16"/>
        </w:rPr>
      </w:pPr>
    </w:p>
    <w:p w14:paraId="309F24CB" w14:textId="700BD6B5" w:rsidR="008D18E2" w:rsidRPr="008D18E2" w:rsidRDefault="009164E3" w:rsidP="006226A3">
      <w:pPr>
        <w:widowControl w:val="0"/>
        <w:spacing w:after="60"/>
        <w:jc w:val="both"/>
        <w:rPr>
          <w:sz w:val="22"/>
          <w:szCs w:val="22"/>
        </w:rPr>
      </w:pPr>
      <w:r w:rsidRPr="004208AE">
        <w:rPr>
          <w:sz w:val="16"/>
          <w:szCs w:val="16"/>
        </w:rPr>
        <w:fldChar w:fldCharType="begin"/>
      </w:r>
      <w:r w:rsidRPr="004208AE">
        <w:rPr>
          <w:sz w:val="16"/>
          <w:szCs w:val="16"/>
        </w:rPr>
        <w:instrText xml:space="preserve"> FILENAME  \p  \* MERGEFORMAT </w:instrText>
      </w:r>
      <w:r w:rsidRPr="004208AE">
        <w:rPr>
          <w:sz w:val="16"/>
          <w:szCs w:val="16"/>
        </w:rPr>
        <w:fldChar w:fldCharType="separate"/>
      </w:r>
      <w:r w:rsidR="00BE7253">
        <w:rPr>
          <w:noProof/>
          <w:sz w:val="16"/>
          <w:szCs w:val="16"/>
        </w:rPr>
        <w:t>https://naiconline.sharepoint.com/teams/FRSStatutoryAccounting/National Meetings/A. National Meeting Materials/2023/3-22-23 - Spring/Hearing/0 - 03-2023 - SAPWG Hearing Agenda.docx</w:t>
      </w:r>
      <w:r w:rsidRPr="004208AE">
        <w:rPr>
          <w:sz w:val="16"/>
          <w:szCs w:val="16"/>
        </w:rPr>
        <w:fldChar w:fldCharType="end"/>
      </w:r>
    </w:p>
    <w:sectPr w:rsidR="008D18E2" w:rsidRPr="008D18E2" w:rsidSect="00845695">
      <w:headerReference w:type="default" r:id="rId11"/>
      <w:footerReference w:type="even" r:id="rId12"/>
      <w:footerReference w:type="default" r:id="rId13"/>
      <w:headerReference w:type="first" r:id="rId14"/>
      <w:footerReference w:type="first" r:id="rId15"/>
      <w:pgSz w:w="12240" w:h="15840" w:code="1"/>
      <w:pgMar w:top="994"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91D6E" w14:textId="77777777" w:rsidR="00F91411" w:rsidRDefault="00F91411">
      <w:r>
        <w:separator/>
      </w:r>
    </w:p>
  </w:endnote>
  <w:endnote w:type="continuationSeparator" w:id="0">
    <w:p w14:paraId="20CD22B2" w14:textId="77777777" w:rsidR="00F91411" w:rsidRDefault="00F91411">
      <w:r>
        <w:continuationSeparator/>
      </w:r>
    </w:p>
  </w:endnote>
  <w:endnote w:type="continuationNotice" w:id="1">
    <w:p w14:paraId="667B52B1" w14:textId="77777777" w:rsidR="00F91411" w:rsidRDefault="00F91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4DADA" w14:textId="77777777" w:rsidR="00110E57" w:rsidRDefault="00F27E6F" w:rsidP="00F27E6F">
    <w:pPr>
      <w:pStyle w:val="Footer"/>
      <w:tabs>
        <w:tab w:val="clear" w:pos="4320"/>
        <w:tab w:val="center" w:pos="5040"/>
      </w:tabs>
    </w:pPr>
    <w:r>
      <w:t>© 2023 National Association of Insurance Commissioners</w:t>
    </w:r>
    <w:r>
      <w:tab/>
    </w:r>
    <w:r w:rsidRPr="00B35D80">
      <w:fldChar w:fldCharType="begin"/>
    </w:r>
    <w:r w:rsidRPr="00B35D80">
      <w:instrText xml:space="preserve"> PAGE   \* MERGEFORMAT </w:instrText>
    </w:r>
    <w:r w:rsidRPr="00B35D80">
      <w:fldChar w:fldCharType="separate"/>
    </w:r>
    <w:r>
      <w:t>1</w:t>
    </w:r>
    <w:r w:rsidRPr="00B35D8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F7AEF" w14:textId="0E9E0163" w:rsidR="00605920" w:rsidRDefault="00605920" w:rsidP="00B1129A">
    <w:pPr>
      <w:pStyle w:val="Footer"/>
      <w:tabs>
        <w:tab w:val="clear" w:pos="4320"/>
        <w:tab w:val="center" w:pos="5040"/>
      </w:tabs>
    </w:pPr>
    <w:r>
      <w:t>© 202</w:t>
    </w:r>
    <w:r w:rsidR="00612D57">
      <w:t>3</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rPr>
        <w:noProof/>
      </w:rPr>
      <w:t>31</w:t>
    </w:r>
    <w:r w:rsidRPr="00B35D80">
      <w:rPr>
        <w:noProof/>
      </w:rPr>
      <w:fldChar w:fldCharType="end"/>
    </w:r>
  </w:p>
  <w:p w14:paraId="46E2CA0D" w14:textId="77777777" w:rsidR="00605920" w:rsidRDefault="006059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38BA" w14:textId="7243CB91" w:rsidR="00067BFA" w:rsidRDefault="00B1129A" w:rsidP="00F27E6F">
    <w:pPr>
      <w:pStyle w:val="Footer"/>
      <w:tabs>
        <w:tab w:val="clear" w:pos="4320"/>
        <w:tab w:val="center" w:pos="5040"/>
      </w:tabs>
    </w:pPr>
    <w:r>
      <w:t>© 202</w:t>
    </w:r>
    <w:r w:rsidR="00F97C99">
      <w:t>3</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t>2</w:t>
    </w:r>
    <w:r w:rsidRPr="00B35D80">
      <w:rPr>
        <w:noProof/>
      </w:rPr>
      <w:fldChar w:fldCharType="end"/>
    </w:r>
  </w:p>
  <w:p w14:paraId="706E7375" w14:textId="77777777" w:rsidR="00182D9E" w:rsidRDefault="00182D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691E4" w14:textId="77777777" w:rsidR="00F91411" w:rsidRDefault="00F91411">
      <w:r>
        <w:separator/>
      </w:r>
    </w:p>
  </w:footnote>
  <w:footnote w:type="continuationSeparator" w:id="0">
    <w:p w14:paraId="0EE718CF" w14:textId="77777777" w:rsidR="00F91411" w:rsidRDefault="00F91411">
      <w:r>
        <w:continuationSeparator/>
      </w:r>
    </w:p>
  </w:footnote>
  <w:footnote w:type="continuationNotice" w:id="1">
    <w:p w14:paraId="2E183ED1" w14:textId="77777777" w:rsidR="00F91411" w:rsidRDefault="00F914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299B0" w14:textId="4A033540" w:rsidR="004D696D" w:rsidRPr="00112756" w:rsidRDefault="00112756" w:rsidP="00112756">
    <w:pPr>
      <w:pStyle w:val="Header"/>
      <w:jc w:val="right"/>
      <w:rPr>
        <w:b/>
        <w:bCs/>
        <w:sz w:val="22"/>
        <w:szCs w:val="22"/>
      </w:rPr>
    </w:pPr>
    <w:r>
      <w:rPr>
        <w:b/>
        <w:bCs/>
        <w:sz w:val="22"/>
        <w:szCs w:val="22"/>
      </w:rPr>
      <w:t>Hearing Agenda</w:t>
    </w:r>
  </w:p>
  <w:p w14:paraId="7BC98A75" w14:textId="77777777" w:rsidR="004D696D" w:rsidRDefault="004D69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A625" w14:textId="77777777" w:rsidR="00172552" w:rsidRDefault="00172552" w:rsidP="00B1129A">
    <w:pPr>
      <w:pStyle w:val="Header"/>
      <w:jc w:val="right"/>
      <w:rPr>
        <w:b/>
        <w:bCs/>
        <w:sz w:val="22"/>
      </w:rPr>
    </w:pPr>
  </w:p>
  <w:p w14:paraId="421ECB2E" w14:textId="77777777" w:rsidR="00172552" w:rsidRDefault="00172552" w:rsidP="00B1129A">
    <w:pPr>
      <w:pStyle w:val="Header"/>
      <w:jc w:val="right"/>
      <w:rPr>
        <w:b/>
        <w:bCs/>
        <w:sz w:val="22"/>
      </w:rPr>
    </w:pPr>
  </w:p>
  <w:p w14:paraId="77B43CBD" w14:textId="77777777" w:rsidR="00172552" w:rsidRDefault="00172552" w:rsidP="00B1129A">
    <w:pPr>
      <w:pStyle w:val="Header"/>
      <w:jc w:val="right"/>
      <w:rPr>
        <w:b/>
        <w:bCs/>
        <w:sz w:val="22"/>
      </w:rPr>
    </w:pPr>
  </w:p>
  <w:p w14:paraId="6DBE43ED" w14:textId="77777777" w:rsidR="00172552" w:rsidRDefault="00172552" w:rsidP="00B1129A">
    <w:pPr>
      <w:pStyle w:val="Header"/>
      <w:jc w:val="right"/>
      <w:rPr>
        <w:b/>
        <w:bCs/>
        <w:sz w:val="22"/>
      </w:rPr>
    </w:pPr>
  </w:p>
  <w:p w14:paraId="492AC458" w14:textId="77777777" w:rsidR="00172552" w:rsidRDefault="00172552" w:rsidP="00B1129A">
    <w:pPr>
      <w:pStyle w:val="Header"/>
      <w:jc w:val="right"/>
      <w:rPr>
        <w:b/>
        <w:bCs/>
        <w:sz w:val="22"/>
      </w:rPr>
    </w:pPr>
  </w:p>
  <w:p w14:paraId="6EDC1F94" w14:textId="69D7D22D" w:rsidR="00EA326A" w:rsidRPr="004D696D" w:rsidRDefault="00172552" w:rsidP="005444FE">
    <w:pPr>
      <w:pStyle w:val="Header"/>
      <w:jc w:val="right"/>
      <w:rPr>
        <w:b/>
        <w:bCs/>
        <w:sz w:val="22"/>
        <w:szCs w:val="22"/>
      </w:rPr>
    </w:pPr>
    <w:r>
      <w:rPr>
        <w:noProof/>
      </w:rPr>
      <w:drawing>
        <wp:anchor distT="0" distB="0" distL="114300" distR="114300" simplePos="0" relativeHeight="251658241" behindDoc="1" locked="0" layoutInCell="1" allowOverlap="1" wp14:anchorId="5CAB2B11" wp14:editId="748350F0">
          <wp:simplePos x="0" y="0"/>
          <wp:positionH relativeFrom="page">
            <wp:posOffset>5943600</wp:posOffset>
          </wp:positionH>
          <wp:positionV relativeFrom="page">
            <wp:posOffset>6350</wp:posOffset>
          </wp:positionV>
          <wp:extent cx="1828800" cy="1143000"/>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28800" cy="1143000"/>
                  </a:xfrm>
                  <a:prstGeom prst="rect">
                    <a:avLst/>
                  </a:prstGeom>
                </pic:spPr>
              </pic:pic>
            </a:graphicData>
          </a:graphic>
        </wp:anchor>
      </w:drawing>
    </w:r>
    <w:r w:rsidR="00C0372C">
      <w:rPr>
        <w:noProof/>
      </w:rPr>
      <w:drawing>
        <wp:anchor distT="0" distB="0" distL="114300" distR="114300" simplePos="0" relativeHeight="251658240" behindDoc="0" locked="0" layoutInCell="1" allowOverlap="1" wp14:anchorId="2EBB74A6" wp14:editId="5E6BCB53">
          <wp:simplePos x="0" y="0"/>
          <wp:positionH relativeFrom="page">
            <wp:posOffset>-6350</wp:posOffset>
          </wp:positionH>
          <wp:positionV relativeFrom="page">
            <wp:posOffset>6350</wp:posOffset>
          </wp:positionV>
          <wp:extent cx="4645025" cy="1065530"/>
          <wp:effectExtent l="0" t="0" r="3175" b="1270"/>
          <wp:wrapNone/>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645025" cy="1065530"/>
                  </a:xfrm>
                  <a:prstGeom prst="rect">
                    <a:avLst/>
                  </a:prstGeom>
                </pic:spPr>
              </pic:pic>
            </a:graphicData>
          </a:graphic>
          <wp14:sizeRelH relativeFrom="margin">
            <wp14:pctWidth>0</wp14:pctWidth>
          </wp14:sizeRelH>
          <wp14:sizeRelV relativeFrom="margin">
            <wp14:pctHeight>0</wp14:pctHeight>
          </wp14:sizeRelV>
        </wp:anchor>
      </w:drawing>
    </w:r>
    <w:r w:rsidR="00ED6BAC">
      <w:rPr>
        <w:b/>
        <w:bCs/>
      </w:rPr>
      <w:t>H</w:t>
    </w:r>
    <w:r w:rsidR="00ED6BAC" w:rsidRPr="004D696D">
      <w:rPr>
        <w:b/>
        <w:bCs/>
        <w:sz w:val="22"/>
        <w:szCs w:val="22"/>
      </w:rPr>
      <w:t>earing</w:t>
    </w:r>
    <w:r w:rsidR="00AE0C63" w:rsidRPr="004D696D">
      <w:rPr>
        <w:b/>
        <w:bCs/>
        <w:sz w:val="22"/>
        <w:szCs w:val="22"/>
      </w:rPr>
      <w:t xml:space="preserve"> Agenda</w:t>
    </w:r>
  </w:p>
</w:hdr>
</file>

<file path=word/intelligence2.xml><?xml version="1.0" encoding="utf-8"?>
<int2:intelligence xmlns:int2="http://schemas.microsoft.com/office/intelligence/2020/intelligence" xmlns:oel="http://schemas.microsoft.com/office/2019/extlst">
  <int2:observations>
    <int2:textHash int2:hashCode="hQE88xiVl+/UaY" int2:id="HMdStHX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A964D61A"/>
    <w:lvl w:ilvl="0">
      <w:start w:val="17"/>
      <w:numFmt w:val="decimal"/>
      <w:pStyle w:val="ListNumber"/>
      <w:lvlText w:val="%1."/>
      <w:lvlJc w:val="left"/>
      <w:pPr>
        <w:tabs>
          <w:tab w:val="num" w:pos="360"/>
        </w:tabs>
        <w:ind w:left="360" w:hanging="360"/>
      </w:pPr>
      <w:rPr>
        <w:rFonts w:hint="default"/>
      </w:rPr>
    </w:lvl>
  </w:abstractNum>
  <w:abstractNum w:abstractNumId="2" w15:restartNumberingAfterBreak="0">
    <w:nsid w:val="00B41C90"/>
    <w:multiLevelType w:val="hybridMultilevel"/>
    <w:tmpl w:val="C3006BAA"/>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29B32D3"/>
    <w:multiLevelType w:val="hybridMultilevel"/>
    <w:tmpl w:val="D542E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D09D7"/>
    <w:multiLevelType w:val="hybridMultilevel"/>
    <w:tmpl w:val="706C4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6" w15:restartNumberingAfterBreak="0">
    <w:nsid w:val="1EC11106"/>
    <w:multiLevelType w:val="hybridMultilevel"/>
    <w:tmpl w:val="A1B8A91E"/>
    <w:lvl w:ilvl="0" w:tplc="19762032">
      <w:start w:val="1"/>
      <w:numFmt w:val="bullet"/>
      <w:lvlText w:val=""/>
      <w:lvlJc w:val="left"/>
      <w:pPr>
        <w:ind w:left="360" w:hanging="360"/>
      </w:pPr>
      <w:rPr>
        <w:rFonts w:ascii="Symbol" w:hAnsi="Symbol" w:hint="default"/>
      </w:rPr>
    </w:lvl>
    <w:lvl w:ilvl="1" w:tplc="69D8F96A" w:tentative="1">
      <w:start w:val="1"/>
      <w:numFmt w:val="bullet"/>
      <w:lvlText w:val="o"/>
      <w:lvlJc w:val="left"/>
      <w:pPr>
        <w:ind w:left="1080" w:hanging="360"/>
      </w:pPr>
      <w:rPr>
        <w:rFonts w:ascii="Courier New" w:hAnsi="Courier New" w:hint="default"/>
      </w:rPr>
    </w:lvl>
    <w:lvl w:ilvl="2" w:tplc="088C538A" w:tentative="1">
      <w:start w:val="1"/>
      <w:numFmt w:val="bullet"/>
      <w:lvlText w:val=""/>
      <w:lvlJc w:val="left"/>
      <w:pPr>
        <w:ind w:left="1800" w:hanging="360"/>
      </w:pPr>
      <w:rPr>
        <w:rFonts w:ascii="Wingdings" w:hAnsi="Wingdings" w:hint="default"/>
      </w:rPr>
    </w:lvl>
    <w:lvl w:ilvl="3" w:tplc="2A8484CE" w:tentative="1">
      <w:start w:val="1"/>
      <w:numFmt w:val="bullet"/>
      <w:lvlText w:val=""/>
      <w:lvlJc w:val="left"/>
      <w:pPr>
        <w:ind w:left="2520" w:hanging="360"/>
      </w:pPr>
      <w:rPr>
        <w:rFonts w:ascii="Symbol" w:hAnsi="Symbol" w:hint="default"/>
      </w:rPr>
    </w:lvl>
    <w:lvl w:ilvl="4" w:tplc="6D20DBF2" w:tentative="1">
      <w:start w:val="1"/>
      <w:numFmt w:val="bullet"/>
      <w:lvlText w:val="o"/>
      <w:lvlJc w:val="left"/>
      <w:pPr>
        <w:ind w:left="3240" w:hanging="360"/>
      </w:pPr>
      <w:rPr>
        <w:rFonts w:ascii="Courier New" w:hAnsi="Courier New" w:hint="default"/>
      </w:rPr>
    </w:lvl>
    <w:lvl w:ilvl="5" w:tplc="9774B096" w:tentative="1">
      <w:start w:val="1"/>
      <w:numFmt w:val="bullet"/>
      <w:lvlText w:val=""/>
      <w:lvlJc w:val="left"/>
      <w:pPr>
        <w:ind w:left="3960" w:hanging="360"/>
      </w:pPr>
      <w:rPr>
        <w:rFonts w:ascii="Wingdings" w:hAnsi="Wingdings" w:hint="default"/>
      </w:rPr>
    </w:lvl>
    <w:lvl w:ilvl="6" w:tplc="1492A6FA" w:tentative="1">
      <w:start w:val="1"/>
      <w:numFmt w:val="bullet"/>
      <w:lvlText w:val=""/>
      <w:lvlJc w:val="left"/>
      <w:pPr>
        <w:ind w:left="4680" w:hanging="360"/>
      </w:pPr>
      <w:rPr>
        <w:rFonts w:ascii="Symbol" w:hAnsi="Symbol" w:hint="default"/>
      </w:rPr>
    </w:lvl>
    <w:lvl w:ilvl="7" w:tplc="7812BEDA" w:tentative="1">
      <w:start w:val="1"/>
      <w:numFmt w:val="bullet"/>
      <w:lvlText w:val="o"/>
      <w:lvlJc w:val="left"/>
      <w:pPr>
        <w:ind w:left="5400" w:hanging="360"/>
      </w:pPr>
      <w:rPr>
        <w:rFonts w:ascii="Courier New" w:hAnsi="Courier New" w:hint="default"/>
      </w:rPr>
    </w:lvl>
    <w:lvl w:ilvl="8" w:tplc="5058CE36" w:tentative="1">
      <w:start w:val="1"/>
      <w:numFmt w:val="bullet"/>
      <w:lvlText w:val=""/>
      <w:lvlJc w:val="left"/>
      <w:pPr>
        <w:ind w:left="6120" w:hanging="360"/>
      </w:pPr>
      <w:rPr>
        <w:rFonts w:ascii="Wingdings" w:hAnsi="Wingdings" w:hint="default"/>
      </w:rPr>
    </w:lvl>
  </w:abstractNum>
  <w:abstractNum w:abstractNumId="7" w15:restartNumberingAfterBreak="0">
    <w:nsid w:val="204C3ACB"/>
    <w:multiLevelType w:val="hybridMultilevel"/>
    <w:tmpl w:val="757A2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71304E"/>
    <w:multiLevelType w:val="hybridMultilevel"/>
    <w:tmpl w:val="C4C8D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33DAC"/>
    <w:multiLevelType w:val="hybridMultilevel"/>
    <w:tmpl w:val="27F2ED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94435"/>
    <w:multiLevelType w:val="hybridMultilevel"/>
    <w:tmpl w:val="E2BCE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E61488"/>
    <w:multiLevelType w:val="hybridMultilevel"/>
    <w:tmpl w:val="97922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173907"/>
    <w:multiLevelType w:val="hybridMultilevel"/>
    <w:tmpl w:val="EDE65222"/>
    <w:lvl w:ilvl="0" w:tplc="5694DD06">
      <w:numFmt w:val="bullet"/>
      <w:lvlText w:val=""/>
      <w:lvlJc w:val="left"/>
      <w:pPr>
        <w:ind w:left="2520" w:hanging="360"/>
      </w:pPr>
      <w:rPr>
        <w:rFonts w:ascii="Symbol" w:eastAsia="Symbol" w:hAnsi="Symbol" w:cs="Symbol" w:hint="default"/>
        <w:b w:val="0"/>
        <w:bCs w:val="0"/>
        <w:i w:val="0"/>
        <w:iCs w:val="0"/>
        <w:w w:val="100"/>
        <w:sz w:val="24"/>
        <w:szCs w:val="24"/>
        <w:lang w:val="en-US" w:eastAsia="en-US" w:bidi="ar-SA"/>
      </w:rPr>
    </w:lvl>
    <w:lvl w:ilvl="1" w:tplc="D2000A9E">
      <w:numFmt w:val="bullet"/>
      <w:lvlText w:val="•"/>
      <w:lvlJc w:val="left"/>
      <w:pPr>
        <w:ind w:left="3492" w:hanging="360"/>
      </w:pPr>
      <w:rPr>
        <w:rFonts w:hint="default"/>
        <w:lang w:val="en-US" w:eastAsia="en-US" w:bidi="ar-SA"/>
      </w:rPr>
    </w:lvl>
    <w:lvl w:ilvl="2" w:tplc="AF68C08C">
      <w:numFmt w:val="bullet"/>
      <w:lvlText w:val="•"/>
      <w:lvlJc w:val="left"/>
      <w:pPr>
        <w:ind w:left="4464" w:hanging="360"/>
      </w:pPr>
      <w:rPr>
        <w:rFonts w:hint="default"/>
        <w:lang w:val="en-US" w:eastAsia="en-US" w:bidi="ar-SA"/>
      </w:rPr>
    </w:lvl>
    <w:lvl w:ilvl="3" w:tplc="54D6149E">
      <w:numFmt w:val="bullet"/>
      <w:lvlText w:val="•"/>
      <w:lvlJc w:val="left"/>
      <w:pPr>
        <w:ind w:left="5436" w:hanging="360"/>
      </w:pPr>
      <w:rPr>
        <w:rFonts w:hint="default"/>
        <w:lang w:val="en-US" w:eastAsia="en-US" w:bidi="ar-SA"/>
      </w:rPr>
    </w:lvl>
    <w:lvl w:ilvl="4" w:tplc="5F3E3A48">
      <w:numFmt w:val="bullet"/>
      <w:lvlText w:val="•"/>
      <w:lvlJc w:val="left"/>
      <w:pPr>
        <w:ind w:left="6408" w:hanging="360"/>
      </w:pPr>
      <w:rPr>
        <w:rFonts w:hint="default"/>
        <w:lang w:val="en-US" w:eastAsia="en-US" w:bidi="ar-SA"/>
      </w:rPr>
    </w:lvl>
    <w:lvl w:ilvl="5" w:tplc="616830B4">
      <w:numFmt w:val="bullet"/>
      <w:lvlText w:val="•"/>
      <w:lvlJc w:val="left"/>
      <w:pPr>
        <w:ind w:left="7380" w:hanging="360"/>
      </w:pPr>
      <w:rPr>
        <w:rFonts w:hint="default"/>
        <w:lang w:val="en-US" w:eastAsia="en-US" w:bidi="ar-SA"/>
      </w:rPr>
    </w:lvl>
    <w:lvl w:ilvl="6" w:tplc="EEC49F78">
      <w:numFmt w:val="bullet"/>
      <w:lvlText w:val="•"/>
      <w:lvlJc w:val="left"/>
      <w:pPr>
        <w:ind w:left="8352" w:hanging="360"/>
      </w:pPr>
      <w:rPr>
        <w:rFonts w:hint="default"/>
        <w:lang w:val="en-US" w:eastAsia="en-US" w:bidi="ar-SA"/>
      </w:rPr>
    </w:lvl>
    <w:lvl w:ilvl="7" w:tplc="2CB81976">
      <w:numFmt w:val="bullet"/>
      <w:lvlText w:val="•"/>
      <w:lvlJc w:val="left"/>
      <w:pPr>
        <w:ind w:left="9324" w:hanging="360"/>
      </w:pPr>
      <w:rPr>
        <w:rFonts w:hint="default"/>
        <w:lang w:val="en-US" w:eastAsia="en-US" w:bidi="ar-SA"/>
      </w:rPr>
    </w:lvl>
    <w:lvl w:ilvl="8" w:tplc="14C2B822">
      <w:numFmt w:val="bullet"/>
      <w:lvlText w:val="•"/>
      <w:lvlJc w:val="left"/>
      <w:pPr>
        <w:ind w:left="10296" w:hanging="360"/>
      </w:pPr>
      <w:rPr>
        <w:rFonts w:hint="default"/>
        <w:lang w:val="en-US" w:eastAsia="en-US" w:bidi="ar-SA"/>
      </w:rPr>
    </w:lvl>
  </w:abstractNum>
  <w:abstractNum w:abstractNumId="16"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7"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8" w15:restartNumberingAfterBreak="0">
    <w:nsid w:val="3093293C"/>
    <w:multiLevelType w:val="hybridMultilevel"/>
    <w:tmpl w:val="C776A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1CC2D14"/>
    <w:multiLevelType w:val="hybridMultilevel"/>
    <w:tmpl w:val="2DD2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D3820"/>
    <w:multiLevelType w:val="hybridMultilevel"/>
    <w:tmpl w:val="1CB47BD6"/>
    <w:lvl w:ilvl="0" w:tplc="708C0D9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186DE0"/>
    <w:multiLevelType w:val="hybridMultilevel"/>
    <w:tmpl w:val="D2C6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272A61"/>
    <w:multiLevelType w:val="hybridMultilevel"/>
    <w:tmpl w:val="DEF4F140"/>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4" w15:restartNumberingAfterBreak="0">
    <w:nsid w:val="3782428A"/>
    <w:multiLevelType w:val="hybridMultilevel"/>
    <w:tmpl w:val="949CA80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6" w15:restartNumberingAfterBreak="0">
    <w:nsid w:val="38AD07C8"/>
    <w:multiLevelType w:val="hybridMultilevel"/>
    <w:tmpl w:val="843C99A0"/>
    <w:lvl w:ilvl="0" w:tplc="04090001">
      <w:start w:val="1"/>
      <w:numFmt w:val="bullet"/>
      <w:lvlText w:val=""/>
      <w:lvlJc w:val="left"/>
      <w:pPr>
        <w:ind w:left="1559" w:hanging="360"/>
      </w:pPr>
      <w:rPr>
        <w:rFonts w:ascii="Symbol" w:hAnsi="Symbol" w:hint="default"/>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27" w15:restartNumberingAfterBreak="0">
    <w:nsid w:val="38C400AE"/>
    <w:multiLevelType w:val="hybridMultilevel"/>
    <w:tmpl w:val="99340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5EF166C"/>
    <w:multiLevelType w:val="hybridMultilevel"/>
    <w:tmpl w:val="A1E2F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D82A7B"/>
    <w:multiLevelType w:val="multilevel"/>
    <w:tmpl w:val="F16663B6"/>
    <w:lvl w:ilvl="0">
      <w:start w:val="1"/>
      <w:numFmt w:val="bullet"/>
      <w:lvlText w:val=""/>
      <w:lvlJc w:val="left"/>
      <w:pPr>
        <w:tabs>
          <w:tab w:val="num" w:pos="-2160"/>
        </w:tabs>
        <w:ind w:left="-21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720"/>
        </w:tabs>
        <w:ind w:left="-720" w:hanging="360"/>
      </w:pPr>
      <w:rPr>
        <w:rFonts w:ascii="Symbol" w:hAnsi="Symbol" w:hint="default"/>
        <w:sz w:val="20"/>
      </w:rPr>
    </w:lvl>
    <w:lvl w:ilvl="3">
      <w:start w:val="1"/>
      <w:numFmt w:val="bullet"/>
      <w:lvlText w:val=""/>
      <w:lvlJc w:val="left"/>
      <w:pPr>
        <w:tabs>
          <w:tab w:val="num" w:pos="0"/>
        </w:tabs>
        <w:ind w:left="0" w:hanging="360"/>
      </w:pPr>
      <w:rPr>
        <w:rFonts w:ascii="Symbol" w:hAnsi="Symbol" w:hint="default"/>
        <w:sz w:val="20"/>
      </w:rPr>
    </w:lvl>
    <w:lvl w:ilvl="4">
      <w:start w:val="1"/>
      <w:numFmt w:val="bullet"/>
      <w:lvlText w:val=""/>
      <w:lvlJc w:val="left"/>
      <w:pPr>
        <w:tabs>
          <w:tab w:val="num" w:pos="720"/>
        </w:tabs>
        <w:ind w:left="720" w:hanging="360"/>
      </w:pPr>
      <w:rPr>
        <w:rFonts w:ascii="Symbol" w:hAnsi="Symbol" w:hint="default"/>
        <w:sz w:val="20"/>
      </w:rPr>
    </w:lvl>
    <w:lvl w:ilvl="5">
      <w:start w:val="1"/>
      <w:numFmt w:val="bullet"/>
      <w:lvlText w:val=""/>
      <w:lvlJc w:val="left"/>
      <w:pPr>
        <w:tabs>
          <w:tab w:val="num" w:pos="1440"/>
        </w:tabs>
        <w:ind w:left="1440" w:hanging="360"/>
      </w:pPr>
      <w:rPr>
        <w:rFonts w:ascii="Symbol" w:hAnsi="Symbol" w:hint="default"/>
        <w:sz w:val="20"/>
      </w:rPr>
    </w:lvl>
    <w:lvl w:ilvl="6">
      <w:start w:val="1"/>
      <w:numFmt w:val="bullet"/>
      <w:lvlText w:val=""/>
      <w:lvlJc w:val="left"/>
      <w:pPr>
        <w:tabs>
          <w:tab w:val="num" w:pos="2160"/>
        </w:tabs>
        <w:ind w:left="216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600"/>
        </w:tabs>
        <w:ind w:left="3600" w:hanging="360"/>
      </w:pPr>
      <w:rPr>
        <w:rFonts w:ascii="Symbol" w:hAnsi="Symbol" w:hint="default"/>
        <w:sz w:val="20"/>
      </w:rPr>
    </w:lvl>
  </w:abstractNum>
  <w:abstractNum w:abstractNumId="31"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3" w15:restartNumberingAfterBreak="0">
    <w:nsid w:val="5D7C38AD"/>
    <w:multiLevelType w:val="hybridMultilevel"/>
    <w:tmpl w:val="1730FE72"/>
    <w:lvl w:ilvl="0" w:tplc="695698C4">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5" w15:restartNumberingAfterBreak="0">
    <w:nsid w:val="5E900CF4"/>
    <w:multiLevelType w:val="hybridMultilevel"/>
    <w:tmpl w:val="575AA286"/>
    <w:lvl w:ilvl="0" w:tplc="81D652E6">
      <w:start w:val="1"/>
      <w:numFmt w:val="decimal"/>
      <w:lvlText w:val="%1."/>
      <w:lvlJc w:val="left"/>
      <w:pPr>
        <w:ind w:left="839" w:hanging="360"/>
      </w:pPr>
      <w:rPr>
        <w:rFonts w:ascii="Times New Roman" w:eastAsia="Times New Roman" w:hAnsi="Times New Roman" w:cs="Times New Roman" w:hint="default"/>
        <w:b w:val="0"/>
        <w:bCs w:val="0"/>
        <w:i w:val="0"/>
        <w:iCs w:val="0"/>
        <w:w w:val="100"/>
        <w:sz w:val="22"/>
        <w:szCs w:val="22"/>
        <w:lang w:val="en-US" w:eastAsia="en-US" w:bidi="ar-SA"/>
      </w:rPr>
    </w:lvl>
    <w:lvl w:ilvl="1" w:tplc="94286A1E">
      <w:numFmt w:val="bullet"/>
      <w:lvlText w:val="•"/>
      <w:lvlJc w:val="left"/>
      <w:pPr>
        <w:ind w:left="1806" w:hanging="360"/>
      </w:pPr>
      <w:rPr>
        <w:rFonts w:hint="default"/>
        <w:lang w:val="en-US" w:eastAsia="en-US" w:bidi="ar-SA"/>
      </w:rPr>
    </w:lvl>
    <w:lvl w:ilvl="2" w:tplc="5DAAC096">
      <w:numFmt w:val="bullet"/>
      <w:lvlText w:val="•"/>
      <w:lvlJc w:val="left"/>
      <w:pPr>
        <w:ind w:left="2772" w:hanging="360"/>
      </w:pPr>
      <w:rPr>
        <w:rFonts w:hint="default"/>
        <w:lang w:val="en-US" w:eastAsia="en-US" w:bidi="ar-SA"/>
      </w:rPr>
    </w:lvl>
    <w:lvl w:ilvl="3" w:tplc="F0F8E57E">
      <w:numFmt w:val="bullet"/>
      <w:lvlText w:val="•"/>
      <w:lvlJc w:val="left"/>
      <w:pPr>
        <w:ind w:left="3738" w:hanging="360"/>
      </w:pPr>
      <w:rPr>
        <w:rFonts w:hint="default"/>
        <w:lang w:val="en-US" w:eastAsia="en-US" w:bidi="ar-SA"/>
      </w:rPr>
    </w:lvl>
    <w:lvl w:ilvl="4" w:tplc="BD04CBAE">
      <w:numFmt w:val="bullet"/>
      <w:lvlText w:val="•"/>
      <w:lvlJc w:val="left"/>
      <w:pPr>
        <w:ind w:left="4704" w:hanging="360"/>
      </w:pPr>
      <w:rPr>
        <w:rFonts w:hint="default"/>
        <w:lang w:val="en-US" w:eastAsia="en-US" w:bidi="ar-SA"/>
      </w:rPr>
    </w:lvl>
    <w:lvl w:ilvl="5" w:tplc="5C743490">
      <w:numFmt w:val="bullet"/>
      <w:lvlText w:val="•"/>
      <w:lvlJc w:val="left"/>
      <w:pPr>
        <w:ind w:left="5670" w:hanging="360"/>
      </w:pPr>
      <w:rPr>
        <w:rFonts w:hint="default"/>
        <w:lang w:val="en-US" w:eastAsia="en-US" w:bidi="ar-SA"/>
      </w:rPr>
    </w:lvl>
    <w:lvl w:ilvl="6" w:tplc="E2AC8276">
      <w:numFmt w:val="bullet"/>
      <w:lvlText w:val="•"/>
      <w:lvlJc w:val="left"/>
      <w:pPr>
        <w:ind w:left="6636" w:hanging="360"/>
      </w:pPr>
      <w:rPr>
        <w:rFonts w:hint="default"/>
        <w:lang w:val="en-US" w:eastAsia="en-US" w:bidi="ar-SA"/>
      </w:rPr>
    </w:lvl>
    <w:lvl w:ilvl="7" w:tplc="625CC400">
      <w:numFmt w:val="bullet"/>
      <w:lvlText w:val="•"/>
      <w:lvlJc w:val="left"/>
      <w:pPr>
        <w:ind w:left="7602" w:hanging="360"/>
      </w:pPr>
      <w:rPr>
        <w:rFonts w:hint="default"/>
        <w:lang w:val="en-US" w:eastAsia="en-US" w:bidi="ar-SA"/>
      </w:rPr>
    </w:lvl>
    <w:lvl w:ilvl="8" w:tplc="EE2CB97A">
      <w:numFmt w:val="bullet"/>
      <w:lvlText w:val="•"/>
      <w:lvlJc w:val="left"/>
      <w:pPr>
        <w:ind w:left="8568" w:hanging="360"/>
      </w:pPr>
      <w:rPr>
        <w:rFonts w:hint="default"/>
        <w:lang w:val="en-US" w:eastAsia="en-US" w:bidi="ar-SA"/>
      </w:rPr>
    </w:lvl>
  </w:abstractNum>
  <w:abstractNum w:abstractNumId="36" w15:restartNumberingAfterBreak="0">
    <w:nsid w:val="5F4359EF"/>
    <w:multiLevelType w:val="singleLevel"/>
    <w:tmpl w:val="347ABBE6"/>
    <w:lvl w:ilvl="0">
      <w:start w:val="5"/>
      <w:numFmt w:val="lowerRoman"/>
      <w:pStyle w:val="Indent0"/>
      <w:lvlText w:val="%1."/>
      <w:lvlJc w:val="left"/>
      <w:pPr>
        <w:tabs>
          <w:tab w:val="num" w:pos="2160"/>
        </w:tabs>
        <w:ind w:left="2160" w:hanging="720"/>
      </w:pPr>
      <w:rPr>
        <w:rFonts w:hint="default"/>
        <w:i w:val="0"/>
      </w:rPr>
    </w:lvl>
  </w:abstractNum>
  <w:abstractNum w:abstractNumId="37" w15:restartNumberingAfterBreak="0">
    <w:nsid w:val="60956CE8"/>
    <w:multiLevelType w:val="hybridMultilevel"/>
    <w:tmpl w:val="268AD6C4"/>
    <w:lvl w:ilvl="0" w:tplc="7EFC2AB8">
      <w:start w:val="27"/>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8"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5830C9D"/>
    <w:multiLevelType w:val="hybridMultilevel"/>
    <w:tmpl w:val="0B56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058C0"/>
    <w:multiLevelType w:val="hybridMultilevel"/>
    <w:tmpl w:val="27460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6433AC"/>
    <w:multiLevelType w:val="hybridMultilevel"/>
    <w:tmpl w:val="8A22C8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43"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31974835">
    <w:abstractNumId w:val="34"/>
  </w:num>
  <w:num w:numId="2" w16cid:durableId="313409114">
    <w:abstractNumId w:val="11"/>
  </w:num>
  <w:num w:numId="3" w16cid:durableId="412555847">
    <w:abstractNumId w:val="5"/>
  </w:num>
  <w:num w:numId="4" w16cid:durableId="1376615166">
    <w:abstractNumId w:val="28"/>
  </w:num>
  <w:num w:numId="5" w16cid:durableId="1817603033">
    <w:abstractNumId w:val="1"/>
  </w:num>
  <w:num w:numId="6" w16cid:durableId="1574855339">
    <w:abstractNumId w:val="17"/>
  </w:num>
  <w:num w:numId="7" w16cid:durableId="724374028">
    <w:abstractNumId w:val="9"/>
  </w:num>
  <w:num w:numId="8" w16cid:durableId="2004814368">
    <w:abstractNumId w:val="19"/>
  </w:num>
  <w:num w:numId="9" w16cid:durableId="492455730">
    <w:abstractNumId w:val="16"/>
  </w:num>
  <w:num w:numId="10" w16cid:durableId="11495999">
    <w:abstractNumId w:val="10"/>
  </w:num>
  <w:num w:numId="11" w16cid:durableId="1966689482">
    <w:abstractNumId w:val="0"/>
  </w:num>
  <w:num w:numId="12" w16cid:durableId="344523570">
    <w:abstractNumId w:val="43"/>
  </w:num>
  <w:num w:numId="13" w16cid:durableId="1704674376">
    <w:abstractNumId w:val="31"/>
  </w:num>
  <w:num w:numId="14" w16cid:durableId="233783398">
    <w:abstractNumId w:val="38"/>
  </w:num>
  <w:num w:numId="15" w16cid:durableId="194657738">
    <w:abstractNumId w:val="25"/>
  </w:num>
  <w:num w:numId="16" w16cid:durableId="1473207635">
    <w:abstractNumId w:val="42"/>
  </w:num>
  <w:num w:numId="17" w16cid:durableId="724109315">
    <w:abstractNumId w:val="37"/>
  </w:num>
  <w:num w:numId="18" w16cid:durableId="323512318">
    <w:abstractNumId w:val="32"/>
  </w:num>
  <w:num w:numId="19" w16cid:durableId="593131126">
    <w:abstractNumId w:val="36"/>
  </w:num>
  <w:num w:numId="20" w16cid:durableId="678115424">
    <w:abstractNumId w:val="21"/>
  </w:num>
  <w:num w:numId="21" w16cid:durableId="1281911024">
    <w:abstractNumId w:val="2"/>
  </w:num>
  <w:num w:numId="22" w16cid:durableId="598099503">
    <w:abstractNumId w:val="6"/>
  </w:num>
  <w:num w:numId="23" w16cid:durableId="1198354801">
    <w:abstractNumId w:val="29"/>
  </w:num>
  <w:num w:numId="24" w16cid:durableId="1398628514">
    <w:abstractNumId w:val="40"/>
  </w:num>
  <w:num w:numId="25" w16cid:durableId="1879931809">
    <w:abstractNumId w:val="35"/>
  </w:num>
  <w:num w:numId="26" w16cid:durableId="313223303">
    <w:abstractNumId w:val="26"/>
  </w:num>
  <w:num w:numId="27" w16cid:durableId="3194265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8175808">
    <w:abstractNumId w:val="27"/>
  </w:num>
  <w:num w:numId="29" w16cid:durableId="732892934">
    <w:abstractNumId w:val="13"/>
  </w:num>
  <w:num w:numId="30" w16cid:durableId="360860124">
    <w:abstractNumId w:val="18"/>
  </w:num>
  <w:num w:numId="31" w16cid:durableId="1140733198">
    <w:abstractNumId w:val="20"/>
  </w:num>
  <w:num w:numId="32" w16cid:durableId="438256508">
    <w:abstractNumId w:val="3"/>
  </w:num>
  <w:num w:numId="33" w16cid:durableId="596327898">
    <w:abstractNumId w:val="41"/>
  </w:num>
  <w:num w:numId="34" w16cid:durableId="517814659">
    <w:abstractNumId w:val="12"/>
  </w:num>
  <w:num w:numId="35" w16cid:durableId="194930205">
    <w:abstractNumId w:val="39"/>
  </w:num>
  <w:num w:numId="36" w16cid:durableId="989938225">
    <w:abstractNumId w:val="24"/>
  </w:num>
  <w:num w:numId="37" w16cid:durableId="1524634655">
    <w:abstractNumId w:val="30"/>
  </w:num>
  <w:num w:numId="38" w16cid:durableId="2044555809">
    <w:abstractNumId w:val="7"/>
  </w:num>
  <w:num w:numId="39" w16cid:durableId="1108740260">
    <w:abstractNumId w:val="15"/>
  </w:num>
  <w:num w:numId="40" w16cid:durableId="458567682">
    <w:abstractNumId w:val="33"/>
  </w:num>
  <w:num w:numId="41" w16cid:durableId="693655709">
    <w:abstractNumId w:val="23"/>
  </w:num>
  <w:num w:numId="42" w16cid:durableId="218563731">
    <w:abstractNumId w:val="22"/>
  </w:num>
  <w:num w:numId="43" w16cid:durableId="962148997">
    <w:abstractNumId w:val="8"/>
  </w:num>
  <w:num w:numId="44" w16cid:durableId="1193156354">
    <w:abstractNumId w:val="4"/>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negar, Jim">
    <w15:presenceInfo w15:providerId="AD" w15:userId="S::jpinegar@naic.org::65d847c6-f120-4696-bfed-9df49ff5fddd"/>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3D"/>
    <w:rsid w:val="000004B7"/>
    <w:rsid w:val="0000088C"/>
    <w:rsid w:val="00000AB4"/>
    <w:rsid w:val="00000CB1"/>
    <w:rsid w:val="00000FA5"/>
    <w:rsid w:val="0000111C"/>
    <w:rsid w:val="0000111F"/>
    <w:rsid w:val="000012AC"/>
    <w:rsid w:val="00001387"/>
    <w:rsid w:val="0000146C"/>
    <w:rsid w:val="0000157B"/>
    <w:rsid w:val="0000166A"/>
    <w:rsid w:val="0000190A"/>
    <w:rsid w:val="00001AC0"/>
    <w:rsid w:val="00001FF0"/>
    <w:rsid w:val="00002042"/>
    <w:rsid w:val="00002142"/>
    <w:rsid w:val="00002166"/>
    <w:rsid w:val="0000277D"/>
    <w:rsid w:val="000027C1"/>
    <w:rsid w:val="00002AA2"/>
    <w:rsid w:val="00002AAA"/>
    <w:rsid w:val="00002ACB"/>
    <w:rsid w:val="00002EEF"/>
    <w:rsid w:val="00003208"/>
    <w:rsid w:val="000034CB"/>
    <w:rsid w:val="00003646"/>
    <w:rsid w:val="00003731"/>
    <w:rsid w:val="00003A1E"/>
    <w:rsid w:val="00003A2F"/>
    <w:rsid w:val="00004B16"/>
    <w:rsid w:val="00004B27"/>
    <w:rsid w:val="000051A1"/>
    <w:rsid w:val="0000523C"/>
    <w:rsid w:val="0000529A"/>
    <w:rsid w:val="00005355"/>
    <w:rsid w:val="00005657"/>
    <w:rsid w:val="000057FF"/>
    <w:rsid w:val="00005A6B"/>
    <w:rsid w:val="00006A74"/>
    <w:rsid w:val="00006ACB"/>
    <w:rsid w:val="00006CBF"/>
    <w:rsid w:val="00006E36"/>
    <w:rsid w:val="00007150"/>
    <w:rsid w:val="00007A2F"/>
    <w:rsid w:val="00007D0F"/>
    <w:rsid w:val="00010092"/>
    <w:rsid w:val="0001022B"/>
    <w:rsid w:val="0001038D"/>
    <w:rsid w:val="000108FE"/>
    <w:rsid w:val="00010A6F"/>
    <w:rsid w:val="00010AC1"/>
    <w:rsid w:val="00011197"/>
    <w:rsid w:val="00011548"/>
    <w:rsid w:val="00011A45"/>
    <w:rsid w:val="00011A8D"/>
    <w:rsid w:val="00011B31"/>
    <w:rsid w:val="00011CEB"/>
    <w:rsid w:val="00011D4D"/>
    <w:rsid w:val="00011D60"/>
    <w:rsid w:val="00011E07"/>
    <w:rsid w:val="00011FF9"/>
    <w:rsid w:val="00012201"/>
    <w:rsid w:val="0001223A"/>
    <w:rsid w:val="0001228F"/>
    <w:rsid w:val="0001279E"/>
    <w:rsid w:val="00012DC1"/>
    <w:rsid w:val="00012E5E"/>
    <w:rsid w:val="00013135"/>
    <w:rsid w:val="0001321A"/>
    <w:rsid w:val="00013409"/>
    <w:rsid w:val="00013625"/>
    <w:rsid w:val="000136BB"/>
    <w:rsid w:val="00013B45"/>
    <w:rsid w:val="00013C7E"/>
    <w:rsid w:val="00013EC5"/>
    <w:rsid w:val="00013F6A"/>
    <w:rsid w:val="00013FEC"/>
    <w:rsid w:val="00014244"/>
    <w:rsid w:val="0001434C"/>
    <w:rsid w:val="000143CC"/>
    <w:rsid w:val="000145AE"/>
    <w:rsid w:val="00014842"/>
    <w:rsid w:val="00014975"/>
    <w:rsid w:val="000149AA"/>
    <w:rsid w:val="00014EBD"/>
    <w:rsid w:val="000151E3"/>
    <w:rsid w:val="00015269"/>
    <w:rsid w:val="000152EA"/>
    <w:rsid w:val="0001541E"/>
    <w:rsid w:val="00015989"/>
    <w:rsid w:val="00015CB7"/>
    <w:rsid w:val="00015E37"/>
    <w:rsid w:val="00016117"/>
    <w:rsid w:val="000167D3"/>
    <w:rsid w:val="00016D0B"/>
    <w:rsid w:val="00016F56"/>
    <w:rsid w:val="000171AC"/>
    <w:rsid w:val="00017511"/>
    <w:rsid w:val="000176E0"/>
    <w:rsid w:val="00017800"/>
    <w:rsid w:val="00017894"/>
    <w:rsid w:val="00017912"/>
    <w:rsid w:val="00017B7C"/>
    <w:rsid w:val="00017DEB"/>
    <w:rsid w:val="00020050"/>
    <w:rsid w:val="00020525"/>
    <w:rsid w:val="000209D3"/>
    <w:rsid w:val="00020CD3"/>
    <w:rsid w:val="00020DF8"/>
    <w:rsid w:val="000210C9"/>
    <w:rsid w:val="000214F5"/>
    <w:rsid w:val="00021739"/>
    <w:rsid w:val="00021820"/>
    <w:rsid w:val="000219D6"/>
    <w:rsid w:val="000219D8"/>
    <w:rsid w:val="00022489"/>
    <w:rsid w:val="000228AF"/>
    <w:rsid w:val="00022DF5"/>
    <w:rsid w:val="0002362A"/>
    <w:rsid w:val="000237F8"/>
    <w:rsid w:val="000238E8"/>
    <w:rsid w:val="00023FB0"/>
    <w:rsid w:val="00024485"/>
    <w:rsid w:val="00024A9A"/>
    <w:rsid w:val="000256F0"/>
    <w:rsid w:val="00025963"/>
    <w:rsid w:val="00025C35"/>
    <w:rsid w:val="00025CA2"/>
    <w:rsid w:val="00025CE5"/>
    <w:rsid w:val="00025EFE"/>
    <w:rsid w:val="00026235"/>
    <w:rsid w:val="00026367"/>
    <w:rsid w:val="000263F2"/>
    <w:rsid w:val="0002646B"/>
    <w:rsid w:val="0002654D"/>
    <w:rsid w:val="000265EB"/>
    <w:rsid w:val="0002679B"/>
    <w:rsid w:val="0002686D"/>
    <w:rsid w:val="000268C7"/>
    <w:rsid w:val="00026955"/>
    <w:rsid w:val="00026A89"/>
    <w:rsid w:val="00026B2D"/>
    <w:rsid w:val="0002713D"/>
    <w:rsid w:val="00027318"/>
    <w:rsid w:val="000273D6"/>
    <w:rsid w:val="0002756C"/>
    <w:rsid w:val="000278D0"/>
    <w:rsid w:val="00027A59"/>
    <w:rsid w:val="00027AA6"/>
    <w:rsid w:val="000300EC"/>
    <w:rsid w:val="00030213"/>
    <w:rsid w:val="00030219"/>
    <w:rsid w:val="00030327"/>
    <w:rsid w:val="000305D5"/>
    <w:rsid w:val="00030861"/>
    <w:rsid w:val="000309F3"/>
    <w:rsid w:val="00030C50"/>
    <w:rsid w:val="00030E71"/>
    <w:rsid w:val="000316A0"/>
    <w:rsid w:val="00031905"/>
    <w:rsid w:val="00032029"/>
    <w:rsid w:val="00032079"/>
    <w:rsid w:val="0003207A"/>
    <w:rsid w:val="00032210"/>
    <w:rsid w:val="0003221D"/>
    <w:rsid w:val="000322EE"/>
    <w:rsid w:val="0003245E"/>
    <w:rsid w:val="000328D1"/>
    <w:rsid w:val="00032B0D"/>
    <w:rsid w:val="00032FDE"/>
    <w:rsid w:val="00033065"/>
    <w:rsid w:val="000338CC"/>
    <w:rsid w:val="00033A87"/>
    <w:rsid w:val="00033DA9"/>
    <w:rsid w:val="00033FA6"/>
    <w:rsid w:val="00033FBD"/>
    <w:rsid w:val="0003414C"/>
    <w:rsid w:val="00034166"/>
    <w:rsid w:val="0003432C"/>
    <w:rsid w:val="0003445E"/>
    <w:rsid w:val="00034B75"/>
    <w:rsid w:val="00034C28"/>
    <w:rsid w:val="00034FB7"/>
    <w:rsid w:val="00035043"/>
    <w:rsid w:val="00035332"/>
    <w:rsid w:val="00035431"/>
    <w:rsid w:val="000357E5"/>
    <w:rsid w:val="00035828"/>
    <w:rsid w:val="00035D46"/>
    <w:rsid w:val="0003604D"/>
    <w:rsid w:val="000362BB"/>
    <w:rsid w:val="00036379"/>
    <w:rsid w:val="00036901"/>
    <w:rsid w:val="00036977"/>
    <w:rsid w:val="00036B18"/>
    <w:rsid w:val="00036B66"/>
    <w:rsid w:val="00037078"/>
    <w:rsid w:val="000372F6"/>
    <w:rsid w:val="00037516"/>
    <w:rsid w:val="0003762E"/>
    <w:rsid w:val="00037680"/>
    <w:rsid w:val="000377B0"/>
    <w:rsid w:val="000377C8"/>
    <w:rsid w:val="0003797D"/>
    <w:rsid w:val="000379C6"/>
    <w:rsid w:val="00037DC4"/>
    <w:rsid w:val="00037EC8"/>
    <w:rsid w:val="000402C1"/>
    <w:rsid w:val="00040398"/>
    <w:rsid w:val="00040762"/>
    <w:rsid w:val="000409EF"/>
    <w:rsid w:val="00040AA1"/>
    <w:rsid w:val="00040B40"/>
    <w:rsid w:val="00040C08"/>
    <w:rsid w:val="00040CC1"/>
    <w:rsid w:val="00040E8B"/>
    <w:rsid w:val="00040F22"/>
    <w:rsid w:val="000411AD"/>
    <w:rsid w:val="000413D7"/>
    <w:rsid w:val="00041636"/>
    <w:rsid w:val="00041A0C"/>
    <w:rsid w:val="00041A2C"/>
    <w:rsid w:val="00041AF4"/>
    <w:rsid w:val="00041D16"/>
    <w:rsid w:val="00041F36"/>
    <w:rsid w:val="00042121"/>
    <w:rsid w:val="0004280E"/>
    <w:rsid w:val="00042A5C"/>
    <w:rsid w:val="00042D54"/>
    <w:rsid w:val="00042E55"/>
    <w:rsid w:val="00042EB0"/>
    <w:rsid w:val="00042F72"/>
    <w:rsid w:val="00043081"/>
    <w:rsid w:val="00043240"/>
    <w:rsid w:val="0004338A"/>
    <w:rsid w:val="00043B1F"/>
    <w:rsid w:val="00043B7B"/>
    <w:rsid w:val="00043B96"/>
    <w:rsid w:val="00043D50"/>
    <w:rsid w:val="00043DC7"/>
    <w:rsid w:val="00044223"/>
    <w:rsid w:val="000445A4"/>
    <w:rsid w:val="0004485D"/>
    <w:rsid w:val="000448C6"/>
    <w:rsid w:val="00044BC6"/>
    <w:rsid w:val="000450D8"/>
    <w:rsid w:val="000451B5"/>
    <w:rsid w:val="000456B8"/>
    <w:rsid w:val="0004581A"/>
    <w:rsid w:val="00045A65"/>
    <w:rsid w:val="00045DEC"/>
    <w:rsid w:val="00045F26"/>
    <w:rsid w:val="00045F70"/>
    <w:rsid w:val="00045FAC"/>
    <w:rsid w:val="000461E5"/>
    <w:rsid w:val="0004643F"/>
    <w:rsid w:val="0004670C"/>
    <w:rsid w:val="00046AB7"/>
    <w:rsid w:val="00046E88"/>
    <w:rsid w:val="000470F4"/>
    <w:rsid w:val="0004712D"/>
    <w:rsid w:val="0004720D"/>
    <w:rsid w:val="00047273"/>
    <w:rsid w:val="000473B7"/>
    <w:rsid w:val="00047518"/>
    <w:rsid w:val="00047570"/>
    <w:rsid w:val="000476AD"/>
    <w:rsid w:val="00047828"/>
    <w:rsid w:val="000478D9"/>
    <w:rsid w:val="00047992"/>
    <w:rsid w:val="00047C48"/>
    <w:rsid w:val="00047D21"/>
    <w:rsid w:val="0005095D"/>
    <w:rsid w:val="00050F3E"/>
    <w:rsid w:val="000512AF"/>
    <w:rsid w:val="000516B8"/>
    <w:rsid w:val="00051A36"/>
    <w:rsid w:val="0005216E"/>
    <w:rsid w:val="000525D1"/>
    <w:rsid w:val="00052974"/>
    <w:rsid w:val="00052C2D"/>
    <w:rsid w:val="00052FC7"/>
    <w:rsid w:val="000530C3"/>
    <w:rsid w:val="000530CC"/>
    <w:rsid w:val="00053153"/>
    <w:rsid w:val="00053373"/>
    <w:rsid w:val="0005363C"/>
    <w:rsid w:val="00053AA7"/>
    <w:rsid w:val="00053BE1"/>
    <w:rsid w:val="00053D32"/>
    <w:rsid w:val="00053D88"/>
    <w:rsid w:val="00053E5A"/>
    <w:rsid w:val="00054134"/>
    <w:rsid w:val="00054147"/>
    <w:rsid w:val="00054472"/>
    <w:rsid w:val="0005486C"/>
    <w:rsid w:val="000549DB"/>
    <w:rsid w:val="00054D8E"/>
    <w:rsid w:val="00055050"/>
    <w:rsid w:val="0005533E"/>
    <w:rsid w:val="000553E8"/>
    <w:rsid w:val="0005541E"/>
    <w:rsid w:val="0005578A"/>
    <w:rsid w:val="00055A3E"/>
    <w:rsid w:val="00055BC5"/>
    <w:rsid w:val="00055C8A"/>
    <w:rsid w:val="00055D07"/>
    <w:rsid w:val="00055E36"/>
    <w:rsid w:val="00056028"/>
    <w:rsid w:val="00056751"/>
    <w:rsid w:val="00056936"/>
    <w:rsid w:val="00056C9C"/>
    <w:rsid w:val="00056D48"/>
    <w:rsid w:val="000570FC"/>
    <w:rsid w:val="0005710F"/>
    <w:rsid w:val="00057138"/>
    <w:rsid w:val="0005737A"/>
    <w:rsid w:val="0005769C"/>
    <w:rsid w:val="000576AF"/>
    <w:rsid w:val="0005778E"/>
    <w:rsid w:val="000577DF"/>
    <w:rsid w:val="00057842"/>
    <w:rsid w:val="00057845"/>
    <w:rsid w:val="00057984"/>
    <w:rsid w:val="000579A0"/>
    <w:rsid w:val="00057C8A"/>
    <w:rsid w:val="00060084"/>
    <w:rsid w:val="00060707"/>
    <w:rsid w:val="00060859"/>
    <w:rsid w:val="00060B5F"/>
    <w:rsid w:val="00061064"/>
    <w:rsid w:val="00061447"/>
    <w:rsid w:val="000617B9"/>
    <w:rsid w:val="000617C5"/>
    <w:rsid w:val="000619D8"/>
    <w:rsid w:val="00061E85"/>
    <w:rsid w:val="00062166"/>
    <w:rsid w:val="000622AE"/>
    <w:rsid w:val="000623A3"/>
    <w:rsid w:val="0006247D"/>
    <w:rsid w:val="0006277F"/>
    <w:rsid w:val="00062BBD"/>
    <w:rsid w:val="00062C02"/>
    <w:rsid w:val="00062FB2"/>
    <w:rsid w:val="00063240"/>
    <w:rsid w:val="0006324E"/>
    <w:rsid w:val="0006380F"/>
    <w:rsid w:val="0006394E"/>
    <w:rsid w:val="00063B3E"/>
    <w:rsid w:val="00063B84"/>
    <w:rsid w:val="00063EA6"/>
    <w:rsid w:val="000643C7"/>
    <w:rsid w:val="00064AA9"/>
    <w:rsid w:val="00064B84"/>
    <w:rsid w:val="00064C1B"/>
    <w:rsid w:val="00064EEF"/>
    <w:rsid w:val="000652C2"/>
    <w:rsid w:val="00065320"/>
    <w:rsid w:val="00065627"/>
    <w:rsid w:val="000658F4"/>
    <w:rsid w:val="00065A49"/>
    <w:rsid w:val="000660A1"/>
    <w:rsid w:val="00066194"/>
    <w:rsid w:val="00066820"/>
    <w:rsid w:val="00066843"/>
    <w:rsid w:val="0006693A"/>
    <w:rsid w:val="00066B45"/>
    <w:rsid w:val="00066CF7"/>
    <w:rsid w:val="00066D1B"/>
    <w:rsid w:val="00066D54"/>
    <w:rsid w:val="00066EAD"/>
    <w:rsid w:val="000676F4"/>
    <w:rsid w:val="00067BFA"/>
    <w:rsid w:val="00067FDA"/>
    <w:rsid w:val="0007024F"/>
    <w:rsid w:val="0007043D"/>
    <w:rsid w:val="00070989"/>
    <w:rsid w:val="00070AAA"/>
    <w:rsid w:val="00070B25"/>
    <w:rsid w:val="00070EC6"/>
    <w:rsid w:val="00071286"/>
    <w:rsid w:val="0007178A"/>
    <w:rsid w:val="000717FC"/>
    <w:rsid w:val="00071BF7"/>
    <w:rsid w:val="00071D15"/>
    <w:rsid w:val="00071EAD"/>
    <w:rsid w:val="000720ED"/>
    <w:rsid w:val="000722B2"/>
    <w:rsid w:val="000722F6"/>
    <w:rsid w:val="00072396"/>
    <w:rsid w:val="00072685"/>
    <w:rsid w:val="0007297B"/>
    <w:rsid w:val="00072999"/>
    <w:rsid w:val="00072ADB"/>
    <w:rsid w:val="00072CC0"/>
    <w:rsid w:val="00072DC7"/>
    <w:rsid w:val="00073091"/>
    <w:rsid w:val="000738AE"/>
    <w:rsid w:val="00073962"/>
    <w:rsid w:val="00073B3A"/>
    <w:rsid w:val="00073D51"/>
    <w:rsid w:val="000740C5"/>
    <w:rsid w:val="000740D7"/>
    <w:rsid w:val="00074273"/>
    <w:rsid w:val="0007429A"/>
    <w:rsid w:val="00074DD5"/>
    <w:rsid w:val="00074F0D"/>
    <w:rsid w:val="000751A4"/>
    <w:rsid w:val="000759DE"/>
    <w:rsid w:val="00075BDA"/>
    <w:rsid w:val="00075BEB"/>
    <w:rsid w:val="00075CC1"/>
    <w:rsid w:val="00075E50"/>
    <w:rsid w:val="00075F59"/>
    <w:rsid w:val="000764BC"/>
    <w:rsid w:val="000765F0"/>
    <w:rsid w:val="00076BBF"/>
    <w:rsid w:val="0007700A"/>
    <w:rsid w:val="000771D5"/>
    <w:rsid w:val="000778D6"/>
    <w:rsid w:val="00077ADD"/>
    <w:rsid w:val="00080B73"/>
    <w:rsid w:val="00080CBA"/>
    <w:rsid w:val="00080EE8"/>
    <w:rsid w:val="00080F38"/>
    <w:rsid w:val="00080FA6"/>
    <w:rsid w:val="00081039"/>
    <w:rsid w:val="0008108B"/>
    <w:rsid w:val="00081138"/>
    <w:rsid w:val="00081385"/>
    <w:rsid w:val="00081516"/>
    <w:rsid w:val="000819AF"/>
    <w:rsid w:val="00081B4D"/>
    <w:rsid w:val="00081FB7"/>
    <w:rsid w:val="0008204A"/>
    <w:rsid w:val="0008217F"/>
    <w:rsid w:val="00082184"/>
    <w:rsid w:val="00082296"/>
    <w:rsid w:val="00082429"/>
    <w:rsid w:val="000824EB"/>
    <w:rsid w:val="000825E7"/>
    <w:rsid w:val="000827B5"/>
    <w:rsid w:val="00082901"/>
    <w:rsid w:val="00082E60"/>
    <w:rsid w:val="00082EA7"/>
    <w:rsid w:val="00082F03"/>
    <w:rsid w:val="000830AB"/>
    <w:rsid w:val="000830DC"/>
    <w:rsid w:val="0008358B"/>
    <w:rsid w:val="000836E2"/>
    <w:rsid w:val="000841CC"/>
    <w:rsid w:val="00084A2D"/>
    <w:rsid w:val="00084A73"/>
    <w:rsid w:val="00084B1D"/>
    <w:rsid w:val="00084BB3"/>
    <w:rsid w:val="00084D38"/>
    <w:rsid w:val="00084D88"/>
    <w:rsid w:val="00084F40"/>
    <w:rsid w:val="0008501F"/>
    <w:rsid w:val="00085193"/>
    <w:rsid w:val="000853F7"/>
    <w:rsid w:val="00085437"/>
    <w:rsid w:val="000854E1"/>
    <w:rsid w:val="00085558"/>
    <w:rsid w:val="00085649"/>
    <w:rsid w:val="00085711"/>
    <w:rsid w:val="00085FB4"/>
    <w:rsid w:val="00086427"/>
    <w:rsid w:val="0008655D"/>
    <w:rsid w:val="00086731"/>
    <w:rsid w:val="000867AF"/>
    <w:rsid w:val="000867C2"/>
    <w:rsid w:val="0008684A"/>
    <w:rsid w:val="00086896"/>
    <w:rsid w:val="000868D7"/>
    <w:rsid w:val="0008692F"/>
    <w:rsid w:val="00086B20"/>
    <w:rsid w:val="00086B45"/>
    <w:rsid w:val="00086EF6"/>
    <w:rsid w:val="0008720B"/>
    <w:rsid w:val="0008724B"/>
    <w:rsid w:val="000874E8"/>
    <w:rsid w:val="0008768B"/>
    <w:rsid w:val="000878A9"/>
    <w:rsid w:val="00087CF8"/>
    <w:rsid w:val="0009014F"/>
    <w:rsid w:val="00090502"/>
    <w:rsid w:val="00090563"/>
    <w:rsid w:val="000907C0"/>
    <w:rsid w:val="00090823"/>
    <w:rsid w:val="00090B0A"/>
    <w:rsid w:val="00090C25"/>
    <w:rsid w:val="00090C93"/>
    <w:rsid w:val="00090CC5"/>
    <w:rsid w:val="00090CCC"/>
    <w:rsid w:val="00091179"/>
    <w:rsid w:val="000913B7"/>
    <w:rsid w:val="0009147D"/>
    <w:rsid w:val="00091578"/>
    <w:rsid w:val="00091851"/>
    <w:rsid w:val="000918FC"/>
    <w:rsid w:val="00091A1D"/>
    <w:rsid w:val="00091BA4"/>
    <w:rsid w:val="00091BEC"/>
    <w:rsid w:val="000921B0"/>
    <w:rsid w:val="000921E4"/>
    <w:rsid w:val="00092A8B"/>
    <w:rsid w:val="00092EB2"/>
    <w:rsid w:val="0009324E"/>
    <w:rsid w:val="000934F3"/>
    <w:rsid w:val="000935D0"/>
    <w:rsid w:val="00093650"/>
    <w:rsid w:val="00093AC1"/>
    <w:rsid w:val="00094076"/>
    <w:rsid w:val="00094178"/>
    <w:rsid w:val="00094878"/>
    <w:rsid w:val="00094DF1"/>
    <w:rsid w:val="0009540F"/>
    <w:rsid w:val="00095B79"/>
    <w:rsid w:val="00095CEC"/>
    <w:rsid w:val="00095ECB"/>
    <w:rsid w:val="00096055"/>
    <w:rsid w:val="00096793"/>
    <w:rsid w:val="000968F1"/>
    <w:rsid w:val="00096B57"/>
    <w:rsid w:val="000970D1"/>
    <w:rsid w:val="0009722E"/>
    <w:rsid w:val="00097335"/>
    <w:rsid w:val="00097A2E"/>
    <w:rsid w:val="00097BE1"/>
    <w:rsid w:val="00097CBC"/>
    <w:rsid w:val="00097DF8"/>
    <w:rsid w:val="00097FEA"/>
    <w:rsid w:val="000A07F5"/>
    <w:rsid w:val="000A0889"/>
    <w:rsid w:val="000A0A33"/>
    <w:rsid w:val="000A0A9D"/>
    <w:rsid w:val="000A0BC2"/>
    <w:rsid w:val="000A0C21"/>
    <w:rsid w:val="000A128E"/>
    <w:rsid w:val="000A1460"/>
    <w:rsid w:val="000A1551"/>
    <w:rsid w:val="000A15AC"/>
    <w:rsid w:val="000A1647"/>
    <w:rsid w:val="000A1912"/>
    <w:rsid w:val="000A19D8"/>
    <w:rsid w:val="000A1BF4"/>
    <w:rsid w:val="000A2224"/>
    <w:rsid w:val="000A2313"/>
    <w:rsid w:val="000A2476"/>
    <w:rsid w:val="000A26A5"/>
    <w:rsid w:val="000A26D2"/>
    <w:rsid w:val="000A296B"/>
    <w:rsid w:val="000A2A80"/>
    <w:rsid w:val="000A2B5E"/>
    <w:rsid w:val="000A2C61"/>
    <w:rsid w:val="000A2DF4"/>
    <w:rsid w:val="000A34AC"/>
    <w:rsid w:val="000A398A"/>
    <w:rsid w:val="000A3C2D"/>
    <w:rsid w:val="000A3C52"/>
    <w:rsid w:val="000A3EFC"/>
    <w:rsid w:val="000A3F07"/>
    <w:rsid w:val="000A4184"/>
    <w:rsid w:val="000A43DE"/>
    <w:rsid w:val="000A4453"/>
    <w:rsid w:val="000A4485"/>
    <w:rsid w:val="000A4B83"/>
    <w:rsid w:val="000A56BD"/>
    <w:rsid w:val="000A5F4B"/>
    <w:rsid w:val="000A5FFC"/>
    <w:rsid w:val="000A6036"/>
    <w:rsid w:val="000A606E"/>
    <w:rsid w:val="000A63F4"/>
    <w:rsid w:val="000A6909"/>
    <w:rsid w:val="000A6A22"/>
    <w:rsid w:val="000A6ADF"/>
    <w:rsid w:val="000A6BCB"/>
    <w:rsid w:val="000A6CBD"/>
    <w:rsid w:val="000A6EC9"/>
    <w:rsid w:val="000A709C"/>
    <w:rsid w:val="000A72E6"/>
    <w:rsid w:val="000A7485"/>
    <w:rsid w:val="000A75D9"/>
    <w:rsid w:val="000A77D8"/>
    <w:rsid w:val="000A783D"/>
    <w:rsid w:val="000A7F40"/>
    <w:rsid w:val="000A7FD3"/>
    <w:rsid w:val="000A7FE5"/>
    <w:rsid w:val="000B041E"/>
    <w:rsid w:val="000B0D72"/>
    <w:rsid w:val="000B0ED5"/>
    <w:rsid w:val="000B1000"/>
    <w:rsid w:val="000B13DB"/>
    <w:rsid w:val="000B14B4"/>
    <w:rsid w:val="000B1652"/>
    <w:rsid w:val="000B187B"/>
    <w:rsid w:val="000B1B1C"/>
    <w:rsid w:val="000B1B80"/>
    <w:rsid w:val="000B1FE0"/>
    <w:rsid w:val="000B1FE9"/>
    <w:rsid w:val="000B236E"/>
    <w:rsid w:val="000B2DB6"/>
    <w:rsid w:val="000B316B"/>
    <w:rsid w:val="000B3263"/>
    <w:rsid w:val="000B3330"/>
    <w:rsid w:val="000B33A4"/>
    <w:rsid w:val="000B345F"/>
    <w:rsid w:val="000B3BF6"/>
    <w:rsid w:val="000B3E4F"/>
    <w:rsid w:val="000B3E69"/>
    <w:rsid w:val="000B40E9"/>
    <w:rsid w:val="000B493E"/>
    <w:rsid w:val="000B4D69"/>
    <w:rsid w:val="000B4DD7"/>
    <w:rsid w:val="000B4E25"/>
    <w:rsid w:val="000B5275"/>
    <w:rsid w:val="000B54F1"/>
    <w:rsid w:val="000B5C0A"/>
    <w:rsid w:val="000B5F40"/>
    <w:rsid w:val="000B66AD"/>
    <w:rsid w:val="000B6F1D"/>
    <w:rsid w:val="000B73BE"/>
    <w:rsid w:val="000B7485"/>
    <w:rsid w:val="000B77C1"/>
    <w:rsid w:val="000B7845"/>
    <w:rsid w:val="000B79D1"/>
    <w:rsid w:val="000B79E6"/>
    <w:rsid w:val="000B7E2F"/>
    <w:rsid w:val="000C003C"/>
    <w:rsid w:val="000C045B"/>
    <w:rsid w:val="000C0532"/>
    <w:rsid w:val="000C08BC"/>
    <w:rsid w:val="000C0A6E"/>
    <w:rsid w:val="000C0BCD"/>
    <w:rsid w:val="000C0BE9"/>
    <w:rsid w:val="000C0F16"/>
    <w:rsid w:val="000C0F48"/>
    <w:rsid w:val="000C10E8"/>
    <w:rsid w:val="000C12DD"/>
    <w:rsid w:val="000C158B"/>
    <w:rsid w:val="000C18FC"/>
    <w:rsid w:val="000C19B8"/>
    <w:rsid w:val="000C1C00"/>
    <w:rsid w:val="000C1C8A"/>
    <w:rsid w:val="000C1CC2"/>
    <w:rsid w:val="000C1D31"/>
    <w:rsid w:val="000C1DA1"/>
    <w:rsid w:val="000C1EE9"/>
    <w:rsid w:val="000C25B3"/>
    <w:rsid w:val="000C27A5"/>
    <w:rsid w:val="000C2A39"/>
    <w:rsid w:val="000C2DED"/>
    <w:rsid w:val="000C2F0B"/>
    <w:rsid w:val="000C30D4"/>
    <w:rsid w:val="000C314A"/>
    <w:rsid w:val="000C3329"/>
    <w:rsid w:val="000C3336"/>
    <w:rsid w:val="000C3361"/>
    <w:rsid w:val="000C378C"/>
    <w:rsid w:val="000C39F9"/>
    <w:rsid w:val="000C3C94"/>
    <w:rsid w:val="000C3CF9"/>
    <w:rsid w:val="000C3F63"/>
    <w:rsid w:val="000C4208"/>
    <w:rsid w:val="000C42C0"/>
    <w:rsid w:val="000C45B0"/>
    <w:rsid w:val="000C4778"/>
    <w:rsid w:val="000C4A25"/>
    <w:rsid w:val="000C4AFB"/>
    <w:rsid w:val="000C4F54"/>
    <w:rsid w:val="000C51BC"/>
    <w:rsid w:val="000C51ED"/>
    <w:rsid w:val="000C521E"/>
    <w:rsid w:val="000C5245"/>
    <w:rsid w:val="000C5604"/>
    <w:rsid w:val="000C5A46"/>
    <w:rsid w:val="000C5AA1"/>
    <w:rsid w:val="000C5F5F"/>
    <w:rsid w:val="000C6038"/>
    <w:rsid w:val="000C6322"/>
    <w:rsid w:val="000C64DC"/>
    <w:rsid w:val="000C656B"/>
    <w:rsid w:val="000C6652"/>
    <w:rsid w:val="000C67F7"/>
    <w:rsid w:val="000C686E"/>
    <w:rsid w:val="000C6B94"/>
    <w:rsid w:val="000C6E08"/>
    <w:rsid w:val="000C6E3C"/>
    <w:rsid w:val="000C7581"/>
    <w:rsid w:val="000C763D"/>
    <w:rsid w:val="000C7C3A"/>
    <w:rsid w:val="000C7D07"/>
    <w:rsid w:val="000C7D48"/>
    <w:rsid w:val="000D00AA"/>
    <w:rsid w:val="000D02FE"/>
    <w:rsid w:val="000D033D"/>
    <w:rsid w:val="000D045A"/>
    <w:rsid w:val="000D0724"/>
    <w:rsid w:val="000D0B52"/>
    <w:rsid w:val="000D0B8A"/>
    <w:rsid w:val="000D0D31"/>
    <w:rsid w:val="000D0EBB"/>
    <w:rsid w:val="000D0F7F"/>
    <w:rsid w:val="000D1039"/>
    <w:rsid w:val="000D108F"/>
    <w:rsid w:val="000D10E5"/>
    <w:rsid w:val="000D11FB"/>
    <w:rsid w:val="000D12A2"/>
    <w:rsid w:val="000D134D"/>
    <w:rsid w:val="000D1506"/>
    <w:rsid w:val="000D19D5"/>
    <w:rsid w:val="000D1BCC"/>
    <w:rsid w:val="000D1D57"/>
    <w:rsid w:val="000D1D85"/>
    <w:rsid w:val="000D1F57"/>
    <w:rsid w:val="000D2673"/>
    <w:rsid w:val="000D267E"/>
    <w:rsid w:val="000D29D0"/>
    <w:rsid w:val="000D2A66"/>
    <w:rsid w:val="000D2FE9"/>
    <w:rsid w:val="000D3052"/>
    <w:rsid w:val="000D30A1"/>
    <w:rsid w:val="000D30D0"/>
    <w:rsid w:val="000D3371"/>
    <w:rsid w:val="000D3568"/>
    <w:rsid w:val="000D379F"/>
    <w:rsid w:val="000D398A"/>
    <w:rsid w:val="000D3A85"/>
    <w:rsid w:val="000D3ABF"/>
    <w:rsid w:val="000D3DE6"/>
    <w:rsid w:val="000D3F1A"/>
    <w:rsid w:val="000D4143"/>
    <w:rsid w:val="000D43D0"/>
    <w:rsid w:val="000D4438"/>
    <w:rsid w:val="000D4446"/>
    <w:rsid w:val="000D4A9B"/>
    <w:rsid w:val="000D4B89"/>
    <w:rsid w:val="000D4E3A"/>
    <w:rsid w:val="000D5058"/>
    <w:rsid w:val="000D518C"/>
    <w:rsid w:val="000D5AC8"/>
    <w:rsid w:val="000D5E49"/>
    <w:rsid w:val="000D6472"/>
    <w:rsid w:val="000D65CD"/>
    <w:rsid w:val="000D671A"/>
    <w:rsid w:val="000D6969"/>
    <w:rsid w:val="000D69FF"/>
    <w:rsid w:val="000D6A5B"/>
    <w:rsid w:val="000D6DB7"/>
    <w:rsid w:val="000D73AF"/>
    <w:rsid w:val="000D7808"/>
    <w:rsid w:val="000D79FF"/>
    <w:rsid w:val="000D7FE5"/>
    <w:rsid w:val="000E0162"/>
    <w:rsid w:val="000E02F9"/>
    <w:rsid w:val="000E07B1"/>
    <w:rsid w:val="000E0840"/>
    <w:rsid w:val="000E099B"/>
    <w:rsid w:val="000E11DE"/>
    <w:rsid w:val="000E13E9"/>
    <w:rsid w:val="000E1740"/>
    <w:rsid w:val="000E1E3F"/>
    <w:rsid w:val="000E20AE"/>
    <w:rsid w:val="000E2139"/>
    <w:rsid w:val="000E22A9"/>
    <w:rsid w:val="000E28E3"/>
    <w:rsid w:val="000E2934"/>
    <w:rsid w:val="000E2B66"/>
    <w:rsid w:val="000E2C5A"/>
    <w:rsid w:val="000E2E59"/>
    <w:rsid w:val="000E3245"/>
    <w:rsid w:val="000E3448"/>
    <w:rsid w:val="000E39B7"/>
    <w:rsid w:val="000E3ED6"/>
    <w:rsid w:val="000E40A6"/>
    <w:rsid w:val="000E417E"/>
    <w:rsid w:val="000E4297"/>
    <w:rsid w:val="000E47F5"/>
    <w:rsid w:val="000E4CA3"/>
    <w:rsid w:val="000E4F43"/>
    <w:rsid w:val="000E5384"/>
    <w:rsid w:val="000E5461"/>
    <w:rsid w:val="000E567C"/>
    <w:rsid w:val="000E568C"/>
    <w:rsid w:val="000E56C6"/>
    <w:rsid w:val="000E6412"/>
    <w:rsid w:val="000E6599"/>
    <w:rsid w:val="000E65AE"/>
    <w:rsid w:val="000E6621"/>
    <w:rsid w:val="000E6844"/>
    <w:rsid w:val="000E6A1C"/>
    <w:rsid w:val="000E6E2B"/>
    <w:rsid w:val="000E6F19"/>
    <w:rsid w:val="000E72B0"/>
    <w:rsid w:val="000E750A"/>
    <w:rsid w:val="000E76FC"/>
    <w:rsid w:val="000E7B10"/>
    <w:rsid w:val="000F0186"/>
    <w:rsid w:val="000F03CD"/>
    <w:rsid w:val="000F0FBE"/>
    <w:rsid w:val="000F1003"/>
    <w:rsid w:val="000F1375"/>
    <w:rsid w:val="000F1408"/>
    <w:rsid w:val="000F1442"/>
    <w:rsid w:val="000F1581"/>
    <w:rsid w:val="000F17CD"/>
    <w:rsid w:val="000F19F4"/>
    <w:rsid w:val="000F1D86"/>
    <w:rsid w:val="000F2048"/>
    <w:rsid w:val="000F20FD"/>
    <w:rsid w:val="000F23A8"/>
    <w:rsid w:val="000F2D0D"/>
    <w:rsid w:val="000F2DA1"/>
    <w:rsid w:val="000F30CC"/>
    <w:rsid w:val="000F3299"/>
    <w:rsid w:val="000F34E0"/>
    <w:rsid w:val="000F35ED"/>
    <w:rsid w:val="000F4145"/>
    <w:rsid w:val="000F41AF"/>
    <w:rsid w:val="000F41F4"/>
    <w:rsid w:val="000F486C"/>
    <w:rsid w:val="000F4A5E"/>
    <w:rsid w:val="000F4A76"/>
    <w:rsid w:val="000F4CAA"/>
    <w:rsid w:val="000F4EEA"/>
    <w:rsid w:val="000F4F08"/>
    <w:rsid w:val="000F4FA8"/>
    <w:rsid w:val="000F560E"/>
    <w:rsid w:val="000F639B"/>
    <w:rsid w:val="000F642B"/>
    <w:rsid w:val="000F666F"/>
    <w:rsid w:val="000F6897"/>
    <w:rsid w:val="000F6A16"/>
    <w:rsid w:val="000F6A6D"/>
    <w:rsid w:val="000F6B2F"/>
    <w:rsid w:val="000F6BDF"/>
    <w:rsid w:val="000F6C48"/>
    <w:rsid w:val="000F6DB9"/>
    <w:rsid w:val="000F6EFB"/>
    <w:rsid w:val="000F6FD0"/>
    <w:rsid w:val="000F71EA"/>
    <w:rsid w:val="000F755D"/>
    <w:rsid w:val="000F7636"/>
    <w:rsid w:val="000F7B6F"/>
    <w:rsid w:val="000F7F66"/>
    <w:rsid w:val="000F7FCB"/>
    <w:rsid w:val="001000E5"/>
    <w:rsid w:val="001001B0"/>
    <w:rsid w:val="00100609"/>
    <w:rsid w:val="001007B5"/>
    <w:rsid w:val="00100C5B"/>
    <w:rsid w:val="001010E0"/>
    <w:rsid w:val="00101327"/>
    <w:rsid w:val="0010148A"/>
    <w:rsid w:val="00102208"/>
    <w:rsid w:val="001022B5"/>
    <w:rsid w:val="0010238A"/>
    <w:rsid w:val="00102459"/>
    <w:rsid w:val="001024CD"/>
    <w:rsid w:val="0010284C"/>
    <w:rsid w:val="00102887"/>
    <w:rsid w:val="001028FB"/>
    <w:rsid w:val="00102956"/>
    <w:rsid w:val="00102CE3"/>
    <w:rsid w:val="00102CFE"/>
    <w:rsid w:val="00102EEC"/>
    <w:rsid w:val="00103030"/>
    <w:rsid w:val="00103646"/>
    <w:rsid w:val="001038DA"/>
    <w:rsid w:val="00103A11"/>
    <w:rsid w:val="00103C08"/>
    <w:rsid w:val="00103F17"/>
    <w:rsid w:val="00103FC3"/>
    <w:rsid w:val="001042F2"/>
    <w:rsid w:val="00104530"/>
    <w:rsid w:val="00104838"/>
    <w:rsid w:val="00104928"/>
    <w:rsid w:val="00104B59"/>
    <w:rsid w:val="001051D9"/>
    <w:rsid w:val="001054FC"/>
    <w:rsid w:val="0010564D"/>
    <w:rsid w:val="0010567D"/>
    <w:rsid w:val="00105696"/>
    <w:rsid w:val="00105B74"/>
    <w:rsid w:val="00105C43"/>
    <w:rsid w:val="00106156"/>
    <w:rsid w:val="00106230"/>
    <w:rsid w:val="0010628C"/>
    <w:rsid w:val="00106606"/>
    <w:rsid w:val="00106798"/>
    <w:rsid w:val="00106853"/>
    <w:rsid w:val="00106A13"/>
    <w:rsid w:val="00106CA2"/>
    <w:rsid w:val="0010733E"/>
    <w:rsid w:val="00107414"/>
    <w:rsid w:val="00110533"/>
    <w:rsid w:val="001106D2"/>
    <w:rsid w:val="00110811"/>
    <w:rsid w:val="001108EC"/>
    <w:rsid w:val="0011092F"/>
    <w:rsid w:val="00110A8F"/>
    <w:rsid w:val="00110B20"/>
    <w:rsid w:val="00110B6E"/>
    <w:rsid w:val="00110E57"/>
    <w:rsid w:val="00110F15"/>
    <w:rsid w:val="00110F62"/>
    <w:rsid w:val="0011137C"/>
    <w:rsid w:val="0011139E"/>
    <w:rsid w:val="001117D2"/>
    <w:rsid w:val="00111854"/>
    <w:rsid w:val="001118D8"/>
    <w:rsid w:val="00111943"/>
    <w:rsid w:val="00111BBB"/>
    <w:rsid w:val="00111C26"/>
    <w:rsid w:val="00111D11"/>
    <w:rsid w:val="00111D7F"/>
    <w:rsid w:val="00111DEB"/>
    <w:rsid w:val="00111E6C"/>
    <w:rsid w:val="00111FF3"/>
    <w:rsid w:val="001121B1"/>
    <w:rsid w:val="001122B1"/>
    <w:rsid w:val="0011234B"/>
    <w:rsid w:val="001123D6"/>
    <w:rsid w:val="001126B9"/>
    <w:rsid w:val="00112756"/>
    <w:rsid w:val="00112F41"/>
    <w:rsid w:val="0011319A"/>
    <w:rsid w:val="00113743"/>
    <w:rsid w:val="00113D6C"/>
    <w:rsid w:val="00114054"/>
    <w:rsid w:val="001148A6"/>
    <w:rsid w:val="00114C1A"/>
    <w:rsid w:val="00114DF4"/>
    <w:rsid w:val="00114EF9"/>
    <w:rsid w:val="00114FA0"/>
    <w:rsid w:val="00114FB6"/>
    <w:rsid w:val="00114FD1"/>
    <w:rsid w:val="00115267"/>
    <w:rsid w:val="001153DC"/>
    <w:rsid w:val="00115C7E"/>
    <w:rsid w:val="00115CDB"/>
    <w:rsid w:val="00116263"/>
    <w:rsid w:val="001162D6"/>
    <w:rsid w:val="001162FA"/>
    <w:rsid w:val="00116550"/>
    <w:rsid w:val="001165E9"/>
    <w:rsid w:val="00116675"/>
    <w:rsid w:val="001168F8"/>
    <w:rsid w:val="0011696D"/>
    <w:rsid w:val="00116A46"/>
    <w:rsid w:val="00116CCD"/>
    <w:rsid w:val="0011703A"/>
    <w:rsid w:val="0011741D"/>
    <w:rsid w:val="00117486"/>
    <w:rsid w:val="00117527"/>
    <w:rsid w:val="0011783C"/>
    <w:rsid w:val="00117B2A"/>
    <w:rsid w:val="00117C44"/>
    <w:rsid w:val="00117CE0"/>
    <w:rsid w:val="00120073"/>
    <w:rsid w:val="00120537"/>
    <w:rsid w:val="00120C44"/>
    <w:rsid w:val="00120C54"/>
    <w:rsid w:val="0012133B"/>
    <w:rsid w:val="00121396"/>
    <w:rsid w:val="00121475"/>
    <w:rsid w:val="00121823"/>
    <w:rsid w:val="00121B47"/>
    <w:rsid w:val="0012236D"/>
    <w:rsid w:val="001223E0"/>
    <w:rsid w:val="001228A0"/>
    <w:rsid w:val="00122E01"/>
    <w:rsid w:val="00123032"/>
    <w:rsid w:val="001236C6"/>
    <w:rsid w:val="001237DE"/>
    <w:rsid w:val="00123A52"/>
    <w:rsid w:val="00123AE0"/>
    <w:rsid w:val="00123B65"/>
    <w:rsid w:val="00123D2C"/>
    <w:rsid w:val="00123E63"/>
    <w:rsid w:val="00124064"/>
    <w:rsid w:val="001241DA"/>
    <w:rsid w:val="001242D2"/>
    <w:rsid w:val="001243E7"/>
    <w:rsid w:val="001248D3"/>
    <w:rsid w:val="001249E1"/>
    <w:rsid w:val="00124C3D"/>
    <w:rsid w:val="00124DD8"/>
    <w:rsid w:val="00124DE7"/>
    <w:rsid w:val="001251E8"/>
    <w:rsid w:val="00125761"/>
    <w:rsid w:val="001257B6"/>
    <w:rsid w:val="00125B7B"/>
    <w:rsid w:val="00125E39"/>
    <w:rsid w:val="00125EF9"/>
    <w:rsid w:val="00126045"/>
    <w:rsid w:val="001263E0"/>
    <w:rsid w:val="00126506"/>
    <w:rsid w:val="0012662C"/>
    <w:rsid w:val="00126A27"/>
    <w:rsid w:val="00126B0F"/>
    <w:rsid w:val="00126BF3"/>
    <w:rsid w:val="00126CC3"/>
    <w:rsid w:val="00126EFC"/>
    <w:rsid w:val="00126FF5"/>
    <w:rsid w:val="00127164"/>
    <w:rsid w:val="0012750E"/>
    <w:rsid w:val="00127A7C"/>
    <w:rsid w:val="001300BB"/>
    <w:rsid w:val="00130336"/>
    <w:rsid w:val="00130507"/>
    <w:rsid w:val="00130757"/>
    <w:rsid w:val="00130876"/>
    <w:rsid w:val="00130A73"/>
    <w:rsid w:val="00130BD8"/>
    <w:rsid w:val="00130CD0"/>
    <w:rsid w:val="00130F24"/>
    <w:rsid w:val="00130FDC"/>
    <w:rsid w:val="00131120"/>
    <w:rsid w:val="0013136F"/>
    <w:rsid w:val="00131D0E"/>
    <w:rsid w:val="001322DF"/>
    <w:rsid w:val="00132345"/>
    <w:rsid w:val="0013280F"/>
    <w:rsid w:val="00132825"/>
    <w:rsid w:val="00132A6C"/>
    <w:rsid w:val="00132C49"/>
    <w:rsid w:val="00133488"/>
    <w:rsid w:val="001336A6"/>
    <w:rsid w:val="0013378A"/>
    <w:rsid w:val="00133845"/>
    <w:rsid w:val="00133ABB"/>
    <w:rsid w:val="00133B57"/>
    <w:rsid w:val="00133E4C"/>
    <w:rsid w:val="00133E4D"/>
    <w:rsid w:val="00133F4E"/>
    <w:rsid w:val="001341AF"/>
    <w:rsid w:val="001342CB"/>
    <w:rsid w:val="00134570"/>
    <w:rsid w:val="00134643"/>
    <w:rsid w:val="001346B4"/>
    <w:rsid w:val="00134C23"/>
    <w:rsid w:val="00134C2B"/>
    <w:rsid w:val="001354AF"/>
    <w:rsid w:val="00135643"/>
    <w:rsid w:val="0013614B"/>
    <w:rsid w:val="00136227"/>
    <w:rsid w:val="001362FB"/>
    <w:rsid w:val="0013647F"/>
    <w:rsid w:val="0013659B"/>
    <w:rsid w:val="001366FF"/>
    <w:rsid w:val="001367DC"/>
    <w:rsid w:val="001368FA"/>
    <w:rsid w:val="00136DDB"/>
    <w:rsid w:val="00136E25"/>
    <w:rsid w:val="00136F21"/>
    <w:rsid w:val="001371F1"/>
    <w:rsid w:val="00137365"/>
    <w:rsid w:val="00137591"/>
    <w:rsid w:val="0013767F"/>
    <w:rsid w:val="001378C9"/>
    <w:rsid w:val="001378DA"/>
    <w:rsid w:val="00137B36"/>
    <w:rsid w:val="00137E66"/>
    <w:rsid w:val="00137E6A"/>
    <w:rsid w:val="0014018E"/>
    <w:rsid w:val="00140397"/>
    <w:rsid w:val="001406CF"/>
    <w:rsid w:val="00140849"/>
    <w:rsid w:val="00140A12"/>
    <w:rsid w:val="00140CC6"/>
    <w:rsid w:val="001410F0"/>
    <w:rsid w:val="00141129"/>
    <w:rsid w:val="00141157"/>
    <w:rsid w:val="001411B0"/>
    <w:rsid w:val="00141CB9"/>
    <w:rsid w:val="001425C1"/>
    <w:rsid w:val="00142A57"/>
    <w:rsid w:val="00142AC5"/>
    <w:rsid w:val="00142BDE"/>
    <w:rsid w:val="00142EA8"/>
    <w:rsid w:val="00142F28"/>
    <w:rsid w:val="0014322C"/>
    <w:rsid w:val="00143847"/>
    <w:rsid w:val="00143D12"/>
    <w:rsid w:val="001444E1"/>
    <w:rsid w:val="0014459F"/>
    <w:rsid w:val="00144697"/>
    <w:rsid w:val="0014469A"/>
    <w:rsid w:val="00144718"/>
    <w:rsid w:val="00144EAB"/>
    <w:rsid w:val="00145586"/>
    <w:rsid w:val="001455C9"/>
    <w:rsid w:val="001457C6"/>
    <w:rsid w:val="001457D7"/>
    <w:rsid w:val="00145B55"/>
    <w:rsid w:val="00145C81"/>
    <w:rsid w:val="00145D21"/>
    <w:rsid w:val="00145E9A"/>
    <w:rsid w:val="00146025"/>
    <w:rsid w:val="00146035"/>
    <w:rsid w:val="00146188"/>
    <w:rsid w:val="001463E5"/>
    <w:rsid w:val="00146429"/>
    <w:rsid w:val="0014648D"/>
    <w:rsid w:val="001465B9"/>
    <w:rsid w:val="0014685D"/>
    <w:rsid w:val="00146FDC"/>
    <w:rsid w:val="001472B4"/>
    <w:rsid w:val="00147332"/>
    <w:rsid w:val="0014771C"/>
    <w:rsid w:val="00147835"/>
    <w:rsid w:val="00147920"/>
    <w:rsid w:val="00147935"/>
    <w:rsid w:val="00147A6B"/>
    <w:rsid w:val="00147B59"/>
    <w:rsid w:val="00147B5A"/>
    <w:rsid w:val="001506E7"/>
    <w:rsid w:val="001509AE"/>
    <w:rsid w:val="00150A43"/>
    <w:rsid w:val="001513A4"/>
    <w:rsid w:val="001513C2"/>
    <w:rsid w:val="00151B4F"/>
    <w:rsid w:val="00151FB4"/>
    <w:rsid w:val="001520AC"/>
    <w:rsid w:val="001528D9"/>
    <w:rsid w:val="001528E5"/>
    <w:rsid w:val="001536AD"/>
    <w:rsid w:val="00153851"/>
    <w:rsid w:val="001538B6"/>
    <w:rsid w:val="00153CEF"/>
    <w:rsid w:val="00153FE5"/>
    <w:rsid w:val="0015435A"/>
    <w:rsid w:val="0015439C"/>
    <w:rsid w:val="00154678"/>
    <w:rsid w:val="00154D8B"/>
    <w:rsid w:val="00154F0E"/>
    <w:rsid w:val="0015556D"/>
    <w:rsid w:val="00155680"/>
    <w:rsid w:val="0015576C"/>
    <w:rsid w:val="00155A73"/>
    <w:rsid w:val="00155B44"/>
    <w:rsid w:val="00156212"/>
    <w:rsid w:val="001562DA"/>
    <w:rsid w:val="00156373"/>
    <w:rsid w:val="00156C24"/>
    <w:rsid w:val="00156F12"/>
    <w:rsid w:val="00157200"/>
    <w:rsid w:val="001572EB"/>
    <w:rsid w:val="001573EA"/>
    <w:rsid w:val="0015753E"/>
    <w:rsid w:val="0015794B"/>
    <w:rsid w:val="00157C50"/>
    <w:rsid w:val="00157D7E"/>
    <w:rsid w:val="00157E39"/>
    <w:rsid w:val="00160079"/>
    <w:rsid w:val="00160434"/>
    <w:rsid w:val="0016044E"/>
    <w:rsid w:val="0016061D"/>
    <w:rsid w:val="0016085C"/>
    <w:rsid w:val="00160E27"/>
    <w:rsid w:val="00161161"/>
    <w:rsid w:val="001613DC"/>
    <w:rsid w:val="001617D0"/>
    <w:rsid w:val="0016209F"/>
    <w:rsid w:val="001625A1"/>
    <w:rsid w:val="00162824"/>
    <w:rsid w:val="001628BB"/>
    <w:rsid w:val="00162EDA"/>
    <w:rsid w:val="001630A7"/>
    <w:rsid w:val="0016317E"/>
    <w:rsid w:val="00163420"/>
    <w:rsid w:val="001634E3"/>
    <w:rsid w:val="00163690"/>
    <w:rsid w:val="001639AA"/>
    <w:rsid w:val="001639AD"/>
    <w:rsid w:val="00163DFB"/>
    <w:rsid w:val="0016439D"/>
    <w:rsid w:val="001644D2"/>
    <w:rsid w:val="001644FF"/>
    <w:rsid w:val="0016456D"/>
    <w:rsid w:val="0016480F"/>
    <w:rsid w:val="001648B0"/>
    <w:rsid w:val="001648D4"/>
    <w:rsid w:val="0016493D"/>
    <w:rsid w:val="00164CE2"/>
    <w:rsid w:val="001652EE"/>
    <w:rsid w:val="00165346"/>
    <w:rsid w:val="001653D2"/>
    <w:rsid w:val="001653D3"/>
    <w:rsid w:val="00165573"/>
    <w:rsid w:val="0016574B"/>
    <w:rsid w:val="00165873"/>
    <w:rsid w:val="001659B6"/>
    <w:rsid w:val="001659CB"/>
    <w:rsid w:val="001659D4"/>
    <w:rsid w:val="00165E92"/>
    <w:rsid w:val="001661A1"/>
    <w:rsid w:val="00166211"/>
    <w:rsid w:val="00166992"/>
    <w:rsid w:val="00166B36"/>
    <w:rsid w:val="00166BD5"/>
    <w:rsid w:val="00166CAA"/>
    <w:rsid w:val="0016705B"/>
    <w:rsid w:val="001671A1"/>
    <w:rsid w:val="00167665"/>
    <w:rsid w:val="001676CC"/>
    <w:rsid w:val="00167B57"/>
    <w:rsid w:val="00167CD9"/>
    <w:rsid w:val="00167E6A"/>
    <w:rsid w:val="00170098"/>
    <w:rsid w:val="0017024E"/>
    <w:rsid w:val="0017026C"/>
    <w:rsid w:val="0017079D"/>
    <w:rsid w:val="0017094A"/>
    <w:rsid w:val="001709DD"/>
    <w:rsid w:val="00170AFC"/>
    <w:rsid w:val="00170E4C"/>
    <w:rsid w:val="001710C9"/>
    <w:rsid w:val="00171631"/>
    <w:rsid w:val="00171A5F"/>
    <w:rsid w:val="00171B45"/>
    <w:rsid w:val="001722F0"/>
    <w:rsid w:val="00172552"/>
    <w:rsid w:val="00172660"/>
    <w:rsid w:val="00172EDF"/>
    <w:rsid w:val="0017307F"/>
    <w:rsid w:val="001733FE"/>
    <w:rsid w:val="0017374A"/>
    <w:rsid w:val="00173804"/>
    <w:rsid w:val="001738C3"/>
    <w:rsid w:val="001738DF"/>
    <w:rsid w:val="0017426A"/>
    <w:rsid w:val="00174287"/>
    <w:rsid w:val="001744EE"/>
    <w:rsid w:val="0017489E"/>
    <w:rsid w:val="00174C79"/>
    <w:rsid w:val="00174D76"/>
    <w:rsid w:val="0017516C"/>
    <w:rsid w:val="001751DD"/>
    <w:rsid w:val="0017541D"/>
    <w:rsid w:val="0017549E"/>
    <w:rsid w:val="00175572"/>
    <w:rsid w:val="00175643"/>
    <w:rsid w:val="0017598F"/>
    <w:rsid w:val="00175D40"/>
    <w:rsid w:val="00176132"/>
    <w:rsid w:val="001762D8"/>
    <w:rsid w:val="00176A14"/>
    <w:rsid w:val="00176D6A"/>
    <w:rsid w:val="00177442"/>
    <w:rsid w:val="001776B7"/>
    <w:rsid w:val="0017790E"/>
    <w:rsid w:val="00177963"/>
    <w:rsid w:val="00177C3B"/>
    <w:rsid w:val="00177CC5"/>
    <w:rsid w:val="0018067D"/>
    <w:rsid w:val="00180850"/>
    <w:rsid w:val="001808FE"/>
    <w:rsid w:val="001809DF"/>
    <w:rsid w:val="00181164"/>
    <w:rsid w:val="001811EA"/>
    <w:rsid w:val="00181280"/>
    <w:rsid w:val="001812B4"/>
    <w:rsid w:val="0018131F"/>
    <w:rsid w:val="00181A42"/>
    <w:rsid w:val="00181C66"/>
    <w:rsid w:val="00181DF7"/>
    <w:rsid w:val="00181FCA"/>
    <w:rsid w:val="0018217A"/>
    <w:rsid w:val="00182257"/>
    <w:rsid w:val="001823DF"/>
    <w:rsid w:val="00182415"/>
    <w:rsid w:val="001827AA"/>
    <w:rsid w:val="00182807"/>
    <w:rsid w:val="00182B5F"/>
    <w:rsid w:val="00182D9E"/>
    <w:rsid w:val="00183398"/>
    <w:rsid w:val="001833FD"/>
    <w:rsid w:val="00183F3E"/>
    <w:rsid w:val="00184261"/>
    <w:rsid w:val="001843A4"/>
    <w:rsid w:val="00184450"/>
    <w:rsid w:val="001848CA"/>
    <w:rsid w:val="00184E64"/>
    <w:rsid w:val="00185179"/>
    <w:rsid w:val="00185776"/>
    <w:rsid w:val="001857F4"/>
    <w:rsid w:val="00185E30"/>
    <w:rsid w:val="00185FD8"/>
    <w:rsid w:val="00186628"/>
    <w:rsid w:val="00186731"/>
    <w:rsid w:val="00186885"/>
    <w:rsid w:val="001868C6"/>
    <w:rsid w:val="00186A4C"/>
    <w:rsid w:val="00186B29"/>
    <w:rsid w:val="00186FA7"/>
    <w:rsid w:val="00186FA8"/>
    <w:rsid w:val="001872F3"/>
    <w:rsid w:val="001874B0"/>
    <w:rsid w:val="001875EB"/>
    <w:rsid w:val="0018762F"/>
    <w:rsid w:val="00187B5B"/>
    <w:rsid w:val="00187E65"/>
    <w:rsid w:val="001904EE"/>
    <w:rsid w:val="00190997"/>
    <w:rsid w:val="00190C4D"/>
    <w:rsid w:val="00190DA8"/>
    <w:rsid w:val="00190F04"/>
    <w:rsid w:val="001911D1"/>
    <w:rsid w:val="00191203"/>
    <w:rsid w:val="0019130D"/>
    <w:rsid w:val="001913C2"/>
    <w:rsid w:val="001913CD"/>
    <w:rsid w:val="0019195E"/>
    <w:rsid w:val="00191A6C"/>
    <w:rsid w:val="00191AD0"/>
    <w:rsid w:val="00191D34"/>
    <w:rsid w:val="00192110"/>
    <w:rsid w:val="001922A3"/>
    <w:rsid w:val="0019230B"/>
    <w:rsid w:val="0019237D"/>
    <w:rsid w:val="00192610"/>
    <w:rsid w:val="00192637"/>
    <w:rsid w:val="00192A46"/>
    <w:rsid w:val="00192D52"/>
    <w:rsid w:val="00193209"/>
    <w:rsid w:val="0019326A"/>
    <w:rsid w:val="00193486"/>
    <w:rsid w:val="0019377E"/>
    <w:rsid w:val="0019391C"/>
    <w:rsid w:val="00193B6A"/>
    <w:rsid w:val="00193F58"/>
    <w:rsid w:val="0019423A"/>
    <w:rsid w:val="00194488"/>
    <w:rsid w:val="00194617"/>
    <w:rsid w:val="00194836"/>
    <w:rsid w:val="001949DE"/>
    <w:rsid w:val="00194F91"/>
    <w:rsid w:val="00195025"/>
    <w:rsid w:val="0019523A"/>
    <w:rsid w:val="00195484"/>
    <w:rsid w:val="00195544"/>
    <w:rsid w:val="00195A94"/>
    <w:rsid w:val="00195A99"/>
    <w:rsid w:val="00195C5F"/>
    <w:rsid w:val="00196009"/>
    <w:rsid w:val="00196651"/>
    <w:rsid w:val="0019688A"/>
    <w:rsid w:val="001969F6"/>
    <w:rsid w:val="00196CF2"/>
    <w:rsid w:val="00196F22"/>
    <w:rsid w:val="001972A7"/>
    <w:rsid w:val="00197418"/>
    <w:rsid w:val="00197682"/>
    <w:rsid w:val="001979C1"/>
    <w:rsid w:val="001A00AD"/>
    <w:rsid w:val="001A033B"/>
    <w:rsid w:val="001A05D6"/>
    <w:rsid w:val="001A0911"/>
    <w:rsid w:val="001A0E6E"/>
    <w:rsid w:val="001A0F91"/>
    <w:rsid w:val="001A12A5"/>
    <w:rsid w:val="001A1462"/>
    <w:rsid w:val="001A14E2"/>
    <w:rsid w:val="001A168A"/>
    <w:rsid w:val="001A1A71"/>
    <w:rsid w:val="001A1A7D"/>
    <w:rsid w:val="001A2260"/>
    <w:rsid w:val="001A28CA"/>
    <w:rsid w:val="001A2CA7"/>
    <w:rsid w:val="001A2D99"/>
    <w:rsid w:val="001A2E48"/>
    <w:rsid w:val="001A3250"/>
    <w:rsid w:val="001A333D"/>
    <w:rsid w:val="001A36DF"/>
    <w:rsid w:val="001A3855"/>
    <w:rsid w:val="001A3961"/>
    <w:rsid w:val="001A3A3F"/>
    <w:rsid w:val="001A3FCB"/>
    <w:rsid w:val="001A4312"/>
    <w:rsid w:val="001A458B"/>
    <w:rsid w:val="001A475C"/>
    <w:rsid w:val="001A4785"/>
    <w:rsid w:val="001A4F17"/>
    <w:rsid w:val="001A50EF"/>
    <w:rsid w:val="001A5318"/>
    <w:rsid w:val="001A54A1"/>
    <w:rsid w:val="001A5515"/>
    <w:rsid w:val="001A5528"/>
    <w:rsid w:val="001A59C6"/>
    <w:rsid w:val="001A59E7"/>
    <w:rsid w:val="001A5EB8"/>
    <w:rsid w:val="001A6243"/>
    <w:rsid w:val="001A62AB"/>
    <w:rsid w:val="001A639F"/>
    <w:rsid w:val="001A66C1"/>
    <w:rsid w:val="001A6742"/>
    <w:rsid w:val="001A681D"/>
    <w:rsid w:val="001A6AA7"/>
    <w:rsid w:val="001A7112"/>
    <w:rsid w:val="001A74BA"/>
    <w:rsid w:val="001A767E"/>
    <w:rsid w:val="001A788D"/>
    <w:rsid w:val="001A79ED"/>
    <w:rsid w:val="001A7BCA"/>
    <w:rsid w:val="001A7CD6"/>
    <w:rsid w:val="001A7DFA"/>
    <w:rsid w:val="001A7E4C"/>
    <w:rsid w:val="001B015B"/>
    <w:rsid w:val="001B036A"/>
    <w:rsid w:val="001B076D"/>
    <w:rsid w:val="001B08CA"/>
    <w:rsid w:val="001B0AA7"/>
    <w:rsid w:val="001B0DFB"/>
    <w:rsid w:val="001B1407"/>
    <w:rsid w:val="001B1851"/>
    <w:rsid w:val="001B1DE6"/>
    <w:rsid w:val="001B1E20"/>
    <w:rsid w:val="001B1F14"/>
    <w:rsid w:val="001B2458"/>
    <w:rsid w:val="001B2471"/>
    <w:rsid w:val="001B24E0"/>
    <w:rsid w:val="001B2BF1"/>
    <w:rsid w:val="001B2C6D"/>
    <w:rsid w:val="001B2D10"/>
    <w:rsid w:val="001B2FAD"/>
    <w:rsid w:val="001B387F"/>
    <w:rsid w:val="001B3911"/>
    <w:rsid w:val="001B399E"/>
    <w:rsid w:val="001B39BD"/>
    <w:rsid w:val="001B3BE6"/>
    <w:rsid w:val="001B3E8A"/>
    <w:rsid w:val="001B3EA4"/>
    <w:rsid w:val="001B4056"/>
    <w:rsid w:val="001B4E33"/>
    <w:rsid w:val="001B50B0"/>
    <w:rsid w:val="001B5401"/>
    <w:rsid w:val="001B55AD"/>
    <w:rsid w:val="001B589E"/>
    <w:rsid w:val="001B58AE"/>
    <w:rsid w:val="001B594F"/>
    <w:rsid w:val="001B5B43"/>
    <w:rsid w:val="001B5CED"/>
    <w:rsid w:val="001B5DDC"/>
    <w:rsid w:val="001B5DF6"/>
    <w:rsid w:val="001B5F5C"/>
    <w:rsid w:val="001B6075"/>
    <w:rsid w:val="001B634E"/>
    <w:rsid w:val="001B6547"/>
    <w:rsid w:val="001B6E17"/>
    <w:rsid w:val="001B705D"/>
    <w:rsid w:val="001B71A8"/>
    <w:rsid w:val="001B74A4"/>
    <w:rsid w:val="001B7680"/>
    <w:rsid w:val="001B78B5"/>
    <w:rsid w:val="001B78D2"/>
    <w:rsid w:val="001B79EF"/>
    <w:rsid w:val="001B7A5D"/>
    <w:rsid w:val="001B7D59"/>
    <w:rsid w:val="001B7D62"/>
    <w:rsid w:val="001C02E1"/>
    <w:rsid w:val="001C03CC"/>
    <w:rsid w:val="001C06CA"/>
    <w:rsid w:val="001C086A"/>
    <w:rsid w:val="001C086F"/>
    <w:rsid w:val="001C0894"/>
    <w:rsid w:val="001C0962"/>
    <w:rsid w:val="001C0ADF"/>
    <w:rsid w:val="001C130D"/>
    <w:rsid w:val="001C16A5"/>
    <w:rsid w:val="001C1B25"/>
    <w:rsid w:val="001C1D5E"/>
    <w:rsid w:val="001C1F4A"/>
    <w:rsid w:val="001C2066"/>
    <w:rsid w:val="001C207A"/>
    <w:rsid w:val="001C220D"/>
    <w:rsid w:val="001C2488"/>
    <w:rsid w:val="001C27E4"/>
    <w:rsid w:val="001C291B"/>
    <w:rsid w:val="001C2AE1"/>
    <w:rsid w:val="001C2BE8"/>
    <w:rsid w:val="001C2CE6"/>
    <w:rsid w:val="001C32F7"/>
    <w:rsid w:val="001C3373"/>
    <w:rsid w:val="001C3408"/>
    <w:rsid w:val="001C347C"/>
    <w:rsid w:val="001C388B"/>
    <w:rsid w:val="001C39F3"/>
    <w:rsid w:val="001C3B4D"/>
    <w:rsid w:val="001C3BFA"/>
    <w:rsid w:val="001C4077"/>
    <w:rsid w:val="001C4140"/>
    <w:rsid w:val="001C4292"/>
    <w:rsid w:val="001C434A"/>
    <w:rsid w:val="001C4A1B"/>
    <w:rsid w:val="001C4DAF"/>
    <w:rsid w:val="001C5189"/>
    <w:rsid w:val="001C562C"/>
    <w:rsid w:val="001C57F2"/>
    <w:rsid w:val="001C5A7E"/>
    <w:rsid w:val="001C5C27"/>
    <w:rsid w:val="001C5C41"/>
    <w:rsid w:val="001C5F77"/>
    <w:rsid w:val="001C6044"/>
    <w:rsid w:val="001C68A4"/>
    <w:rsid w:val="001C6FA8"/>
    <w:rsid w:val="001C6FC0"/>
    <w:rsid w:val="001C738E"/>
    <w:rsid w:val="001C7646"/>
    <w:rsid w:val="001C779D"/>
    <w:rsid w:val="001D0869"/>
    <w:rsid w:val="001D0A13"/>
    <w:rsid w:val="001D0B79"/>
    <w:rsid w:val="001D0CA3"/>
    <w:rsid w:val="001D0CD2"/>
    <w:rsid w:val="001D105A"/>
    <w:rsid w:val="001D1225"/>
    <w:rsid w:val="001D1228"/>
    <w:rsid w:val="001D1601"/>
    <w:rsid w:val="001D1718"/>
    <w:rsid w:val="001D1789"/>
    <w:rsid w:val="001D1913"/>
    <w:rsid w:val="001D1A58"/>
    <w:rsid w:val="001D1D4F"/>
    <w:rsid w:val="001D20F3"/>
    <w:rsid w:val="001D2610"/>
    <w:rsid w:val="001D26B6"/>
    <w:rsid w:val="001D2CDD"/>
    <w:rsid w:val="001D2D83"/>
    <w:rsid w:val="001D2FB2"/>
    <w:rsid w:val="001D36F2"/>
    <w:rsid w:val="001D375C"/>
    <w:rsid w:val="001D3E47"/>
    <w:rsid w:val="001D3ED5"/>
    <w:rsid w:val="001D4313"/>
    <w:rsid w:val="001D44A7"/>
    <w:rsid w:val="001D4593"/>
    <w:rsid w:val="001D46A2"/>
    <w:rsid w:val="001D493B"/>
    <w:rsid w:val="001D49DD"/>
    <w:rsid w:val="001D4C22"/>
    <w:rsid w:val="001D5222"/>
    <w:rsid w:val="001D53D4"/>
    <w:rsid w:val="001D57DD"/>
    <w:rsid w:val="001D59D9"/>
    <w:rsid w:val="001D5FB4"/>
    <w:rsid w:val="001D6017"/>
    <w:rsid w:val="001D62DB"/>
    <w:rsid w:val="001D636E"/>
    <w:rsid w:val="001D6D6E"/>
    <w:rsid w:val="001D6DCF"/>
    <w:rsid w:val="001D6EB7"/>
    <w:rsid w:val="001D71B2"/>
    <w:rsid w:val="001D73EB"/>
    <w:rsid w:val="001D7698"/>
    <w:rsid w:val="001D771E"/>
    <w:rsid w:val="001D77F9"/>
    <w:rsid w:val="001D7981"/>
    <w:rsid w:val="001D7AB8"/>
    <w:rsid w:val="001D7AC0"/>
    <w:rsid w:val="001D7AE5"/>
    <w:rsid w:val="001D7B7F"/>
    <w:rsid w:val="001D7C3A"/>
    <w:rsid w:val="001D7D84"/>
    <w:rsid w:val="001D7DA2"/>
    <w:rsid w:val="001E006B"/>
    <w:rsid w:val="001E0C13"/>
    <w:rsid w:val="001E0C6D"/>
    <w:rsid w:val="001E0FE9"/>
    <w:rsid w:val="001E101C"/>
    <w:rsid w:val="001E1050"/>
    <w:rsid w:val="001E121C"/>
    <w:rsid w:val="001E136A"/>
    <w:rsid w:val="001E1562"/>
    <w:rsid w:val="001E1576"/>
    <w:rsid w:val="001E2013"/>
    <w:rsid w:val="001E2389"/>
    <w:rsid w:val="001E264B"/>
    <w:rsid w:val="001E2665"/>
    <w:rsid w:val="001E297A"/>
    <w:rsid w:val="001E2B81"/>
    <w:rsid w:val="001E304B"/>
    <w:rsid w:val="001E3133"/>
    <w:rsid w:val="001E3146"/>
    <w:rsid w:val="001E32A1"/>
    <w:rsid w:val="001E34F1"/>
    <w:rsid w:val="001E367B"/>
    <w:rsid w:val="001E3C9F"/>
    <w:rsid w:val="001E3EE3"/>
    <w:rsid w:val="001E4448"/>
    <w:rsid w:val="001E4806"/>
    <w:rsid w:val="001E4A55"/>
    <w:rsid w:val="001E4CF2"/>
    <w:rsid w:val="001E5127"/>
    <w:rsid w:val="001E517D"/>
    <w:rsid w:val="001E51FC"/>
    <w:rsid w:val="001E52A4"/>
    <w:rsid w:val="001E5408"/>
    <w:rsid w:val="001E5422"/>
    <w:rsid w:val="001E59FB"/>
    <w:rsid w:val="001E5AA2"/>
    <w:rsid w:val="001E60DD"/>
    <w:rsid w:val="001E61C7"/>
    <w:rsid w:val="001E642D"/>
    <w:rsid w:val="001E64CB"/>
    <w:rsid w:val="001E672A"/>
    <w:rsid w:val="001E6FF4"/>
    <w:rsid w:val="001E743F"/>
    <w:rsid w:val="001E78B1"/>
    <w:rsid w:val="001E7D5B"/>
    <w:rsid w:val="001E7DB5"/>
    <w:rsid w:val="001E7F63"/>
    <w:rsid w:val="001F0489"/>
    <w:rsid w:val="001F064D"/>
    <w:rsid w:val="001F06B3"/>
    <w:rsid w:val="001F0902"/>
    <w:rsid w:val="001F0CB1"/>
    <w:rsid w:val="001F0D20"/>
    <w:rsid w:val="001F101E"/>
    <w:rsid w:val="001F10E9"/>
    <w:rsid w:val="001F1274"/>
    <w:rsid w:val="001F1655"/>
    <w:rsid w:val="001F171D"/>
    <w:rsid w:val="001F1C0D"/>
    <w:rsid w:val="001F1C7B"/>
    <w:rsid w:val="001F1D40"/>
    <w:rsid w:val="001F1DA1"/>
    <w:rsid w:val="001F1ED9"/>
    <w:rsid w:val="001F1F00"/>
    <w:rsid w:val="001F22C3"/>
    <w:rsid w:val="001F2351"/>
    <w:rsid w:val="001F25D3"/>
    <w:rsid w:val="001F27E3"/>
    <w:rsid w:val="001F2B36"/>
    <w:rsid w:val="001F2CEF"/>
    <w:rsid w:val="001F2D73"/>
    <w:rsid w:val="001F2F4E"/>
    <w:rsid w:val="001F301F"/>
    <w:rsid w:val="001F3755"/>
    <w:rsid w:val="001F38D2"/>
    <w:rsid w:val="001F3C43"/>
    <w:rsid w:val="001F3DD0"/>
    <w:rsid w:val="001F455E"/>
    <w:rsid w:val="001F4633"/>
    <w:rsid w:val="001F46B0"/>
    <w:rsid w:val="001F4836"/>
    <w:rsid w:val="001F4848"/>
    <w:rsid w:val="001F4AB8"/>
    <w:rsid w:val="001F4B6F"/>
    <w:rsid w:val="001F5067"/>
    <w:rsid w:val="001F530E"/>
    <w:rsid w:val="001F539F"/>
    <w:rsid w:val="001F55EB"/>
    <w:rsid w:val="001F58C0"/>
    <w:rsid w:val="001F5E1C"/>
    <w:rsid w:val="001F5E58"/>
    <w:rsid w:val="001F6116"/>
    <w:rsid w:val="001F6326"/>
    <w:rsid w:val="001F632B"/>
    <w:rsid w:val="001F6539"/>
    <w:rsid w:val="001F653B"/>
    <w:rsid w:val="001F6996"/>
    <w:rsid w:val="001F699B"/>
    <w:rsid w:val="001F6BD7"/>
    <w:rsid w:val="001F6D76"/>
    <w:rsid w:val="001F7330"/>
    <w:rsid w:val="001F77C6"/>
    <w:rsid w:val="001F79FE"/>
    <w:rsid w:val="001F7CB7"/>
    <w:rsid w:val="001F7D71"/>
    <w:rsid w:val="00200135"/>
    <w:rsid w:val="0020065C"/>
    <w:rsid w:val="00200824"/>
    <w:rsid w:val="00200839"/>
    <w:rsid w:val="002012CB"/>
    <w:rsid w:val="002017A8"/>
    <w:rsid w:val="002018B9"/>
    <w:rsid w:val="00202150"/>
    <w:rsid w:val="00202AC1"/>
    <w:rsid w:val="00202BEB"/>
    <w:rsid w:val="00203655"/>
    <w:rsid w:val="00203696"/>
    <w:rsid w:val="002038A2"/>
    <w:rsid w:val="002039A8"/>
    <w:rsid w:val="0020416B"/>
    <w:rsid w:val="00204243"/>
    <w:rsid w:val="002044DD"/>
    <w:rsid w:val="00204650"/>
    <w:rsid w:val="0020466C"/>
    <w:rsid w:val="002046B5"/>
    <w:rsid w:val="0020485B"/>
    <w:rsid w:val="00204943"/>
    <w:rsid w:val="00204CA9"/>
    <w:rsid w:val="00204EDE"/>
    <w:rsid w:val="002054D6"/>
    <w:rsid w:val="002054E1"/>
    <w:rsid w:val="00205780"/>
    <w:rsid w:val="002057DF"/>
    <w:rsid w:val="002058BC"/>
    <w:rsid w:val="002059B0"/>
    <w:rsid w:val="00205A41"/>
    <w:rsid w:val="00205CCE"/>
    <w:rsid w:val="00205CF7"/>
    <w:rsid w:val="00206352"/>
    <w:rsid w:val="0020675B"/>
    <w:rsid w:val="00206F78"/>
    <w:rsid w:val="00207357"/>
    <w:rsid w:val="00207527"/>
    <w:rsid w:val="00207629"/>
    <w:rsid w:val="002077E9"/>
    <w:rsid w:val="002079B3"/>
    <w:rsid w:val="00207EA8"/>
    <w:rsid w:val="00210107"/>
    <w:rsid w:val="00210130"/>
    <w:rsid w:val="002103F4"/>
    <w:rsid w:val="00210712"/>
    <w:rsid w:val="002109E6"/>
    <w:rsid w:val="00210B44"/>
    <w:rsid w:val="00210BDC"/>
    <w:rsid w:val="00210C38"/>
    <w:rsid w:val="00210F3E"/>
    <w:rsid w:val="002118D6"/>
    <w:rsid w:val="00211B9F"/>
    <w:rsid w:val="00211D4E"/>
    <w:rsid w:val="00211D54"/>
    <w:rsid w:val="00211D68"/>
    <w:rsid w:val="00211E0F"/>
    <w:rsid w:val="00211E9C"/>
    <w:rsid w:val="00211EB2"/>
    <w:rsid w:val="002120D2"/>
    <w:rsid w:val="002124D6"/>
    <w:rsid w:val="00212559"/>
    <w:rsid w:val="0021279D"/>
    <w:rsid w:val="00212AF7"/>
    <w:rsid w:val="00212CC5"/>
    <w:rsid w:val="00212EDC"/>
    <w:rsid w:val="0021320A"/>
    <w:rsid w:val="00213255"/>
    <w:rsid w:val="002133C6"/>
    <w:rsid w:val="002134B8"/>
    <w:rsid w:val="002135B3"/>
    <w:rsid w:val="002137E6"/>
    <w:rsid w:val="00213C17"/>
    <w:rsid w:val="002143AB"/>
    <w:rsid w:val="002143B8"/>
    <w:rsid w:val="0021441D"/>
    <w:rsid w:val="00214476"/>
    <w:rsid w:val="00214769"/>
    <w:rsid w:val="002147BD"/>
    <w:rsid w:val="00214B8D"/>
    <w:rsid w:val="00214D70"/>
    <w:rsid w:val="00215070"/>
    <w:rsid w:val="002150B6"/>
    <w:rsid w:val="00215488"/>
    <w:rsid w:val="002154C4"/>
    <w:rsid w:val="0021573C"/>
    <w:rsid w:val="00215890"/>
    <w:rsid w:val="00215A3B"/>
    <w:rsid w:val="00215ABC"/>
    <w:rsid w:val="00215BAD"/>
    <w:rsid w:val="00215C89"/>
    <w:rsid w:val="00215DDB"/>
    <w:rsid w:val="00216989"/>
    <w:rsid w:val="00216A2B"/>
    <w:rsid w:val="00216ABB"/>
    <w:rsid w:val="00216AE2"/>
    <w:rsid w:val="00216E84"/>
    <w:rsid w:val="00216FE5"/>
    <w:rsid w:val="00217175"/>
    <w:rsid w:val="00217397"/>
    <w:rsid w:val="002173CC"/>
    <w:rsid w:val="002174A1"/>
    <w:rsid w:val="00217670"/>
    <w:rsid w:val="002176F6"/>
    <w:rsid w:val="002177DF"/>
    <w:rsid w:val="0021781B"/>
    <w:rsid w:val="00217BC1"/>
    <w:rsid w:val="00217E84"/>
    <w:rsid w:val="0022074A"/>
    <w:rsid w:val="0022074F"/>
    <w:rsid w:val="002208CA"/>
    <w:rsid w:val="00220B21"/>
    <w:rsid w:val="00220FB3"/>
    <w:rsid w:val="002211F8"/>
    <w:rsid w:val="0022159F"/>
    <w:rsid w:val="002215DE"/>
    <w:rsid w:val="00221AB7"/>
    <w:rsid w:val="00221BE2"/>
    <w:rsid w:val="00221ED5"/>
    <w:rsid w:val="00221F33"/>
    <w:rsid w:val="0022216C"/>
    <w:rsid w:val="002222C8"/>
    <w:rsid w:val="002224FA"/>
    <w:rsid w:val="002225B2"/>
    <w:rsid w:val="002227B2"/>
    <w:rsid w:val="00222A48"/>
    <w:rsid w:val="00222AE7"/>
    <w:rsid w:val="00222CCF"/>
    <w:rsid w:val="00223155"/>
    <w:rsid w:val="002231B5"/>
    <w:rsid w:val="002231B6"/>
    <w:rsid w:val="002237DA"/>
    <w:rsid w:val="00223A04"/>
    <w:rsid w:val="00223D3C"/>
    <w:rsid w:val="00223DFA"/>
    <w:rsid w:val="00223DFC"/>
    <w:rsid w:val="00223E88"/>
    <w:rsid w:val="00223EB1"/>
    <w:rsid w:val="00223FFB"/>
    <w:rsid w:val="002242F8"/>
    <w:rsid w:val="002244CC"/>
    <w:rsid w:val="002246E6"/>
    <w:rsid w:val="00224906"/>
    <w:rsid w:val="00224936"/>
    <w:rsid w:val="00224A04"/>
    <w:rsid w:val="00224A83"/>
    <w:rsid w:val="00224ADB"/>
    <w:rsid w:val="00224AE1"/>
    <w:rsid w:val="00224D53"/>
    <w:rsid w:val="00224EFD"/>
    <w:rsid w:val="00224F4F"/>
    <w:rsid w:val="0022551A"/>
    <w:rsid w:val="002257EB"/>
    <w:rsid w:val="002258C2"/>
    <w:rsid w:val="00225B84"/>
    <w:rsid w:val="00225E97"/>
    <w:rsid w:val="00226007"/>
    <w:rsid w:val="00226242"/>
    <w:rsid w:val="002265BE"/>
    <w:rsid w:val="00226722"/>
    <w:rsid w:val="002267E0"/>
    <w:rsid w:val="002268EA"/>
    <w:rsid w:val="00226CCC"/>
    <w:rsid w:val="00226E83"/>
    <w:rsid w:val="00227158"/>
    <w:rsid w:val="002272CF"/>
    <w:rsid w:val="0022734C"/>
    <w:rsid w:val="002273EC"/>
    <w:rsid w:val="002274A7"/>
    <w:rsid w:val="00227A97"/>
    <w:rsid w:val="00227C6C"/>
    <w:rsid w:val="00227D02"/>
    <w:rsid w:val="002300BF"/>
    <w:rsid w:val="002301B8"/>
    <w:rsid w:val="00230B87"/>
    <w:rsid w:val="00230C7C"/>
    <w:rsid w:val="00230E62"/>
    <w:rsid w:val="002310A4"/>
    <w:rsid w:val="00231241"/>
    <w:rsid w:val="00231292"/>
    <w:rsid w:val="0023158C"/>
    <w:rsid w:val="0023175E"/>
    <w:rsid w:val="002317A3"/>
    <w:rsid w:val="00231842"/>
    <w:rsid w:val="00232599"/>
    <w:rsid w:val="00232D4D"/>
    <w:rsid w:val="002339EE"/>
    <w:rsid w:val="00233A3E"/>
    <w:rsid w:val="00233B9D"/>
    <w:rsid w:val="00233E7D"/>
    <w:rsid w:val="00234009"/>
    <w:rsid w:val="002346EE"/>
    <w:rsid w:val="00234889"/>
    <w:rsid w:val="00234AA3"/>
    <w:rsid w:val="00234D5E"/>
    <w:rsid w:val="0023503D"/>
    <w:rsid w:val="00235162"/>
    <w:rsid w:val="002358C8"/>
    <w:rsid w:val="00235DEF"/>
    <w:rsid w:val="0023681D"/>
    <w:rsid w:val="00236D5C"/>
    <w:rsid w:val="0023714A"/>
    <w:rsid w:val="00237224"/>
    <w:rsid w:val="00237265"/>
    <w:rsid w:val="002373E0"/>
    <w:rsid w:val="00237412"/>
    <w:rsid w:val="0023744A"/>
    <w:rsid w:val="002377CE"/>
    <w:rsid w:val="00237D22"/>
    <w:rsid w:val="002400E4"/>
    <w:rsid w:val="0024020A"/>
    <w:rsid w:val="00240215"/>
    <w:rsid w:val="00240390"/>
    <w:rsid w:val="00240416"/>
    <w:rsid w:val="002404BB"/>
    <w:rsid w:val="002404CD"/>
    <w:rsid w:val="00240712"/>
    <w:rsid w:val="00240785"/>
    <w:rsid w:val="00240914"/>
    <w:rsid w:val="00240F84"/>
    <w:rsid w:val="0024115E"/>
    <w:rsid w:val="002413B9"/>
    <w:rsid w:val="0024142D"/>
    <w:rsid w:val="002415C5"/>
    <w:rsid w:val="0024162F"/>
    <w:rsid w:val="00241A4E"/>
    <w:rsid w:val="00241DC5"/>
    <w:rsid w:val="002420BF"/>
    <w:rsid w:val="002421B4"/>
    <w:rsid w:val="0024220E"/>
    <w:rsid w:val="00242299"/>
    <w:rsid w:val="00242356"/>
    <w:rsid w:val="002424D4"/>
    <w:rsid w:val="00242522"/>
    <w:rsid w:val="002428BC"/>
    <w:rsid w:val="00242ADA"/>
    <w:rsid w:val="00242B1C"/>
    <w:rsid w:val="00242B4E"/>
    <w:rsid w:val="00242FDD"/>
    <w:rsid w:val="0024313A"/>
    <w:rsid w:val="002432B1"/>
    <w:rsid w:val="00243458"/>
    <w:rsid w:val="00243526"/>
    <w:rsid w:val="00243610"/>
    <w:rsid w:val="00243F8E"/>
    <w:rsid w:val="00244095"/>
    <w:rsid w:val="002441BE"/>
    <w:rsid w:val="00244584"/>
    <w:rsid w:val="002445E7"/>
    <w:rsid w:val="0024474F"/>
    <w:rsid w:val="00244877"/>
    <w:rsid w:val="00244A72"/>
    <w:rsid w:val="00244B34"/>
    <w:rsid w:val="00244C76"/>
    <w:rsid w:val="00244E15"/>
    <w:rsid w:val="0024541C"/>
    <w:rsid w:val="002455D6"/>
    <w:rsid w:val="0024580A"/>
    <w:rsid w:val="002458E8"/>
    <w:rsid w:val="00245B81"/>
    <w:rsid w:val="00245BD1"/>
    <w:rsid w:val="00245D60"/>
    <w:rsid w:val="00245FB1"/>
    <w:rsid w:val="00246436"/>
    <w:rsid w:val="00246496"/>
    <w:rsid w:val="00246AD0"/>
    <w:rsid w:val="00246EFB"/>
    <w:rsid w:val="002471C2"/>
    <w:rsid w:val="002475A3"/>
    <w:rsid w:val="00247727"/>
    <w:rsid w:val="002478E7"/>
    <w:rsid w:val="00247C30"/>
    <w:rsid w:val="00247C39"/>
    <w:rsid w:val="00247C66"/>
    <w:rsid w:val="00247E93"/>
    <w:rsid w:val="002501F8"/>
    <w:rsid w:val="002504A1"/>
    <w:rsid w:val="00250674"/>
    <w:rsid w:val="002506E6"/>
    <w:rsid w:val="002508B9"/>
    <w:rsid w:val="002509EF"/>
    <w:rsid w:val="00250AA7"/>
    <w:rsid w:val="00250FA3"/>
    <w:rsid w:val="0025151A"/>
    <w:rsid w:val="0025186A"/>
    <w:rsid w:val="00252191"/>
    <w:rsid w:val="00252847"/>
    <w:rsid w:val="00252D13"/>
    <w:rsid w:val="00252EA1"/>
    <w:rsid w:val="00253269"/>
    <w:rsid w:val="002536CE"/>
    <w:rsid w:val="00253994"/>
    <w:rsid w:val="002539C7"/>
    <w:rsid w:val="00253EBD"/>
    <w:rsid w:val="002540FF"/>
    <w:rsid w:val="002541D9"/>
    <w:rsid w:val="002544D7"/>
    <w:rsid w:val="00254DF4"/>
    <w:rsid w:val="00254F59"/>
    <w:rsid w:val="00254FF1"/>
    <w:rsid w:val="00255432"/>
    <w:rsid w:val="00255610"/>
    <w:rsid w:val="00255B72"/>
    <w:rsid w:val="00255D57"/>
    <w:rsid w:val="002565DB"/>
    <w:rsid w:val="00256855"/>
    <w:rsid w:val="0025690D"/>
    <w:rsid w:val="00256BCC"/>
    <w:rsid w:val="00256E8F"/>
    <w:rsid w:val="00256F4C"/>
    <w:rsid w:val="00256FD1"/>
    <w:rsid w:val="002570D3"/>
    <w:rsid w:val="00257173"/>
    <w:rsid w:val="0025719E"/>
    <w:rsid w:val="00257346"/>
    <w:rsid w:val="002578BE"/>
    <w:rsid w:val="00257E1B"/>
    <w:rsid w:val="002601A5"/>
    <w:rsid w:val="002606BB"/>
    <w:rsid w:val="0026093B"/>
    <w:rsid w:val="00260A23"/>
    <w:rsid w:val="00260B85"/>
    <w:rsid w:val="00261560"/>
    <w:rsid w:val="0026159D"/>
    <w:rsid w:val="002616F1"/>
    <w:rsid w:val="0026199D"/>
    <w:rsid w:val="00261D1A"/>
    <w:rsid w:val="00262160"/>
    <w:rsid w:val="00262190"/>
    <w:rsid w:val="00262403"/>
    <w:rsid w:val="00262642"/>
    <w:rsid w:val="00262953"/>
    <w:rsid w:val="00262A2A"/>
    <w:rsid w:val="00262AF4"/>
    <w:rsid w:val="00262E12"/>
    <w:rsid w:val="00262F03"/>
    <w:rsid w:val="00262FC5"/>
    <w:rsid w:val="0026301F"/>
    <w:rsid w:val="0026307E"/>
    <w:rsid w:val="002630CA"/>
    <w:rsid w:val="002630EB"/>
    <w:rsid w:val="002635F5"/>
    <w:rsid w:val="00263B13"/>
    <w:rsid w:val="00263FE7"/>
    <w:rsid w:val="0026406E"/>
    <w:rsid w:val="00264254"/>
    <w:rsid w:val="00264451"/>
    <w:rsid w:val="00264492"/>
    <w:rsid w:val="00264C33"/>
    <w:rsid w:val="00264E2D"/>
    <w:rsid w:val="00264EFD"/>
    <w:rsid w:val="00264F1D"/>
    <w:rsid w:val="00265061"/>
    <w:rsid w:val="00265256"/>
    <w:rsid w:val="0026544D"/>
    <w:rsid w:val="002654EE"/>
    <w:rsid w:val="002659EB"/>
    <w:rsid w:val="00265B48"/>
    <w:rsid w:val="00265C1B"/>
    <w:rsid w:val="00265C4E"/>
    <w:rsid w:val="00266041"/>
    <w:rsid w:val="0026640F"/>
    <w:rsid w:val="00266A52"/>
    <w:rsid w:val="00266C00"/>
    <w:rsid w:val="00267013"/>
    <w:rsid w:val="002672DE"/>
    <w:rsid w:val="00267507"/>
    <w:rsid w:val="002675F1"/>
    <w:rsid w:val="00267639"/>
    <w:rsid w:val="00267C99"/>
    <w:rsid w:val="00267D68"/>
    <w:rsid w:val="00267FFB"/>
    <w:rsid w:val="002702ED"/>
    <w:rsid w:val="002706DE"/>
    <w:rsid w:val="0027082F"/>
    <w:rsid w:val="00270996"/>
    <w:rsid w:val="00270BD6"/>
    <w:rsid w:val="002715A4"/>
    <w:rsid w:val="002715D0"/>
    <w:rsid w:val="00271870"/>
    <w:rsid w:val="00271BDD"/>
    <w:rsid w:val="002724AD"/>
    <w:rsid w:val="002726F1"/>
    <w:rsid w:val="002728F3"/>
    <w:rsid w:val="00272978"/>
    <w:rsid w:val="00272B2F"/>
    <w:rsid w:val="0027337E"/>
    <w:rsid w:val="00273387"/>
    <w:rsid w:val="00273563"/>
    <w:rsid w:val="00273693"/>
    <w:rsid w:val="0027373B"/>
    <w:rsid w:val="002739D3"/>
    <w:rsid w:val="00273C04"/>
    <w:rsid w:val="00273D32"/>
    <w:rsid w:val="00274334"/>
    <w:rsid w:val="002747C7"/>
    <w:rsid w:val="002749A9"/>
    <w:rsid w:val="002749D9"/>
    <w:rsid w:val="00274A1A"/>
    <w:rsid w:val="00274D18"/>
    <w:rsid w:val="0027522D"/>
    <w:rsid w:val="00275C5E"/>
    <w:rsid w:val="00275DD6"/>
    <w:rsid w:val="00275DF0"/>
    <w:rsid w:val="00275E7D"/>
    <w:rsid w:val="002763B7"/>
    <w:rsid w:val="002764CD"/>
    <w:rsid w:val="00276EF3"/>
    <w:rsid w:val="00277254"/>
    <w:rsid w:val="00277287"/>
    <w:rsid w:val="00277DED"/>
    <w:rsid w:val="00277DF9"/>
    <w:rsid w:val="002803DB"/>
    <w:rsid w:val="00280440"/>
    <w:rsid w:val="00280901"/>
    <w:rsid w:val="00280B98"/>
    <w:rsid w:val="00280DA2"/>
    <w:rsid w:val="00281674"/>
    <w:rsid w:val="002816C0"/>
    <w:rsid w:val="0028197E"/>
    <w:rsid w:val="00281C57"/>
    <w:rsid w:val="00281E77"/>
    <w:rsid w:val="0028204F"/>
    <w:rsid w:val="00282264"/>
    <w:rsid w:val="0028251E"/>
    <w:rsid w:val="00282726"/>
    <w:rsid w:val="0028280D"/>
    <w:rsid w:val="00282BB8"/>
    <w:rsid w:val="00282F36"/>
    <w:rsid w:val="00282F9A"/>
    <w:rsid w:val="00282FB6"/>
    <w:rsid w:val="00282FD2"/>
    <w:rsid w:val="00283070"/>
    <w:rsid w:val="002835DF"/>
    <w:rsid w:val="00283F2B"/>
    <w:rsid w:val="00283F3E"/>
    <w:rsid w:val="0028416B"/>
    <w:rsid w:val="00284B57"/>
    <w:rsid w:val="00284D58"/>
    <w:rsid w:val="0028558D"/>
    <w:rsid w:val="00285677"/>
    <w:rsid w:val="002856AF"/>
    <w:rsid w:val="00285838"/>
    <w:rsid w:val="00285C1D"/>
    <w:rsid w:val="00285D60"/>
    <w:rsid w:val="00285D65"/>
    <w:rsid w:val="002860E0"/>
    <w:rsid w:val="00286258"/>
    <w:rsid w:val="00286619"/>
    <w:rsid w:val="0028678A"/>
    <w:rsid w:val="0028682F"/>
    <w:rsid w:val="00286860"/>
    <w:rsid w:val="00286956"/>
    <w:rsid w:val="0028722F"/>
    <w:rsid w:val="00287285"/>
    <w:rsid w:val="002872C0"/>
    <w:rsid w:val="002872EB"/>
    <w:rsid w:val="00287475"/>
    <w:rsid w:val="002876DB"/>
    <w:rsid w:val="00287809"/>
    <w:rsid w:val="00287B2D"/>
    <w:rsid w:val="00287B64"/>
    <w:rsid w:val="00287EBD"/>
    <w:rsid w:val="0029052B"/>
    <w:rsid w:val="00290945"/>
    <w:rsid w:val="00290A34"/>
    <w:rsid w:val="00290C22"/>
    <w:rsid w:val="00290CAD"/>
    <w:rsid w:val="0029115A"/>
    <w:rsid w:val="0029117C"/>
    <w:rsid w:val="00291793"/>
    <w:rsid w:val="0029188A"/>
    <w:rsid w:val="0029196B"/>
    <w:rsid w:val="00291D5C"/>
    <w:rsid w:val="00291DA4"/>
    <w:rsid w:val="00291DC9"/>
    <w:rsid w:val="00292693"/>
    <w:rsid w:val="002928AA"/>
    <w:rsid w:val="0029296B"/>
    <w:rsid w:val="00292987"/>
    <w:rsid w:val="00292A7E"/>
    <w:rsid w:val="00292BA8"/>
    <w:rsid w:val="00292E87"/>
    <w:rsid w:val="00293318"/>
    <w:rsid w:val="00293479"/>
    <w:rsid w:val="0029349C"/>
    <w:rsid w:val="002935BE"/>
    <w:rsid w:val="002939D6"/>
    <w:rsid w:val="00293B84"/>
    <w:rsid w:val="00293D5F"/>
    <w:rsid w:val="002941BE"/>
    <w:rsid w:val="00294618"/>
    <w:rsid w:val="002947B2"/>
    <w:rsid w:val="00294951"/>
    <w:rsid w:val="00294CFE"/>
    <w:rsid w:val="00294E8B"/>
    <w:rsid w:val="00294FDB"/>
    <w:rsid w:val="0029538D"/>
    <w:rsid w:val="00295668"/>
    <w:rsid w:val="00295819"/>
    <w:rsid w:val="00295920"/>
    <w:rsid w:val="00295955"/>
    <w:rsid w:val="00295A94"/>
    <w:rsid w:val="00295BB3"/>
    <w:rsid w:val="00295DAF"/>
    <w:rsid w:val="00295E92"/>
    <w:rsid w:val="00296022"/>
    <w:rsid w:val="002962F4"/>
    <w:rsid w:val="00296580"/>
    <w:rsid w:val="00296759"/>
    <w:rsid w:val="00296979"/>
    <w:rsid w:val="00296ACE"/>
    <w:rsid w:val="00296C87"/>
    <w:rsid w:val="00296D15"/>
    <w:rsid w:val="00296F6F"/>
    <w:rsid w:val="002974A8"/>
    <w:rsid w:val="00297A88"/>
    <w:rsid w:val="00297B01"/>
    <w:rsid w:val="00297BC1"/>
    <w:rsid w:val="00297DFA"/>
    <w:rsid w:val="002A01B3"/>
    <w:rsid w:val="002A025B"/>
    <w:rsid w:val="002A02D6"/>
    <w:rsid w:val="002A0793"/>
    <w:rsid w:val="002A08A2"/>
    <w:rsid w:val="002A093A"/>
    <w:rsid w:val="002A0A52"/>
    <w:rsid w:val="002A0BE1"/>
    <w:rsid w:val="002A0CA5"/>
    <w:rsid w:val="002A1045"/>
    <w:rsid w:val="002A1179"/>
    <w:rsid w:val="002A13A4"/>
    <w:rsid w:val="002A1436"/>
    <w:rsid w:val="002A14FB"/>
    <w:rsid w:val="002A1871"/>
    <w:rsid w:val="002A1C8C"/>
    <w:rsid w:val="002A213D"/>
    <w:rsid w:val="002A26AE"/>
    <w:rsid w:val="002A28F5"/>
    <w:rsid w:val="002A2C76"/>
    <w:rsid w:val="002A2E04"/>
    <w:rsid w:val="002A2FF6"/>
    <w:rsid w:val="002A358C"/>
    <w:rsid w:val="002A362D"/>
    <w:rsid w:val="002A3634"/>
    <w:rsid w:val="002A3A98"/>
    <w:rsid w:val="002A3F20"/>
    <w:rsid w:val="002A4477"/>
    <w:rsid w:val="002A4D7C"/>
    <w:rsid w:val="002A5049"/>
    <w:rsid w:val="002A506C"/>
    <w:rsid w:val="002A5211"/>
    <w:rsid w:val="002A54A3"/>
    <w:rsid w:val="002A55B3"/>
    <w:rsid w:val="002A56B5"/>
    <w:rsid w:val="002A582B"/>
    <w:rsid w:val="002A5996"/>
    <w:rsid w:val="002A5D08"/>
    <w:rsid w:val="002A5D0A"/>
    <w:rsid w:val="002A64EA"/>
    <w:rsid w:val="002A6625"/>
    <w:rsid w:val="002A68BC"/>
    <w:rsid w:val="002A6B04"/>
    <w:rsid w:val="002A6D39"/>
    <w:rsid w:val="002A6E6D"/>
    <w:rsid w:val="002A6EC6"/>
    <w:rsid w:val="002A6EEC"/>
    <w:rsid w:val="002A6F0E"/>
    <w:rsid w:val="002A7314"/>
    <w:rsid w:val="002A73D6"/>
    <w:rsid w:val="002A7472"/>
    <w:rsid w:val="002A7CE4"/>
    <w:rsid w:val="002A7E82"/>
    <w:rsid w:val="002A7F4F"/>
    <w:rsid w:val="002A7F95"/>
    <w:rsid w:val="002A7FA9"/>
    <w:rsid w:val="002A7FC4"/>
    <w:rsid w:val="002B0006"/>
    <w:rsid w:val="002B05EB"/>
    <w:rsid w:val="002B07EC"/>
    <w:rsid w:val="002B0818"/>
    <w:rsid w:val="002B0A87"/>
    <w:rsid w:val="002B0AF7"/>
    <w:rsid w:val="002B0B82"/>
    <w:rsid w:val="002B0C2A"/>
    <w:rsid w:val="002B114F"/>
    <w:rsid w:val="002B1212"/>
    <w:rsid w:val="002B12CA"/>
    <w:rsid w:val="002B136E"/>
    <w:rsid w:val="002B1372"/>
    <w:rsid w:val="002B153E"/>
    <w:rsid w:val="002B1561"/>
    <w:rsid w:val="002B15DA"/>
    <w:rsid w:val="002B17F8"/>
    <w:rsid w:val="002B19D3"/>
    <w:rsid w:val="002B1D71"/>
    <w:rsid w:val="002B1DD5"/>
    <w:rsid w:val="002B1DED"/>
    <w:rsid w:val="002B1EE9"/>
    <w:rsid w:val="002B249A"/>
    <w:rsid w:val="002B24FF"/>
    <w:rsid w:val="002B2516"/>
    <w:rsid w:val="002B2687"/>
    <w:rsid w:val="002B2BBD"/>
    <w:rsid w:val="002B2C59"/>
    <w:rsid w:val="002B2D66"/>
    <w:rsid w:val="002B2D79"/>
    <w:rsid w:val="002B3249"/>
    <w:rsid w:val="002B33F5"/>
    <w:rsid w:val="002B3548"/>
    <w:rsid w:val="002B444E"/>
    <w:rsid w:val="002B4813"/>
    <w:rsid w:val="002B4A4B"/>
    <w:rsid w:val="002B4F4D"/>
    <w:rsid w:val="002B4FFF"/>
    <w:rsid w:val="002B50C0"/>
    <w:rsid w:val="002B5207"/>
    <w:rsid w:val="002B56AB"/>
    <w:rsid w:val="002B5DC1"/>
    <w:rsid w:val="002B646B"/>
    <w:rsid w:val="002B67F7"/>
    <w:rsid w:val="002B6996"/>
    <w:rsid w:val="002B6A10"/>
    <w:rsid w:val="002B6E04"/>
    <w:rsid w:val="002B7087"/>
    <w:rsid w:val="002B70B0"/>
    <w:rsid w:val="002B71C9"/>
    <w:rsid w:val="002B7202"/>
    <w:rsid w:val="002B7A7A"/>
    <w:rsid w:val="002B7B62"/>
    <w:rsid w:val="002B7E88"/>
    <w:rsid w:val="002B7EBC"/>
    <w:rsid w:val="002C01A3"/>
    <w:rsid w:val="002C01AA"/>
    <w:rsid w:val="002C0305"/>
    <w:rsid w:val="002C084F"/>
    <w:rsid w:val="002C0B5B"/>
    <w:rsid w:val="002C0C14"/>
    <w:rsid w:val="002C0CA8"/>
    <w:rsid w:val="002C0D95"/>
    <w:rsid w:val="002C0F11"/>
    <w:rsid w:val="002C11BA"/>
    <w:rsid w:val="002C11ED"/>
    <w:rsid w:val="002C1598"/>
    <w:rsid w:val="002C1839"/>
    <w:rsid w:val="002C1B31"/>
    <w:rsid w:val="002C1BDF"/>
    <w:rsid w:val="002C1E20"/>
    <w:rsid w:val="002C2133"/>
    <w:rsid w:val="002C2224"/>
    <w:rsid w:val="002C2378"/>
    <w:rsid w:val="002C2388"/>
    <w:rsid w:val="002C23A8"/>
    <w:rsid w:val="002C2437"/>
    <w:rsid w:val="002C288A"/>
    <w:rsid w:val="002C2C67"/>
    <w:rsid w:val="002C2D21"/>
    <w:rsid w:val="002C2DE8"/>
    <w:rsid w:val="002C3CA5"/>
    <w:rsid w:val="002C3D5D"/>
    <w:rsid w:val="002C4618"/>
    <w:rsid w:val="002C48AE"/>
    <w:rsid w:val="002C4A75"/>
    <w:rsid w:val="002C4AF6"/>
    <w:rsid w:val="002C50C2"/>
    <w:rsid w:val="002C52F1"/>
    <w:rsid w:val="002C5361"/>
    <w:rsid w:val="002C5396"/>
    <w:rsid w:val="002C55FA"/>
    <w:rsid w:val="002C5827"/>
    <w:rsid w:val="002C58A0"/>
    <w:rsid w:val="002C59F1"/>
    <w:rsid w:val="002C5B0E"/>
    <w:rsid w:val="002C5D9E"/>
    <w:rsid w:val="002C5EDF"/>
    <w:rsid w:val="002C619D"/>
    <w:rsid w:val="002C6201"/>
    <w:rsid w:val="002C6400"/>
    <w:rsid w:val="002C65D6"/>
    <w:rsid w:val="002C68B7"/>
    <w:rsid w:val="002C6CF8"/>
    <w:rsid w:val="002C6FAF"/>
    <w:rsid w:val="002C6FD1"/>
    <w:rsid w:val="002C70A3"/>
    <w:rsid w:val="002C7173"/>
    <w:rsid w:val="002C773E"/>
    <w:rsid w:val="002C78F8"/>
    <w:rsid w:val="002C7DA2"/>
    <w:rsid w:val="002C7DBF"/>
    <w:rsid w:val="002C7E43"/>
    <w:rsid w:val="002C7F72"/>
    <w:rsid w:val="002C7FF7"/>
    <w:rsid w:val="002D001F"/>
    <w:rsid w:val="002D00BF"/>
    <w:rsid w:val="002D0319"/>
    <w:rsid w:val="002D034F"/>
    <w:rsid w:val="002D06B0"/>
    <w:rsid w:val="002D07AA"/>
    <w:rsid w:val="002D081B"/>
    <w:rsid w:val="002D0970"/>
    <w:rsid w:val="002D0C36"/>
    <w:rsid w:val="002D1398"/>
    <w:rsid w:val="002D1809"/>
    <w:rsid w:val="002D1B93"/>
    <w:rsid w:val="002D1C66"/>
    <w:rsid w:val="002D1C85"/>
    <w:rsid w:val="002D1F10"/>
    <w:rsid w:val="002D1F6A"/>
    <w:rsid w:val="002D1FD2"/>
    <w:rsid w:val="002D2043"/>
    <w:rsid w:val="002D231C"/>
    <w:rsid w:val="002D2405"/>
    <w:rsid w:val="002D244D"/>
    <w:rsid w:val="002D25CC"/>
    <w:rsid w:val="002D2B5B"/>
    <w:rsid w:val="002D2CC9"/>
    <w:rsid w:val="002D310B"/>
    <w:rsid w:val="002D33FA"/>
    <w:rsid w:val="002D3455"/>
    <w:rsid w:val="002D362C"/>
    <w:rsid w:val="002D3812"/>
    <w:rsid w:val="002D38BB"/>
    <w:rsid w:val="002D3D1D"/>
    <w:rsid w:val="002D3E48"/>
    <w:rsid w:val="002D3F38"/>
    <w:rsid w:val="002D401D"/>
    <w:rsid w:val="002D408D"/>
    <w:rsid w:val="002D43BF"/>
    <w:rsid w:val="002D4670"/>
    <w:rsid w:val="002D4C4D"/>
    <w:rsid w:val="002D4E92"/>
    <w:rsid w:val="002D50B8"/>
    <w:rsid w:val="002D52C6"/>
    <w:rsid w:val="002D570F"/>
    <w:rsid w:val="002D5A3A"/>
    <w:rsid w:val="002D5D45"/>
    <w:rsid w:val="002D5F9E"/>
    <w:rsid w:val="002D6099"/>
    <w:rsid w:val="002D60E2"/>
    <w:rsid w:val="002D6841"/>
    <w:rsid w:val="002D6AE1"/>
    <w:rsid w:val="002D6B87"/>
    <w:rsid w:val="002D6E94"/>
    <w:rsid w:val="002D6ECA"/>
    <w:rsid w:val="002D7126"/>
    <w:rsid w:val="002D715D"/>
    <w:rsid w:val="002D7643"/>
    <w:rsid w:val="002D77EB"/>
    <w:rsid w:val="002D7892"/>
    <w:rsid w:val="002D793B"/>
    <w:rsid w:val="002D7A7C"/>
    <w:rsid w:val="002D7B20"/>
    <w:rsid w:val="002D7C0E"/>
    <w:rsid w:val="002D7FA0"/>
    <w:rsid w:val="002E0065"/>
    <w:rsid w:val="002E03E2"/>
    <w:rsid w:val="002E0694"/>
    <w:rsid w:val="002E08C6"/>
    <w:rsid w:val="002E0D2C"/>
    <w:rsid w:val="002E0D69"/>
    <w:rsid w:val="002E0F84"/>
    <w:rsid w:val="002E101E"/>
    <w:rsid w:val="002E11EC"/>
    <w:rsid w:val="002E16F2"/>
    <w:rsid w:val="002E1A3B"/>
    <w:rsid w:val="002E1A90"/>
    <w:rsid w:val="002E1B55"/>
    <w:rsid w:val="002E1E3F"/>
    <w:rsid w:val="002E1EC1"/>
    <w:rsid w:val="002E1FAB"/>
    <w:rsid w:val="002E2001"/>
    <w:rsid w:val="002E208F"/>
    <w:rsid w:val="002E27A0"/>
    <w:rsid w:val="002E2826"/>
    <w:rsid w:val="002E2A82"/>
    <w:rsid w:val="002E2B2A"/>
    <w:rsid w:val="002E2BBF"/>
    <w:rsid w:val="002E2E81"/>
    <w:rsid w:val="002E2EE5"/>
    <w:rsid w:val="002E307E"/>
    <w:rsid w:val="002E3084"/>
    <w:rsid w:val="002E3173"/>
    <w:rsid w:val="002E393C"/>
    <w:rsid w:val="002E39BD"/>
    <w:rsid w:val="002E3DEB"/>
    <w:rsid w:val="002E4812"/>
    <w:rsid w:val="002E482D"/>
    <w:rsid w:val="002E48FD"/>
    <w:rsid w:val="002E4E29"/>
    <w:rsid w:val="002E5281"/>
    <w:rsid w:val="002E52EC"/>
    <w:rsid w:val="002E54FE"/>
    <w:rsid w:val="002E55CA"/>
    <w:rsid w:val="002E56FC"/>
    <w:rsid w:val="002E57B6"/>
    <w:rsid w:val="002E57E4"/>
    <w:rsid w:val="002E5A5A"/>
    <w:rsid w:val="002E5BDD"/>
    <w:rsid w:val="002E5D9D"/>
    <w:rsid w:val="002E6222"/>
    <w:rsid w:val="002E6363"/>
    <w:rsid w:val="002E638B"/>
    <w:rsid w:val="002E6458"/>
    <w:rsid w:val="002E65D2"/>
    <w:rsid w:val="002E65E3"/>
    <w:rsid w:val="002E66DA"/>
    <w:rsid w:val="002E6A0A"/>
    <w:rsid w:val="002E6D88"/>
    <w:rsid w:val="002E6ECD"/>
    <w:rsid w:val="002E719A"/>
    <w:rsid w:val="002E7600"/>
    <w:rsid w:val="002E78F2"/>
    <w:rsid w:val="002E7C69"/>
    <w:rsid w:val="002E7F38"/>
    <w:rsid w:val="002E7F7F"/>
    <w:rsid w:val="002F01DB"/>
    <w:rsid w:val="002F0301"/>
    <w:rsid w:val="002F0571"/>
    <w:rsid w:val="002F0681"/>
    <w:rsid w:val="002F0C47"/>
    <w:rsid w:val="002F0FAD"/>
    <w:rsid w:val="002F1147"/>
    <w:rsid w:val="002F13CD"/>
    <w:rsid w:val="002F142F"/>
    <w:rsid w:val="002F15D3"/>
    <w:rsid w:val="002F1734"/>
    <w:rsid w:val="002F1A97"/>
    <w:rsid w:val="002F1BDA"/>
    <w:rsid w:val="002F1C31"/>
    <w:rsid w:val="002F1F35"/>
    <w:rsid w:val="002F1F7C"/>
    <w:rsid w:val="002F1F94"/>
    <w:rsid w:val="002F2060"/>
    <w:rsid w:val="002F2084"/>
    <w:rsid w:val="002F20A7"/>
    <w:rsid w:val="002F20F3"/>
    <w:rsid w:val="002F21B8"/>
    <w:rsid w:val="002F2358"/>
    <w:rsid w:val="002F2367"/>
    <w:rsid w:val="002F239B"/>
    <w:rsid w:val="002F2428"/>
    <w:rsid w:val="002F25A0"/>
    <w:rsid w:val="002F2633"/>
    <w:rsid w:val="002F2709"/>
    <w:rsid w:val="002F27EC"/>
    <w:rsid w:val="002F2A39"/>
    <w:rsid w:val="002F2A95"/>
    <w:rsid w:val="002F2BC5"/>
    <w:rsid w:val="002F2C10"/>
    <w:rsid w:val="002F2C1D"/>
    <w:rsid w:val="002F2D8A"/>
    <w:rsid w:val="002F3242"/>
    <w:rsid w:val="002F345F"/>
    <w:rsid w:val="002F3545"/>
    <w:rsid w:val="002F380A"/>
    <w:rsid w:val="002F39DF"/>
    <w:rsid w:val="002F3B66"/>
    <w:rsid w:val="002F3B7A"/>
    <w:rsid w:val="002F3C7D"/>
    <w:rsid w:val="002F4214"/>
    <w:rsid w:val="002F4712"/>
    <w:rsid w:val="002F4899"/>
    <w:rsid w:val="002F4CDF"/>
    <w:rsid w:val="002F4E0D"/>
    <w:rsid w:val="002F5133"/>
    <w:rsid w:val="002F55AC"/>
    <w:rsid w:val="002F587B"/>
    <w:rsid w:val="002F5BCF"/>
    <w:rsid w:val="002F5D3D"/>
    <w:rsid w:val="002F5DF3"/>
    <w:rsid w:val="002F5F74"/>
    <w:rsid w:val="002F6103"/>
    <w:rsid w:val="002F673D"/>
    <w:rsid w:val="002F67F4"/>
    <w:rsid w:val="002F685F"/>
    <w:rsid w:val="002F6AE2"/>
    <w:rsid w:val="002F6B0A"/>
    <w:rsid w:val="002F6D10"/>
    <w:rsid w:val="002F6D5E"/>
    <w:rsid w:val="002F6EE1"/>
    <w:rsid w:val="002F6F9C"/>
    <w:rsid w:val="002F6FAF"/>
    <w:rsid w:val="002F772D"/>
    <w:rsid w:val="002F78A0"/>
    <w:rsid w:val="002F7BA2"/>
    <w:rsid w:val="002F7C94"/>
    <w:rsid w:val="002F7D84"/>
    <w:rsid w:val="002F7D8A"/>
    <w:rsid w:val="002F7DB0"/>
    <w:rsid w:val="002F7DC9"/>
    <w:rsid w:val="002F7DE7"/>
    <w:rsid w:val="002F7E83"/>
    <w:rsid w:val="00300241"/>
    <w:rsid w:val="003006D1"/>
    <w:rsid w:val="003007B2"/>
    <w:rsid w:val="003008D2"/>
    <w:rsid w:val="003009EC"/>
    <w:rsid w:val="00300B92"/>
    <w:rsid w:val="00300DA3"/>
    <w:rsid w:val="00301105"/>
    <w:rsid w:val="003011AA"/>
    <w:rsid w:val="00301401"/>
    <w:rsid w:val="0030192F"/>
    <w:rsid w:val="00301B27"/>
    <w:rsid w:val="003020E5"/>
    <w:rsid w:val="0030257D"/>
    <w:rsid w:val="0030261F"/>
    <w:rsid w:val="0030292E"/>
    <w:rsid w:val="00302A4F"/>
    <w:rsid w:val="00302A9A"/>
    <w:rsid w:val="00302D0A"/>
    <w:rsid w:val="00302D68"/>
    <w:rsid w:val="003031D0"/>
    <w:rsid w:val="00303831"/>
    <w:rsid w:val="00303C3C"/>
    <w:rsid w:val="00303CB9"/>
    <w:rsid w:val="0030422A"/>
    <w:rsid w:val="00304253"/>
    <w:rsid w:val="00304458"/>
    <w:rsid w:val="00304FA4"/>
    <w:rsid w:val="00305045"/>
    <w:rsid w:val="00305073"/>
    <w:rsid w:val="003052E7"/>
    <w:rsid w:val="00305401"/>
    <w:rsid w:val="00305607"/>
    <w:rsid w:val="00305661"/>
    <w:rsid w:val="003058D1"/>
    <w:rsid w:val="003058F9"/>
    <w:rsid w:val="00305C95"/>
    <w:rsid w:val="00305D91"/>
    <w:rsid w:val="00305E5E"/>
    <w:rsid w:val="0030600D"/>
    <w:rsid w:val="003063DC"/>
    <w:rsid w:val="00306507"/>
    <w:rsid w:val="003066AD"/>
    <w:rsid w:val="003066AE"/>
    <w:rsid w:val="003069EB"/>
    <w:rsid w:val="00306A87"/>
    <w:rsid w:val="00306EA4"/>
    <w:rsid w:val="00306FCE"/>
    <w:rsid w:val="00307375"/>
    <w:rsid w:val="0030767F"/>
    <w:rsid w:val="003078C1"/>
    <w:rsid w:val="00307995"/>
    <w:rsid w:val="003079C5"/>
    <w:rsid w:val="00307D99"/>
    <w:rsid w:val="0031007F"/>
    <w:rsid w:val="00310290"/>
    <w:rsid w:val="0031037F"/>
    <w:rsid w:val="0031054D"/>
    <w:rsid w:val="00310BBA"/>
    <w:rsid w:val="00310C86"/>
    <w:rsid w:val="00310DD1"/>
    <w:rsid w:val="00310F9A"/>
    <w:rsid w:val="00311172"/>
    <w:rsid w:val="00311645"/>
    <w:rsid w:val="00311718"/>
    <w:rsid w:val="00311736"/>
    <w:rsid w:val="0031180F"/>
    <w:rsid w:val="00311816"/>
    <w:rsid w:val="00311BE7"/>
    <w:rsid w:val="00311C9A"/>
    <w:rsid w:val="0031273C"/>
    <w:rsid w:val="00312A67"/>
    <w:rsid w:val="00312E9C"/>
    <w:rsid w:val="00313100"/>
    <w:rsid w:val="00313414"/>
    <w:rsid w:val="0031397D"/>
    <w:rsid w:val="00313A7A"/>
    <w:rsid w:val="00313CE6"/>
    <w:rsid w:val="00313CF7"/>
    <w:rsid w:val="00313D78"/>
    <w:rsid w:val="00313E9A"/>
    <w:rsid w:val="00313F15"/>
    <w:rsid w:val="00313FED"/>
    <w:rsid w:val="00314505"/>
    <w:rsid w:val="00314A0C"/>
    <w:rsid w:val="00314CAD"/>
    <w:rsid w:val="00314D97"/>
    <w:rsid w:val="003150B8"/>
    <w:rsid w:val="0031523A"/>
    <w:rsid w:val="003153AE"/>
    <w:rsid w:val="003155CC"/>
    <w:rsid w:val="00315C9F"/>
    <w:rsid w:val="00315E54"/>
    <w:rsid w:val="003160EA"/>
    <w:rsid w:val="003164D6"/>
    <w:rsid w:val="00316EB2"/>
    <w:rsid w:val="00317053"/>
    <w:rsid w:val="00317421"/>
    <w:rsid w:val="0031762F"/>
    <w:rsid w:val="00317B3D"/>
    <w:rsid w:val="00317BE0"/>
    <w:rsid w:val="00317DB0"/>
    <w:rsid w:val="00317FA6"/>
    <w:rsid w:val="00317FE0"/>
    <w:rsid w:val="0032046F"/>
    <w:rsid w:val="003205FC"/>
    <w:rsid w:val="0032083F"/>
    <w:rsid w:val="00321410"/>
    <w:rsid w:val="00321A8F"/>
    <w:rsid w:val="00321E0F"/>
    <w:rsid w:val="003220B3"/>
    <w:rsid w:val="0032229E"/>
    <w:rsid w:val="0032257A"/>
    <w:rsid w:val="00322761"/>
    <w:rsid w:val="00322F44"/>
    <w:rsid w:val="003231A4"/>
    <w:rsid w:val="00323640"/>
    <w:rsid w:val="00323657"/>
    <w:rsid w:val="00323815"/>
    <w:rsid w:val="00323909"/>
    <w:rsid w:val="00323D03"/>
    <w:rsid w:val="00323D90"/>
    <w:rsid w:val="00323DCE"/>
    <w:rsid w:val="00324027"/>
    <w:rsid w:val="00324135"/>
    <w:rsid w:val="003243F9"/>
    <w:rsid w:val="003246F4"/>
    <w:rsid w:val="003247E6"/>
    <w:rsid w:val="00324A8A"/>
    <w:rsid w:val="00324D1F"/>
    <w:rsid w:val="00325028"/>
    <w:rsid w:val="00325152"/>
    <w:rsid w:val="00325257"/>
    <w:rsid w:val="00325CAC"/>
    <w:rsid w:val="00325D83"/>
    <w:rsid w:val="00325D92"/>
    <w:rsid w:val="00325E84"/>
    <w:rsid w:val="00325F9F"/>
    <w:rsid w:val="00326428"/>
    <w:rsid w:val="003269E7"/>
    <w:rsid w:val="00326AB3"/>
    <w:rsid w:val="003270EF"/>
    <w:rsid w:val="00327A14"/>
    <w:rsid w:val="00327AA8"/>
    <w:rsid w:val="00327AE9"/>
    <w:rsid w:val="00327C8A"/>
    <w:rsid w:val="00327E72"/>
    <w:rsid w:val="0033035F"/>
    <w:rsid w:val="003311A3"/>
    <w:rsid w:val="00331384"/>
    <w:rsid w:val="00331858"/>
    <w:rsid w:val="00331932"/>
    <w:rsid w:val="00331A46"/>
    <w:rsid w:val="00331BB7"/>
    <w:rsid w:val="003320CC"/>
    <w:rsid w:val="003322FB"/>
    <w:rsid w:val="00332707"/>
    <w:rsid w:val="00332A80"/>
    <w:rsid w:val="00332AD8"/>
    <w:rsid w:val="00332AF1"/>
    <w:rsid w:val="00332D2D"/>
    <w:rsid w:val="00332EFE"/>
    <w:rsid w:val="0033300D"/>
    <w:rsid w:val="003336D2"/>
    <w:rsid w:val="00334126"/>
    <w:rsid w:val="003345D2"/>
    <w:rsid w:val="003347E9"/>
    <w:rsid w:val="003349DA"/>
    <w:rsid w:val="00334C88"/>
    <w:rsid w:val="0033540C"/>
    <w:rsid w:val="00335974"/>
    <w:rsid w:val="003359F1"/>
    <w:rsid w:val="00335D01"/>
    <w:rsid w:val="00335D0C"/>
    <w:rsid w:val="003361CF"/>
    <w:rsid w:val="003362B1"/>
    <w:rsid w:val="00336568"/>
    <w:rsid w:val="003365A1"/>
    <w:rsid w:val="0033694B"/>
    <w:rsid w:val="003369E5"/>
    <w:rsid w:val="00336C6C"/>
    <w:rsid w:val="00336E52"/>
    <w:rsid w:val="00336F85"/>
    <w:rsid w:val="00337300"/>
    <w:rsid w:val="003374CE"/>
    <w:rsid w:val="00337551"/>
    <w:rsid w:val="00337889"/>
    <w:rsid w:val="003379BE"/>
    <w:rsid w:val="00337D95"/>
    <w:rsid w:val="0034019D"/>
    <w:rsid w:val="0034055C"/>
    <w:rsid w:val="00340DB5"/>
    <w:rsid w:val="003411A5"/>
    <w:rsid w:val="003411D7"/>
    <w:rsid w:val="003414E7"/>
    <w:rsid w:val="00341B8B"/>
    <w:rsid w:val="00341C0D"/>
    <w:rsid w:val="00341D31"/>
    <w:rsid w:val="00341FE7"/>
    <w:rsid w:val="00342068"/>
    <w:rsid w:val="003421AB"/>
    <w:rsid w:val="00342675"/>
    <w:rsid w:val="003427C7"/>
    <w:rsid w:val="0034295A"/>
    <w:rsid w:val="00342A1A"/>
    <w:rsid w:val="0034315B"/>
    <w:rsid w:val="00343514"/>
    <w:rsid w:val="0034381C"/>
    <w:rsid w:val="003441EB"/>
    <w:rsid w:val="00344647"/>
    <w:rsid w:val="00344A20"/>
    <w:rsid w:val="00344D44"/>
    <w:rsid w:val="003450A3"/>
    <w:rsid w:val="0034518B"/>
    <w:rsid w:val="003459D5"/>
    <w:rsid w:val="00345A47"/>
    <w:rsid w:val="003460B3"/>
    <w:rsid w:val="00346255"/>
    <w:rsid w:val="00346321"/>
    <w:rsid w:val="003464EE"/>
    <w:rsid w:val="003465C9"/>
    <w:rsid w:val="00346D46"/>
    <w:rsid w:val="00346E3A"/>
    <w:rsid w:val="00346F12"/>
    <w:rsid w:val="003470F3"/>
    <w:rsid w:val="003471F0"/>
    <w:rsid w:val="00347201"/>
    <w:rsid w:val="0034785B"/>
    <w:rsid w:val="00347D41"/>
    <w:rsid w:val="00347E8A"/>
    <w:rsid w:val="003503EC"/>
    <w:rsid w:val="0035046A"/>
    <w:rsid w:val="00350775"/>
    <w:rsid w:val="003508D4"/>
    <w:rsid w:val="003508D7"/>
    <w:rsid w:val="00350AC4"/>
    <w:rsid w:val="00350B27"/>
    <w:rsid w:val="00350BF0"/>
    <w:rsid w:val="00350FE7"/>
    <w:rsid w:val="00351000"/>
    <w:rsid w:val="003511A6"/>
    <w:rsid w:val="00351342"/>
    <w:rsid w:val="0035136C"/>
    <w:rsid w:val="0035165E"/>
    <w:rsid w:val="003519FF"/>
    <w:rsid w:val="00351A20"/>
    <w:rsid w:val="00351A85"/>
    <w:rsid w:val="00351D27"/>
    <w:rsid w:val="00352022"/>
    <w:rsid w:val="003520F2"/>
    <w:rsid w:val="00352634"/>
    <w:rsid w:val="0035271B"/>
    <w:rsid w:val="003528AB"/>
    <w:rsid w:val="00352E97"/>
    <w:rsid w:val="00352F9C"/>
    <w:rsid w:val="00352FD0"/>
    <w:rsid w:val="00353066"/>
    <w:rsid w:val="003534D6"/>
    <w:rsid w:val="003535C1"/>
    <w:rsid w:val="00353926"/>
    <w:rsid w:val="00353A35"/>
    <w:rsid w:val="00353B1D"/>
    <w:rsid w:val="00353D78"/>
    <w:rsid w:val="003540B3"/>
    <w:rsid w:val="00354208"/>
    <w:rsid w:val="0035433E"/>
    <w:rsid w:val="0035451E"/>
    <w:rsid w:val="003545DF"/>
    <w:rsid w:val="003548B8"/>
    <w:rsid w:val="00354984"/>
    <w:rsid w:val="00354AF9"/>
    <w:rsid w:val="00354B03"/>
    <w:rsid w:val="00354C03"/>
    <w:rsid w:val="00354E83"/>
    <w:rsid w:val="00354FD9"/>
    <w:rsid w:val="0035501B"/>
    <w:rsid w:val="00355486"/>
    <w:rsid w:val="00355508"/>
    <w:rsid w:val="00355CED"/>
    <w:rsid w:val="00355D89"/>
    <w:rsid w:val="00356058"/>
    <w:rsid w:val="003562B8"/>
    <w:rsid w:val="0035694D"/>
    <w:rsid w:val="00357345"/>
    <w:rsid w:val="00357607"/>
    <w:rsid w:val="003576B5"/>
    <w:rsid w:val="00357BF0"/>
    <w:rsid w:val="00357F27"/>
    <w:rsid w:val="0036056B"/>
    <w:rsid w:val="00360675"/>
    <w:rsid w:val="00360698"/>
    <w:rsid w:val="0036091A"/>
    <w:rsid w:val="003609D1"/>
    <w:rsid w:val="00360B0C"/>
    <w:rsid w:val="00360CCF"/>
    <w:rsid w:val="00360F19"/>
    <w:rsid w:val="00360FF5"/>
    <w:rsid w:val="00361FD4"/>
    <w:rsid w:val="003622C6"/>
    <w:rsid w:val="003625A4"/>
    <w:rsid w:val="00362CF0"/>
    <w:rsid w:val="00362D04"/>
    <w:rsid w:val="00362DC2"/>
    <w:rsid w:val="00362E34"/>
    <w:rsid w:val="00362F21"/>
    <w:rsid w:val="003632B4"/>
    <w:rsid w:val="0036348A"/>
    <w:rsid w:val="003634BA"/>
    <w:rsid w:val="00363587"/>
    <w:rsid w:val="0036366E"/>
    <w:rsid w:val="00363CA8"/>
    <w:rsid w:val="00363D8D"/>
    <w:rsid w:val="00363E22"/>
    <w:rsid w:val="00364032"/>
    <w:rsid w:val="003644C8"/>
    <w:rsid w:val="003645CF"/>
    <w:rsid w:val="0036487A"/>
    <w:rsid w:val="00364925"/>
    <w:rsid w:val="00364985"/>
    <w:rsid w:val="00364DAE"/>
    <w:rsid w:val="00364E8D"/>
    <w:rsid w:val="00364EAD"/>
    <w:rsid w:val="0036504A"/>
    <w:rsid w:val="003657E1"/>
    <w:rsid w:val="003657E5"/>
    <w:rsid w:val="00365C58"/>
    <w:rsid w:val="003665BE"/>
    <w:rsid w:val="003667E5"/>
    <w:rsid w:val="00366A0F"/>
    <w:rsid w:val="00366AC4"/>
    <w:rsid w:val="00366C3A"/>
    <w:rsid w:val="00366DD8"/>
    <w:rsid w:val="00367198"/>
    <w:rsid w:val="00367220"/>
    <w:rsid w:val="00367315"/>
    <w:rsid w:val="00367453"/>
    <w:rsid w:val="00367659"/>
    <w:rsid w:val="00367738"/>
    <w:rsid w:val="0036786D"/>
    <w:rsid w:val="003679CE"/>
    <w:rsid w:val="00367EB3"/>
    <w:rsid w:val="0037027F"/>
    <w:rsid w:val="003705ED"/>
    <w:rsid w:val="00370756"/>
    <w:rsid w:val="00370958"/>
    <w:rsid w:val="00370B95"/>
    <w:rsid w:val="00371159"/>
    <w:rsid w:val="0037138B"/>
    <w:rsid w:val="003715CB"/>
    <w:rsid w:val="00371C7B"/>
    <w:rsid w:val="003725BE"/>
    <w:rsid w:val="0037289A"/>
    <w:rsid w:val="00372C6C"/>
    <w:rsid w:val="003732C7"/>
    <w:rsid w:val="0037376B"/>
    <w:rsid w:val="00373881"/>
    <w:rsid w:val="00373885"/>
    <w:rsid w:val="003739DB"/>
    <w:rsid w:val="00373A49"/>
    <w:rsid w:val="00373B1A"/>
    <w:rsid w:val="0037400C"/>
    <w:rsid w:val="0037402D"/>
    <w:rsid w:val="00374263"/>
    <w:rsid w:val="003743C7"/>
    <w:rsid w:val="003747B8"/>
    <w:rsid w:val="00374A85"/>
    <w:rsid w:val="00374D1E"/>
    <w:rsid w:val="00374E4C"/>
    <w:rsid w:val="003756F7"/>
    <w:rsid w:val="0037598C"/>
    <w:rsid w:val="00376453"/>
    <w:rsid w:val="00376744"/>
    <w:rsid w:val="0037697C"/>
    <w:rsid w:val="00376ACC"/>
    <w:rsid w:val="00376BDF"/>
    <w:rsid w:val="00376BF1"/>
    <w:rsid w:val="00377095"/>
    <w:rsid w:val="0037729A"/>
    <w:rsid w:val="003773F0"/>
    <w:rsid w:val="0037777F"/>
    <w:rsid w:val="00377B47"/>
    <w:rsid w:val="00377C69"/>
    <w:rsid w:val="00377CF1"/>
    <w:rsid w:val="00377E70"/>
    <w:rsid w:val="00377E7F"/>
    <w:rsid w:val="003803F1"/>
    <w:rsid w:val="00380430"/>
    <w:rsid w:val="00380917"/>
    <w:rsid w:val="00380BE7"/>
    <w:rsid w:val="00380E9D"/>
    <w:rsid w:val="00380F3C"/>
    <w:rsid w:val="00380FD5"/>
    <w:rsid w:val="0038123B"/>
    <w:rsid w:val="00381A45"/>
    <w:rsid w:val="00381A89"/>
    <w:rsid w:val="00381AE5"/>
    <w:rsid w:val="00381BB8"/>
    <w:rsid w:val="00381E8A"/>
    <w:rsid w:val="00381EAC"/>
    <w:rsid w:val="00381FBA"/>
    <w:rsid w:val="00382123"/>
    <w:rsid w:val="003823FE"/>
    <w:rsid w:val="00382A8C"/>
    <w:rsid w:val="00382D22"/>
    <w:rsid w:val="00383049"/>
    <w:rsid w:val="00383071"/>
    <w:rsid w:val="0038313B"/>
    <w:rsid w:val="003832A2"/>
    <w:rsid w:val="003836D8"/>
    <w:rsid w:val="00383855"/>
    <w:rsid w:val="00383BC8"/>
    <w:rsid w:val="00384498"/>
    <w:rsid w:val="003844C8"/>
    <w:rsid w:val="00384538"/>
    <w:rsid w:val="0038483D"/>
    <w:rsid w:val="00384843"/>
    <w:rsid w:val="00384F7E"/>
    <w:rsid w:val="0038531B"/>
    <w:rsid w:val="00385716"/>
    <w:rsid w:val="0038576D"/>
    <w:rsid w:val="00385AA8"/>
    <w:rsid w:val="00385AE7"/>
    <w:rsid w:val="00385C91"/>
    <w:rsid w:val="00385ED3"/>
    <w:rsid w:val="003861D4"/>
    <w:rsid w:val="00386367"/>
    <w:rsid w:val="003863C9"/>
    <w:rsid w:val="00386F2C"/>
    <w:rsid w:val="00387369"/>
    <w:rsid w:val="003873B7"/>
    <w:rsid w:val="003873C5"/>
    <w:rsid w:val="0038760F"/>
    <w:rsid w:val="00387679"/>
    <w:rsid w:val="003876F2"/>
    <w:rsid w:val="00387782"/>
    <w:rsid w:val="00387822"/>
    <w:rsid w:val="0038788B"/>
    <w:rsid w:val="00387D7F"/>
    <w:rsid w:val="00390154"/>
    <w:rsid w:val="00390587"/>
    <w:rsid w:val="00390609"/>
    <w:rsid w:val="003908B8"/>
    <w:rsid w:val="0039095A"/>
    <w:rsid w:val="0039116C"/>
    <w:rsid w:val="003916A6"/>
    <w:rsid w:val="003919F7"/>
    <w:rsid w:val="00391C21"/>
    <w:rsid w:val="00391C66"/>
    <w:rsid w:val="00391D5C"/>
    <w:rsid w:val="00391EAA"/>
    <w:rsid w:val="00391EEA"/>
    <w:rsid w:val="003920D8"/>
    <w:rsid w:val="003922BA"/>
    <w:rsid w:val="00392459"/>
    <w:rsid w:val="00392496"/>
    <w:rsid w:val="003928C2"/>
    <w:rsid w:val="003929AB"/>
    <w:rsid w:val="00392CD8"/>
    <w:rsid w:val="00392DDC"/>
    <w:rsid w:val="0039334D"/>
    <w:rsid w:val="00393491"/>
    <w:rsid w:val="00393557"/>
    <w:rsid w:val="0039358C"/>
    <w:rsid w:val="00393710"/>
    <w:rsid w:val="00393C1F"/>
    <w:rsid w:val="00393CF8"/>
    <w:rsid w:val="00393D3A"/>
    <w:rsid w:val="00393DD2"/>
    <w:rsid w:val="00394138"/>
    <w:rsid w:val="00394300"/>
    <w:rsid w:val="00394330"/>
    <w:rsid w:val="00394749"/>
    <w:rsid w:val="00394788"/>
    <w:rsid w:val="003949A3"/>
    <w:rsid w:val="00394DDA"/>
    <w:rsid w:val="00394F03"/>
    <w:rsid w:val="00395093"/>
    <w:rsid w:val="003950EC"/>
    <w:rsid w:val="00395100"/>
    <w:rsid w:val="003953EB"/>
    <w:rsid w:val="003956A7"/>
    <w:rsid w:val="0039585A"/>
    <w:rsid w:val="00395B4F"/>
    <w:rsid w:val="003960FF"/>
    <w:rsid w:val="003962CD"/>
    <w:rsid w:val="0039634A"/>
    <w:rsid w:val="0039638E"/>
    <w:rsid w:val="0039689F"/>
    <w:rsid w:val="003968D5"/>
    <w:rsid w:val="003969F8"/>
    <w:rsid w:val="00396B57"/>
    <w:rsid w:val="003970CE"/>
    <w:rsid w:val="003970F6"/>
    <w:rsid w:val="003975B6"/>
    <w:rsid w:val="003976CA"/>
    <w:rsid w:val="00397E54"/>
    <w:rsid w:val="00397E5E"/>
    <w:rsid w:val="003A0665"/>
    <w:rsid w:val="003A06A5"/>
    <w:rsid w:val="003A06C5"/>
    <w:rsid w:val="003A0DD1"/>
    <w:rsid w:val="003A107E"/>
    <w:rsid w:val="003A118A"/>
    <w:rsid w:val="003A16DE"/>
    <w:rsid w:val="003A20BB"/>
    <w:rsid w:val="003A2193"/>
    <w:rsid w:val="003A21DE"/>
    <w:rsid w:val="003A24F5"/>
    <w:rsid w:val="003A2640"/>
    <w:rsid w:val="003A26C0"/>
    <w:rsid w:val="003A2813"/>
    <w:rsid w:val="003A2B0D"/>
    <w:rsid w:val="003A2C1D"/>
    <w:rsid w:val="003A2D16"/>
    <w:rsid w:val="003A30D0"/>
    <w:rsid w:val="003A3161"/>
    <w:rsid w:val="003A3407"/>
    <w:rsid w:val="003A34E4"/>
    <w:rsid w:val="003A3691"/>
    <w:rsid w:val="003A3A2E"/>
    <w:rsid w:val="003A3A57"/>
    <w:rsid w:val="003A3EBF"/>
    <w:rsid w:val="003A3EE9"/>
    <w:rsid w:val="003A4150"/>
    <w:rsid w:val="003A4365"/>
    <w:rsid w:val="003A44A8"/>
    <w:rsid w:val="003A457C"/>
    <w:rsid w:val="003A476D"/>
    <w:rsid w:val="003A4A72"/>
    <w:rsid w:val="003A51F7"/>
    <w:rsid w:val="003A5215"/>
    <w:rsid w:val="003A54D8"/>
    <w:rsid w:val="003A5B6E"/>
    <w:rsid w:val="003A623E"/>
    <w:rsid w:val="003A6413"/>
    <w:rsid w:val="003A657C"/>
    <w:rsid w:val="003A6661"/>
    <w:rsid w:val="003A673B"/>
    <w:rsid w:val="003A67A7"/>
    <w:rsid w:val="003A67D3"/>
    <w:rsid w:val="003A6E18"/>
    <w:rsid w:val="003A6F38"/>
    <w:rsid w:val="003A7193"/>
    <w:rsid w:val="003A71AA"/>
    <w:rsid w:val="003A7A02"/>
    <w:rsid w:val="003A7B72"/>
    <w:rsid w:val="003A7D82"/>
    <w:rsid w:val="003A7F6C"/>
    <w:rsid w:val="003A7F85"/>
    <w:rsid w:val="003B09C0"/>
    <w:rsid w:val="003B0DC6"/>
    <w:rsid w:val="003B119B"/>
    <w:rsid w:val="003B14B0"/>
    <w:rsid w:val="003B1990"/>
    <w:rsid w:val="003B1BEE"/>
    <w:rsid w:val="003B1DF1"/>
    <w:rsid w:val="003B1F58"/>
    <w:rsid w:val="003B20F4"/>
    <w:rsid w:val="003B2470"/>
    <w:rsid w:val="003B2619"/>
    <w:rsid w:val="003B2911"/>
    <w:rsid w:val="003B2B5E"/>
    <w:rsid w:val="003B2C0B"/>
    <w:rsid w:val="003B318B"/>
    <w:rsid w:val="003B32C2"/>
    <w:rsid w:val="003B33E4"/>
    <w:rsid w:val="003B3472"/>
    <w:rsid w:val="003B3640"/>
    <w:rsid w:val="003B3CB3"/>
    <w:rsid w:val="003B4715"/>
    <w:rsid w:val="003B4FAC"/>
    <w:rsid w:val="003B51DD"/>
    <w:rsid w:val="003B53AA"/>
    <w:rsid w:val="003B544D"/>
    <w:rsid w:val="003B557A"/>
    <w:rsid w:val="003B558A"/>
    <w:rsid w:val="003B55E8"/>
    <w:rsid w:val="003B5770"/>
    <w:rsid w:val="003B586B"/>
    <w:rsid w:val="003B59C5"/>
    <w:rsid w:val="003B59DD"/>
    <w:rsid w:val="003B5A82"/>
    <w:rsid w:val="003B5B98"/>
    <w:rsid w:val="003B5C0B"/>
    <w:rsid w:val="003B5C72"/>
    <w:rsid w:val="003B6162"/>
    <w:rsid w:val="003B6393"/>
    <w:rsid w:val="003B642D"/>
    <w:rsid w:val="003B69FA"/>
    <w:rsid w:val="003B6CF7"/>
    <w:rsid w:val="003B700E"/>
    <w:rsid w:val="003B7011"/>
    <w:rsid w:val="003C00CA"/>
    <w:rsid w:val="003C011D"/>
    <w:rsid w:val="003C01F9"/>
    <w:rsid w:val="003C06E6"/>
    <w:rsid w:val="003C072C"/>
    <w:rsid w:val="003C0A0D"/>
    <w:rsid w:val="003C0ECA"/>
    <w:rsid w:val="003C1363"/>
    <w:rsid w:val="003C174F"/>
    <w:rsid w:val="003C17F4"/>
    <w:rsid w:val="003C18B8"/>
    <w:rsid w:val="003C18DA"/>
    <w:rsid w:val="003C1D5D"/>
    <w:rsid w:val="003C1F29"/>
    <w:rsid w:val="003C1F3B"/>
    <w:rsid w:val="003C22D4"/>
    <w:rsid w:val="003C260C"/>
    <w:rsid w:val="003C272D"/>
    <w:rsid w:val="003C2DFA"/>
    <w:rsid w:val="003C3030"/>
    <w:rsid w:val="003C324B"/>
    <w:rsid w:val="003C335A"/>
    <w:rsid w:val="003C3810"/>
    <w:rsid w:val="003C3A67"/>
    <w:rsid w:val="003C3B3C"/>
    <w:rsid w:val="003C3B45"/>
    <w:rsid w:val="003C3CF6"/>
    <w:rsid w:val="003C3DA4"/>
    <w:rsid w:val="003C3F17"/>
    <w:rsid w:val="003C40AA"/>
    <w:rsid w:val="003C43D6"/>
    <w:rsid w:val="003C459D"/>
    <w:rsid w:val="003C474F"/>
    <w:rsid w:val="003C494B"/>
    <w:rsid w:val="003C4996"/>
    <w:rsid w:val="003C4A52"/>
    <w:rsid w:val="003C4D28"/>
    <w:rsid w:val="003C4D8B"/>
    <w:rsid w:val="003C4E76"/>
    <w:rsid w:val="003C4EB1"/>
    <w:rsid w:val="003C504F"/>
    <w:rsid w:val="003C51E3"/>
    <w:rsid w:val="003C5575"/>
    <w:rsid w:val="003C5648"/>
    <w:rsid w:val="003C566C"/>
    <w:rsid w:val="003C58B6"/>
    <w:rsid w:val="003C5B26"/>
    <w:rsid w:val="003C6023"/>
    <w:rsid w:val="003C61E9"/>
    <w:rsid w:val="003C63DF"/>
    <w:rsid w:val="003C6514"/>
    <w:rsid w:val="003C6924"/>
    <w:rsid w:val="003C6AC3"/>
    <w:rsid w:val="003C6B88"/>
    <w:rsid w:val="003C6C16"/>
    <w:rsid w:val="003C6D06"/>
    <w:rsid w:val="003C7227"/>
    <w:rsid w:val="003C738F"/>
    <w:rsid w:val="003C7C28"/>
    <w:rsid w:val="003C7D43"/>
    <w:rsid w:val="003C7E35"/>
    <w:rsid w:val="003D000D"/>
    <w:rsid w:val="003D0198"/>
    <w:rsid w:val="003D0592"/>
    <w:rsid w:val="003D064B"/>
    <w:rsid w:val="003D072C"/>
    <w:rsid w:val="003D078B"/>
    <w:rsid w:val="003D083F"/>
    <w:rsid w:val="003D0968"/>
    <w:rsid w:val="003D0A36"/>
    <w:rsid w:val="003D0A8C"/>
    <w:rsid w:val="003D0B02"/>
    <w:rsid w:val="003D0EEE"/>
    <w:rsid w:val="003D13E8"/>
    <w:rsid w:val="003D14B7"/>
    <w:rsid w:val="003D1979"/>
    <w:rsid w:val="003D1A83"/>
    <w:rsid w:val="003D1C59"/>
    <w:rsid w:val="003D1E2C"/>
    <w:rsid w:val="003D1E4A"/>
    <w:rsid w:val="003D1F6A"/>
    <w:rsid w:val="003D1F80"/>
    <w:rsid w:val="003D205E"/>
    <w:rsid w:val="003D2586"/>
    <w:rsid w:val="003D26C4"/>
    <w:rsid w:val="003D2920"/>
    <w:rsid w:val="003D2EB1"/>
    <w:rsid w:val="003D30D2"/>
    <w:rsid w:val="003D31BB"/>
    <w:rsid w:val="003D330F"/>
    <w:rsid w:val="003D3525"/>
    <w:rsid w:val="003D362E"/>
    <w:rsid w:val="003D3BA2"/>
    <w:rsid w:val="003D40A2"/>
    <w:rsid w:val="003D421D"/>
    <w:rsid w:val="003D4417"/>
    <w:rsid w:val="003D4429"/>
    <w:rsid w:val="003D4472"/>
    <w:rsid w:val="003D44C4"/>
    <w:rsid w:val="003D4660"/>
    <w:rsid w:val="003D4866"/>
    <w:rsid w:val="003D49E8"/>
    <w:rsid w:val="003D4BF6"/>
    <w:rsid w:val="003D4ECA"/>
    <w:rsid w:val="003D505B"/>
    <w:rsid w:val="003D5705"/>
    <w:rsid w:val="003D5B51"/>
    <w:rsid w:val="003D5BF2"/>
    <w:rsid w:val="003D607C"/>
    <w:rsid w:val="003D60E1"/>
    <w:rsid w:val="003D66CE"/>
    <w:rsid w:val="003D68E4"/>
    <w:rsid w:val="003D695A"/>
    <w:rsid w:val="003D699D"/>
    <w:rsid w:val="003D6C67"/>
    <w:rsid w:val="003D6E48"/>
    <w:rsid w:val="003D6E50"/>
    <w:rsid w:val="003D723D"/>
    <w:rsid w:val="003D74AA"/>
    <w:rsid w:val="003D74EF"/>
    <w:rsid w:val="003D758E"/>
    <w:rsid w:val="003D7593"/>
    <w:rsid w:val="003D7911"/>
    <w:rsid w:val="003D7980"/>
    <w:rsid w:val="003D7B47"/>
    <w:rsid w:val="003D7CD7"/>
    <w:rsid w:val="003E01CE"/>
    <w:rsid w:val="003E0389"/>
    <w:rsid w:val="003E042D"/>
    <w:rsid w:val="003E056F"/>
    <w:rsid w:val="003E0708"/>
    <w:rsid w:val="003E0A4A"/>
    <w:rsid w:val="003E0F15"/>
    <w:rsid w:val="003E136D"/>
    <w:rsid w:val="003E1937"/>
    <w:rsid w:val="003E19BA"/>
    <w:rsid w:val="003E1CC6"/>
    <w:rsid w:val="003E1E77"/>
    <w:rsid w:val="003E2249"/>
    <w:rsid w:val="003E2332"/>
    <w:rsid w:val="003E24DE"/>
    <w:rsid w:val="003E2579"/>
    <w:rsid w:val="003E2A9E"/>
    <w:rsid w:val="003E2B6E"/>
    <w:rsid w:val="003E2C3D"/>
    <w:rsid w:val="003E313D"/>
    <w:rsid w:val="003E31E3"/>
    <w:rsid w:val="003E33AE"/>
    <w:rsid w:val="003E3420"/>
    <w:rsid w:val="003E3634"/>
    <w:rsid w:val="003E3892"/>
    <w:rsid w:val="003E38AB"/>
    <w:rsid w:val="003E3987"/>
    <w:rsid w:val="003E3A11"/>
    <w:rsid w:val="003E3AA4"/>
    <w:rsid w:val="003E3F10"/>
    <w:rsid w:val="003E3FF4"/>
    <w:rsid w:val="003E4028"/>
    <w:rsid w:val="003E4077"/>
    <w:rsid w:val="003E40C6"/>
    <w:rsid w:val="003E4E33"/>
    <w:rsid w:val="003E4EBB"/>
    <w:rsid w:val="003E4F49"/>
    <w:rsid w:val="003E5513"/>
    <w:rsid w:val="003E5764"/>
    <w:rsid w:val="003E576E"/>
    <w:rsid w:val="003E58F5"/>
    <w:rsid w:val="003E5BF2"/>
    <w:rsid w:val="003E5CB3"/>
    <w:rsid w:val="003E5D6F"/>
    <w:rsid w:val="003E5DE9"/>
    <w:rsid w:val="003E600D"/>
    <w:rsid w:val="003E6687"/>
    <w:rsid w:val="003E6715"/>
    <w:rsid w:val="003E68E7"/>
    <w:rsid w:val="003E6BF2"/>
    <w:rsid w:val="003E753C"/>
    <w:rsid w:val="003E7719"/>
    <w:rsid w:val="003F0259"/>
    <w:rsid w:val="003F0392"/>
    <w:rsid w:val="003F06AB"/>
    <w:rsid w:val="003F08A7"/>
    <w:rsid w:val="003F0C16"/>
    <w:rsid w:val="003F0D82"/>
    <w:rsid w:val="003F1250"/>
    <w:rsid w:val="003F1332"/>
    <w:rsid w:val="003F1969"/>
    <w:rsid w:val="003F19A3"/>
    <w:rsid w:val="003F1AAB"/>
    <w:rsid w:val="003F1BDF"/>
    <w:rsid w:val="003F20D7"/>
    <w:rsid w:val="003F23BA"/>
    <w:rsid w:val="003F2435"/>
    <w:rsid w:val="003F2883"/>
    <w:rsid w:val="003F2AC4"/>
    <w:rsid w:val="003F2BD3"/>
    <w:rsid w:val="003F2DAD"/>
    <w:rsid w:val="003F2F13"/>
    <w:rsid w:val="003F33AA"/>
    <w:rsid w:val="003F3512"/>
    <w:rsid w:val="003F3C25"/>
    <w:rsid w:val="003F3C98"/>
    <w:rsid w:val="003F3CEC"/>
    <w:rsid w:val="003F3E8E"/>
    <w:rsid w:val="003F40E4"/>
    <w:rsid w:val="003F411E"/>
    <w:rsid w:val="003F4181"/>
    <w:rsid w:val="003F433D"/>
    <w:rsid w:val="003F4372"/>
    <w:rsid w:val="003F48AC"/>
    <w:rsid w:val="003F4BCC"/>
    <w:rsid w:val="003F4C2E"/>
    <w:rsid w:val="003F4FA0"/>
    <w:rsid w:val="003F5A35"/>
    <w:rsid w:val="003F5A60"/>
    <w:rsid w:val="003F5E29"/>
    <w:rsid w:val="003F5FEC"/>
    <w:rsid w:val="003F5FEE"/>
    <w:rsid w:val="003F605B"/>
    <w:rsid w:val="003F6296"/>
    <w:rsid w:val="003F62DD"/>
    <w:rsid w:val="003F6399"/>
    <w:rsid w:val="003F67AE"/>
    <w:rsid w:val="003F67CC"/>
    <w:rsid w:val="003F6BC5"/>
    <w:rsid w:val="003F6C2D"/>
    <w:rsid w:val="003F6D44"/>
    <w:rsid w:val="003F6FC9"/>
    <w:rsid w:val="003F71E0"/>
    <w:rsid w:val="003F7247"/>
    <w:rsid w:val="003F7374"/>
    <w:rsid w:val="003F7853"/>
    <w:rsid w:val="003F78BE"/>
    <w:rsid w:val="003F7C70"/>
    <w:rsid w:val="003F7DC2"/>
    <w:rsid w:val="0040005B"/>
    <w:rsid w:val="00400729"/>
    <w:rsid w:val="00400744"/>
    <w:rsid w:val="004007C8"/>
    <w:rsid w:val="00400900"/>
    <w:rsid w:val="00400A6F"/>
    <w:rsid w:val="00400B0C"/>
    <w:rsid w:val="00400DC0"/>
    <w:rsid w:val="00400F5F"/>
    <w:rsid w:val="0040130B"/>
    <w:rsid w:val="004016B3"/>
    <w:rsid w:val="00401905"/>
    <w:rsid w:val="00401A16"/>
    <w:rsid w:val="00401B33"/>
    <w:rsid w:val="00401E20"/>
    <w:rsid w:val="0040214A"/>
    <w:rsid w:val="00402211"/>
    <w:rsid w:val="004022BD"/>
    <w:rsid w:val="004027A7"/>
    <w:rsid w:val="004027F1"/>
    <w:rsid w:val="004028AE"/>
    <w:rsid w:val="00402C37"/>
    <w:rsid w:val="004032F0"/>
    <w:rsid w:val="004033FC"/>
    <w:rsid w:val="00403411"/>
    <w:rsid w:val="004035B3"/>
    <w:rsid w:val="0040361A"/>
    <w:rsid w:val="00403634"/>
    <w:rsid w:val="00403AC3"/>
    <w:rsid w:val="00403EC9"/>
    <w:rsid w:val="00403FF4"/>
    <w:rsid w:val="0040444F"/>
    <w:rsid w:val="00404600"/>
    <w:rsid w:val="00404AA9"/>
    <w:rsid w:val="00404B84"/>
    <w:rsid w:val="00404BDA"/>
    <w:rsid w:val="00404C14"/>
    <w:rsid w:val="00404C41"/>
    <w:rsid w:val="00404CB3"/>
    <w:rsid w:val="00404DEB"/>
    <w:rsid w:val="00404EB1"/>
    <w:rsid w:val="004054AD"/>
    <w:rsid w:val="004055BD"/>
    <w:rsid w:val="00405740"/>
    <w:rsid w:val="00405BBA"/>
    <w:rsid w:val="00405C56"/>
    <w:rsid w:val="00405C58"/>
    <w:rsid w:val="00406391"/>
    <w:rsid w:val="00406B73"/>
    <w:rsid w:val="00406CE6"/>
    <w:rsid w:val="0040706E"/>
    <w:rsid w:val="00407267"/>
    <w:rsid w:val="00407380"/>
    <w:rsid w:val="0040744C"/>
    <w:rsid w:val="004077FD"/>
    <w:rsid w:val="004079DD"/>
    <w:rsid w:val="00407BE2"/>
    <w:rsid w:val="00410023"/>
    <w:rsid w:val="0041029A"/>
    <w:rsid w:val="0041030A"/>
    <w:rsid w:val="0041040F"/>
    <w:rsid w:val="0041041B"/>
    <w:rsid w:val="00410896"/>
    <w:rsid w:val="004108A1"/>
    <w:rsid w:val="00410A5A"/>
    <w:rsid w:val="00410B6E"/>
    <w:rsid w:val="0041102F"/>
    <w:rsid w:val="004113FA"/>
    <w:rsid w:val="0041149D"/>
    <w:rsid w:val="0041189B"/>
    <w:rsid w:val="00411E0C"/>
    <w:rsid w:val="0041241B"/>
    <w:rsid w:val="004124DA"/>
    <w:rsid w:val="00412535"/>
    <w:rsid w:val="00412B1F"/>
    <w:rsid w:val="00412CD6"/>
    <w:rsid w:val="00412F0A"/>
    <w:rsid w:val="004130B5"/>
    <w:rsid w:val="0041322D"/>
    <w:rsid w:val="004136C5"/>
    <w:rsid w:val="00413AD1"/>
    <w:rsid w:val="00413C04"/>
    <w:rsid w:val="00413FA6"/>
    <w:rsid w:val="0041406D"/>
    <w:rsid w:val="004140CB"/>
    <w:rsid w:val="00414430"/>
    <w:rsid w:val="004146A6"/>
    <w:rsid w:val="004148D3"/>
    <w:rsid w:val="00414DC2"/>
    <w:rsid w:val="00414FC4"/>
    <w:rsid w:val="004150DB"/>
    <w:rsid w:val="00415270"/>
    <w:rsid w:val="00415316"/>
    <w:rsid w:val="0041569A"/>
    <w:rsid w:val="004157C2"/>
    <w:rsid w:val="0041595C"/>
    <w:rsid w:val="00415C1C"/>
    <w:rsid w:val="00415EC0"/>
    <w:rsid w:val="00415F97"/>
    <w:rsid w:val="004162A5"/>
    <w:rsid w:val="00416363"/>
    <w:rsid w:val="0041645D"/>
    <w:rsid w:val="004168AD"/>
    <w:rsid w:val="004168EC"/>
    <w:rsid w:val="004169A4"/>
    <w:rsid w:val="004169CE"/>
    <w:rsid w:val="00416B22"/>
    <w:rsid w:val="00416DD9"/>
    <w:rsid w:val="00416E08"/>
    <w:rsid w:val="00416F2F"/>
    <w:rsid w:val="004172A0"/>
    <w:rsid w:val="00417327"/>
    <w:rsid w:val="0041739C"/>
    <w:rsid w:val="00417942"/>
    <w:rsid w:val="0041799A"/>
    <w:rsid w:val="00417C25"/>
    <w:rsid w:val="0042060E"/>
    <w:rsid w:val="0042068E"/>
    <w:rsid w:val="0042089E"/>
    <w:rsid w:val="00420A09"/>
    <w:rsid w:val="00420C30"/>
    <w:rsid w:val="00420F5B"/>
    <w:rsid w:val="00421643"/>
    <w:rsid w:val="004218A9"/>
    <w:rsid w:val="004223D9"/>
    <w:rsid w:val="004224CE"/>
    <w:rsid w:val="00422500"/>
    <w:rsid w:val="0042298E"/>
    <w:rsid w:val="004229A2"/>
    <w:rsid w:val="00422A26"/>
    <w:rsid w:val="00422B67"/>
    <w:rsid w:val="00422EE2"/>
    <w:rsid w:val="0042305C"/>
    <w:rsid w:val="0042341F"/>
    <w:rsid w:val="00423649"/>
    <w:rsid w:val="0042387E"/>
    <w:rsid w:val="00423898"/>
    <w:rsid w:val="00423D4E"/>
    <w:rsid w:val="00423FB4"/>
    <w:rsid w:val="00424382"/>
    <w:rsid w:val="004243F9"/>
    <w:rsid w:val="00424452"/>
    <w:rsid w:val="004247AF"/>
    <w:rsid w:val="00424EAC"/>
    <w:rsid w:val="004251D7"/>
    <w:rsid w:val="00425348"/>
    <w:rsid w:val="0042541D"/>
    <w:rsid w:val="0042558E"/>
    <w:rsid w:val="004255AF"/>
    <w:rsid w:val="004255EC"/>
    <w:rsid w:val="004257C3"/>
    <w:rsid w:val="00425824"/>
    <w:rsid w:val="004258A2"/>
    <w:rsid w:val="00425A87"/>
    <w:rsid w:val="00425CA2"/>
    <w:rsid w:val="00425CE2"/>
    <w:rsid w:val="00426071"/>
    <w:rsid w:val="004264E2"/>
    <w:rsid w:val="00426629"/>
    <w:rsid w:val="00426797"/>
    <w:rsid w:val="00426840"/>
    <w:rsid w:val="004268FE"/>
    <w:rsid w:val="00426AB8"/>
    <w:rsid w:val="00426B22"/>
    <w:rsid w:val="00426B58"/>
    <w:rsid w:val="00426C1B"/>
    <w:rsid w:val="0042713B"/>
    <w:rsid w:val="0042724F"/>
    <w:rsid w:val="00427799"/>
    <w:rsid w:val="004278DA"/>
    <w:rsid w:val="00427AAA"/>
    <w:rsid w:val="00427D1B"/>
    <w:rsid w:val="00427E2E"/>
    <w:rsid w:val="00430293"/>
    <w:rsid w:val="00430B0B"/>
    <w:rsid w:val="00430BE4"/>
    <w:rsid w:val="00430D15"/>
    <w:rsid w:val="00430F93"/>
    <w:rsid w:val="00431016"/>
    <w:rsid w:val="004311E6"/>
    <w:rsid w:val="00431423"/>
    <w:rsid w:val="0043152F"/>
    <w:rsid w:val="0043164C"/>
    <w:rsid w:val="00431712"/>
    <w:rsid w:val="00431AE3"/>
    <w:rsid w:val="00431B57"/>
    <w:rsid w:val="00431D8A"/>
    <w:rsid w:val="0043203A"/>
    <w:rsid w:val="00432167"/>
    <w:rsid w:val="00432383"/>
    <w:rsid w:val="00432DD7"/>
    <w:rsid w:val="004333CE"/>
    <w:rsid w:val="00433499"/>
    <w:rsid w:val="004337BB"/>
    <w:rsid w:val="004338B0"/>
    <w:rsid w:val="00433DCD"/>
    <w:rsid w:val="004343AC"/>
    <w:rsid w:val="004344C3"/>
    <w:rsid w:val="0043461C"/>
    <w:rsid w:val="00435596"/>
    <w:rsid w:val="004357BF"/>
    <w:rsid w:val="0043586E"/>
    <w:rsid w:val="004358FE"/>
    <w:rsid w:val="00435DC2"/>
    <w:rsid w:val="00436029"/>
    <w:rsid w:val="004360BE"/>
    <w:rsid w:val="004363BC"/>
    <w:rsid w:val="004364B5"/>
    <w:rsid w:val="00436687"/>
    <w:rsid w:val="00436854"/>
    <w:rsid w:val="00436B11"/>
    <w:rsid w:val="00436B40"/>
    <w:rsid w:val="00436FBB"/>
    <w:rsid w:val="00436FFB"/>
    <w:rsid w:val="0043718E"/>
    <w:rsid w:val="004371C4"/>
    <w:rsid w:val="004376B6"/>
    <w:rsid w:val="00437864"/>
    <w:rsid w:val="0043788C"/>
    <w:rsid w:val="00437AFB"/>
    <w:rsid w:val="00437D43"/>
    <w:rsid w:val="00437E1E"/>
    <w:rsid w:val="004404BF"/>
    <w:rsid w:val="0044066D"/>
    <w:rsid w:val="00440E90"/>
    <w:rsid w:val="004412B5"/>
    <w:rsid w:val="00441342"/>
    <w:rsid w:val="004413C7"/>
    <w:rsid w:val="004417C8"/>
    <w:rsid w:val="00441C5B"/>
    <w:rsid w:val="00441C62"/>
    <w:rsid w:val="00441F39"/>
    <w:rsid w:val="00442310"/>
    <w:rsid w:val="00442515"/>
    <w:rsid w:val="00442601"/>
    <w:rsid w:val="00442B62"/>
    <w:rsid w:val="00442B97"/>
    <w:rsid w:val="00442BEA"/>
    <w:rsid w:val="00443018"/>
    <w:rsid w:val="00443062"/>
    <w:rsid w:val="00443131"/>
    <w:rsid w:val="0044317B"/>
    <w:rsid w:val="00443226"/>
    <w:rsid w:val="0044360E"/>
    <w:rsid w:val="00443822"/>
    <w:rsid w:val="00443B1D"/>
    <w:rsid w:val="00444171"/>
    <w:rsid w:val="004443EF"/>
    <w:rsid w:val="004444EB"/>
    <w:rsid w:val="00444682"/>
    <w:rsid w:val="00444C62"/>
    <w:rsid w:val="00444C83"/>
    <w:rsid w:val="00444F1C"/>
    <w:rsid w:val="00444FFE"/>
    <w:rsid w:val="004459B5"/>
    <w:rsid w:val="00445D5F"/>
    <w:rsid w:val="004460D7"/>
    <w:rsid w:val="00446339"/>
    <w:rsid w:val="0044636E"/>
    <w:rsid w:val="004466EC"/>
    <w:rsid w:val="00446C01"/>
    <w:rsid w:val="00447061"/>
    <w:rsid w:val="0044732E"/>
    <w:rsid w:val="00447519"/>
    <w:rsid w:val="00447670"/>
    <w:rsid w:val="00447790"/>
    <w:rsid w:val="00447F20"/>
    <w:rsid w:val="00450512"/>
    <w:rsid w:val="00450749"/>
    <w:rsid w:val="00450954"/>
    <w:rsid w:val="00450D4D"/>
    <w:rsid w:val="00450EAA"/>
    <w:rsid w:val="0045102E"/>
    <w:rsid w:val="0045112A"/>
    <w:rsid w:val="00451364"/>
    <w:rsid w:val="00451719"/>
    <w:rsid w:val="004518F6"/>
    <w:rsid w:val="00451E24"/>
    <w:rsid w:val="004521C0"/>
    <w:rsid w:val="00452B8D"/>
    <w:rsid w:val="00452D0C"/>
    <w:rsid w:val="00452E17"/>
    <w:rsid w:val="004533EA"/>
    <w:rsid w:val="00453D59"/>
    <w:rsid w:val="00453ED9"/>
    <w:rsid w:val="0045416C"/>
    <w:rsid w:val="00454B43"/>
    <w:rsid w:val="00454DF7"/>
    <w:rsid w:val="004551A2"/>
    <w:rsid w:val="004554F6"/>
    <w:rsid w:val="00455556"/>
    <w:rsid w:val="00455A75"/>
    <w:rsid w:val="00455F2A"/>
    <w:rsid w:val="0045607F"/>
    <w:rsid w:val="004560E4"/>
    <w:rsid w:val="004561F1"/>
    <w:rsid w:val="004562C3"/>
    <w:rsid w:val="004564F6"/>
    <w:rsid w:val="004567A2"/>
    <w:rsid w:val="00456CC3"/>
    <w:rsid w:val="00456E88"/>
    <w:rsid w:val="00457679"/>
    <w:rsid w:val="004576E6"/>
    <w:rsid w:val="00457909"/>
    <w:rsid w:val="0045797C"/>
    <w:rsid w:val="00457BFB"/>
    <w:rsid w:val="00457D7F"/>
    <w:rsid w:val="00457E7A"/>
    <w:rsid w:val="0046010D"/>
    <w:rsid w:val="00460E8D"/>
    <w:rsid w:val="00460ED9"/>
    <w:rsid w:val="00460F5C"/>
    <w:rsid w:val="0046102D"/>
    <w:rsid w:val="004612F3"/>
    <w:rsid w:val="0046143C"/>
    <w:rsid w:val="004614E6"/>
    <w:rsid w:val="0046178D"/>
    <w:rsid w:val="00461921"/>
    <w:rsid w:val="00461E35"/>
    <w:rsid w:val="00461E7F"/>
    <w:rsid w:val="004623B4"/>
    <w:rsid w:val="0046243E"/>
    <w:rsid w:val="004624B7"/>
    <w:rsid w:val="00462695"/>
    <w:rsid w:val="00462729"/>
    <w:rsid w:val="00462CDB"/>
    <w:rsid w:val="00463142"/>
    <w:rsid w:val="004631E3"/>
    <w:rsid w:val="00463710"/>
    <w:rsid w:val="0046376C"/>
    <w:rsid w:val="004638BF"/>
    <w:rsid w:val="00463948"/>
    <w:rsid w:val="00463AD8"/>
    <w:rsid w:val="00463B5E"/>
    <w:rsid w:val="00463E19"/>
    <w:rsid w:val="00463EA4"/>
    <w:rsid w:val="004640BA"/>
    <w:rsid w:val="004641CA"/>
    <w:rsid w:val="0046435F"/>
    <w:rsid w:val="00464439"/>
    <w:rsid w:val="0046486B"/>
    <w:rsid w:val="00464B15"/>
    <w:rsid w:val="00464B8F"/>
    <w:rsid w:val="00464D03"/>
    <w:rsid w:val="00464E61"/>
    <w:rsid w:val="00465430"/>
    <w:rsid w:val="00465534"/>
    <w:rsid w:val="00465946"/>
    <w:rsid w:val="00465AC5"/>
    <w:rsid w:val="00465AC7"/>
    <w:rsid w:val="00465D50"/>
    <w:rsid w:val="00465DB3"/>
    <w:rsid w:val="00465DCB"/>
    <w:rsid w:val="004660FD"/>
    <w:rsid w:val="00466155"/>
    <w:rsid w:val="004663D5"/>
    <w:rsid w:val="004664E8"/>
    <w:rsid w:val="00466593"/>
    <w:rsid w:val="004667FD"/>
    <w:rsid w:val="004668CF"/>
    <w:rsid w:val="00466975"/>
    <w:rsid w:val="004670B6"/>
    <w:rsid w:val="00467219"/>
    <w:rsid w:val="004673C9"/>
    <w:rsid w:val="0046749C"/>
    <w:rsid w:val="00467786"/>
    <w:rsid w:val="00467A64"/>
    <w:rsid w:val="00467FEA"/>
    <w:rsid w:val="0047024F"/>
    <w:rsid w:val="00470309"/>
    <w:rsid w:val="004704E5"/>
    <w:rsid w:val="00470668"/>
    <w:rsid w:val="00470813"/>
    <w:rsid w:val="00470AEA"/>
    <w:rsid w:val="00470B44"/>
    <w:rsid w:val="0047100A"/>
    <w:rsid w:val="00471182"/>
    <w:rsid w:val="0047149B"/>
    <w:rsid w:val="0047175D"/>
    <w:rsid w:val="0047185D"/>
    <w:rsid w:val="00471DBC"/>
    <w:rsid w:val="00471E66"/>
    <w:rsid w:val="00472157"/>
    <w:rsid w:val="0047235B"/>
    <w:rsid w:val="00472638"/>
    <w:rsid w:val="004726F4"/>
    <w:rsid w:val="0047289C"/>
    <w:rsid w:val="00472A91"/>
    <w:rsid w:val="00472ABC"/>
    <w:rsid w:val="00472C02"/>
    <w:rsid w:val="00472C1F"/>
    <w:rsid w:val="004732B6"/>
    <w:rsid w:val="0047333B"/>
    <w:rsid w:val="004734DE"/>
    <w:rsid w:val="00473BE1"/>
    <w:rsid w:val="004742C2"/>
    <w:rsid w:val="00474448"/>
    <w:rsid w:val="00474551"/>
    <w:rsid w:val="0047461F"/>
    <w:rsid w:val="004748AA"/>
    <w:rsid w:val="00474F4D"/>
    <w:rsid w:val="0047586D"/>
    <w:rsid w:val="00475B3D"/>
    <w:rsid w:val="0047604F"/>
    <w:rsid w:val="00476AD3"/>
    <w:rsid w:val="00476EE5"/>
    <w:rsid w:val="004775CB"/>
    <w:rsid w:val="004775EF"/>
    <w:rsid w:val="00477E14"/>
    <w:rsid w:val="00477E70"/>
    <w:rsid w:val="00477E8D"/>
    <w:rsid w:val="00480086"/>
    <w:rsid w:val="004802C2"/>
    <w:rsid w:val="0048039E"/>
    <w:rsid w:val="0048062F"/>
    <w:rsid w:val="00480A0F"/>
    <w:rsid w:val="00480A15"/>
    <w:rsid w:val="00480BDA"/>
    <w:rsid w:val="00480D3C"/>
    <w:rsid w:val="00480EB5"/>
    <w:rsid w:val="004813AC"/>
    <w:rsid w:val="004815D1"/>
    <w:rsid w:val="00481927"/>
    <w:rsid w:val="0048194C"/>
    <w:rsid w:val="00481962"/>
    <w:rsid w:val="0048198C"/>
    <w:rsid w:val="00481A86"/>
    <w:rsid w:val="00481AD3"/>
    <w:rsid w:val="00481C94"/>
    <w:rsid w:val="00482081"/>
    <w:rsid w:val="00482769"/>
    <w:rsid w:val="0048287A"/>
    <w:rsid w:val="004829E1"/>
    <w:rsid w:val="00482A1C"/>
    <w:rsid w:val="00482AC6"/>
    <w:rsid w:val="00482AF8"/>
    <w:rsid w:val="00482CBB"/>
    <w:rsid w:val="004830A1"/>
    <w:rsid w:val="0048319E"/>
    <w:rsid w:val="004833AF"/>
    <w:rsid w:val="004834E0"/>
    <w:rsid w:val="0048360A"/>
    <w:rsid w:val="00483E79"/>
    <w:rsid w:val="004842F9"/>
    <w:rsid w:val="004844C8"/>
    <w:rsid w:val="004848DC"/>
    <w:rsid w:val="004849BE"/>
    <w:rsid w:val="00484E4B"/>
    <w:rsid w:val="00484F11"/>
    <w:rsid w:val="00485127"/>
    <w:rsid w:val="00485540"/>
    <w:rsid w:val="004855EC"/>
    <w:rsid w:val="004857C6"/>
    <w:rsid w:val="004859C5"/>
    <w:rsid w:val="00485AF6"/>
    <w:rsid w:val="00485B63"/>
    <w:rsid w:val="00485C50"/>
    <w:rsid w:val="004861EE"/>
    <w:rsid w:val="00486CAA"/>
    <w:rsid w:val="00486D92"/>
    <w:rsid w:val="00486E9F"/>
    <w:rsid w:val="0048702F"/>
    <w:rsid w:val="004870A2"/>
    <w:rsid w:val="004871CB"/>
    <w:rsid w:val="00487273"/>
    <w:rsid w:val="00487660"/>
    <w:rsid w:val="00487672"/>
    <w:rsid w:val="004876B4"/>
    <w:rsid w:val="00487A66"/>
    <w:rsid w:val="00487BAB"/>
    <w:rsid w:val="00487FCB"/>
    <w:rsid w:val="00490404"/>
    <w:rsid w:val="00490B5D"/>
    <w:rsid w:val="00490CD8"/>
    <w:rsid w:val="00490D58"/>
    <w:rsid w:val="00490DEE"/>
    <w:rsid w:val="00491154"/>
    <w:rsid w:val="0049140E"/>
    <w:rsid w:val="00491443"/>
    <w:rsid w:val="00491824"/>
    <w:rsid w:val="00491B56"/>
    <w:rsid w:val="00491D34"/>
    <w:rsid w:val="00491D3B"/>
    <w:rsid w:val="00491DA2"/>
    <w:rsid w:val="00491FC5"/>
    <w:rsid w:val="004921C2"/>
    <w:rsid w:val="0049227D"/>
    <w:rsid w:val="0049285C"/>
    <w:rsid w:val="0049292E"/>
    <w:rsid w:val="0049294C"/>
    <w:rsid w:val="00492BB5"/>
    <w:rsid w:val="00493782"/>
    <w:rsid w:val="004937B4"/>
    <w:rsid w:val="00493926"/>
    <w:rsid w:val="004939C2"/>
    <w:rsid w:val="00493B23"/>
    <w:rsid w:val="00493D1E"/>
    <w:rsid w:val="00493DBF"/>
    <w:rsid w:val="00493E5E"/>
    <w:rsid w:val="00494008"/>
    <w:rsid w:val="004942A0"/>
    <w:rsid w:val="00494624"/>
    <w:rsid w:val="00494A09"/>
    <w:rsid w:val="00494E58"/>
    <w:rsid w:val="00495200"/>
    <w:rsid w:val="0049524E"/>
    <w:rsid w:val="00495358"/>
    <w:rsid w:val="004956C9"/>
    <w:rsid w:val="0049586D"/>
    <w:rsid w:val="00495A80"/>
    <w:rsid w:val="00495B03"/>
    <w:rsid w:val="00495B5F"/>
    <w:rsid w:val="00496114"/>
    <w:rsid w:val="00496187"/>
    <w:rsid w:val="00496856"/>
    <w:rsid w:val="0049722C"/>
    <w:rsid w:val="004973B5"/>
    <w:rsid w:val="004978EA"/>
    <w:rsid w:val="00497D8E"/>
    <w:rsid w:val="00497F8B"/>
    <w:rsid w:val="004A02C1"/>
    <w:rsid w:val="004A03C0"/>
    <w:rsid w:val="004A05C9"/>
    <w:rsid w:val="004A0BBD"/>
    <w:rsid w:val="004A0CA5"/>
    <w:rsid w:val="004A0D5F"/>
    <w:rsid w:val="004A0F7C"/>
    <w:rsid w:val="004A0FD1"/>
    <w:rsid w:val="004A1120"/>
    <w:rsid w:val="004A115E"/>
    <w:rsid w:val="004A137E"/>
    <w:rsid w:val="004A177C"/>
    <w:rsid w:val="004A1A77"/>
    <w:rsid w:val="004A1CCC"/>
    <w:rsid w:val="004A1E1E"/>
    <w:rsid w:val="004A1E9A"/>
    <w:rsid w:val="004A1FCC"/>
    <w:rsid w:val="004A21A1"/>
    <w:rsid w:val="004A222C"/>
    <w:rsid w:val="004A2510"/>
    <w:rsid w:val="004A2663"/>
    <w:rsid w:val="004A2665"/>
    <w:rsid w:val="004A2779"/>
    <w:rsid w:val="004A2EB9"/>
    <w:rsid w:val="004A2FF2"/>
    <w:rsid w:val="004A33BE"/>
    <w:rsid w:val="004A3401"/>
    <w:rsid w:val="004A3B03"/>
    <w:rsid w:val="004A3B63"/>
    <w:rsid w:val="004A3E5D"/>
    <w:rsid w:val="004A3E9A"/>
    <w:rsid w:val="004A3FAE"/>
    <w:rsid w:val="004A4118"/>
    <w:rsid w:val="004A4139"/>
    <w:rsid w:val="004A4166"/>
    <w:rsid w:val="004A427A"/>
    <w:rsid w:val="004A4418"/>
    <w:rsid w:val="004A4928"/>
    <w:rsid w:val="004A4A33"/>
    <w:rsid w:val="004A4E26"/>
    <w:rsid w:val="004A4ECB"/>
    <w:rsid w:val="004A55BD"/>
    <w:rsid w:val="004A5616"/>
    <w:rsid w:val="004A5638"/>
    <w:rsid w:val="004A56A7"/>
    <w:rsid w:val="004A58DA"/>
    <w:rsid w:val="004A610A"/>
    <w:rsid w:val="004A6276"/>
    <w:rsid w:val="004A663D"/>
    <w:rsid w:val="004A6775"/>
    <w:rsid w:val="004A68A7"/>
    <w:rsid w:val="004A68DC"/>
    <w:rsid w:val="004A6C0F"/>
    <w:rsid w:val="004A6DEE"/>
    <w:rsid w:val="004A7050"/>
    <w:rsid w:val="004A748E"/>
    <w:rsid w:val="004A791C"/>
    <w:rsid w:val="004A7CDC"/>
    <w:rsid w:val="004A7E50"/>
    <w:rsid w:val="004B08AE"/>
    <w:rsid w:val="004B0AA2"/>
    <w:rsid w:val="004B0DE6"/>
    <w:rsid w:val="004B0F3A"/>
    <w:rsid w:val="004B1011"/>
    <w:rsid w:val="004B1897"/>
    <w:rsid w:val="004B191D"/>
    <w:rsid w:val="004B1D37"/>
    <w:rsid w:val="004B1D69"/>
    <w:rsid w:val="004B1DD6"/>
    <w:rsid w:val="004B1EF0"/>
    <w:rsid w:val="004B2008"/>
    <w:rsid w:val="004B2127"/>
    <w:rsid w:val="004B25EC"/>
    <w:rsid w:val="004B2B7F"/>
    <w:rsid w:val="004B2BC2"/>
    <w:rsid w:val="004B2EC3"/>
    <w:rsid w:val="004B3225"/>
    <w:rsid w:val="004B349E"/>
    <w:rsid w:val="004B3518"/>
    <w:rsid w:val="004B3664"/>
    <w:rsid w:val="004B3768"/>
    <w:rsid w:val="004B37A9"/>
    <w:rsid w:val="004B380F"/>
    <w:rsid w:val="004B3D07"/>
    <w:rsid w:val="004B3F44"/>
    <w:rsid w:val="004B40CC"/>
    <w:rsid w:val="004B445A"/>
    <w:rsid w:val="004B4477"/>
    <w:rsid w:val="004B4602"/>
    <w:rsid w:val="004B470B"/>
    <w:rsid w:val="004B48D6"/>
    <w:rsid w:val="004B49F2"/>
    <w:rsid w:val="004B4C19"/>
    <w:rsid w:val="004B4DCE"/>
    <w:rsid w:val="004B4F35"/>
    <w:rsid w:val="004B5336"/>
    <w:rsid w:val="004B5560"/>
    <w:rsid w:val="004B5A96"/>
    <w:rsid w:val="004B5CA7"/>
    <w:rsid w:val="004B61E7"/>
    <w:rsid w:val="004B6408"/>
    <w:rsid w:val="004B6A33"/>
    <w:rsid w:val="004B6A3E"/>
    <w:rsid w:val="004B6EC1"/>
    <w:rsid w:val="004B736E"/>
    <w:rsid w:val="004B762A"/>
    <w:rsid w:val="004B7750"/>
    <w:rsid w:val="004B79A3"/>
    <w:rsid w:val="004B7C4C"/>
    <w:rsid w:val="004C0153"/>
    <w:rsid w:val="004C0170"/>
    <w:rsid w:val="004C04FD"/>
    <w:rsid w:val="004C07AC"/>
    <w:rsid w:val="004C080E"/>
    <w:rsid w:val="004C086A"/>
    <w:rsid w:val="004C0871"/>
    <w:rsid w:val="004C0C27"/>
    <w:rsid w:val="004C0ECA"/>
    <w:rsid w:val="004C0F15"/>
    <w:rsid w:val="004C0FDC"/>
    <w:rsid w:val="004C110C"/>
    <w:rsid w:val="004C1A30"/>
    <w:rsid w:val="004C1C27"/>
    <w:rsid w:val="004C1CB9"/>
    <w:rsid w:val="004C1E4F"/>
    <w:rsid w:val="004C1EFB"/>
    <w:rsid w:val="004C2206"/>
    <w:rsid w:val="004C226E"/>
    <w:rsid w:val="004C23C5"/>
    <w:rsid w:val="004C276D"/>
    <w:rsid w:val="004C2D52"/>
    <w:rsid w:val="004C2D5C"/>
    <w:rsid w:val="004C2D6E"/>
    <w:rsid w:val="004C2DF3"/>
    <w:rsid w:val="004C3242"/>
    <w:rsid w:val="004C33B1"/>
    <w:rsid w:val="004C39ED"/>
    <w:rsid w:val="004C3F28"/>
    <w:rsid w:val="004C41AB"/>
    <w:rsid w:val="004C435C"/>
    <w:rsid w:val="004C4570"/>
    <w:rsid w:val="004C4796"/>
    <w:rsid w:val="004C4DAD"/>
    <w:rsid w:val="004C4F0A"/>
    <w:rsid w:val="004C51EA"/>
    <w:rsid w:val="004C5216"/>
    <w:rsid w:val="004C53A5"/>
    <w:rsid w:val="004C54A9"/>
    <w:rsid w:val="004C56DB"/>
    <w:rsid w:val="004C5A9B"/>
    <w:rsid w:val="004C5BFA"/>
    <w:rsid w:val="004C5F22"/>
    <w:rsid w:val="004C6043"/>
    <w:rsid w:val="004C63EB"/>
    <w:rsid w:val="004C63F1"/>
    <w:rsid w:val="004C673D"/>
    <w:rsid w:val="004C68A2"/>
    <w:rsid w:val="004C690C"/>
    <w:rsid w:val="004C6A5F"/>
    <w:rsid w:val="004C6AFC"/>
    <w:rsid w:val="004C7044"/>
    <w:rsid w:val="004C7046"/>
    <w:rsid w:val="004C7123"/>
    <w:rsid w:val="004C7377"/>
    <w:rsid w:val="004C74DD"/>
    <w:rsid w:val="004C7564"/>
    <w:rsid w:val="004C7D86"/>
    <w:rsid w:val="004C7E9D"/>
    <w:rsid w:val="004C7FFE"/>
    <w:rsid w:val="004D0120"/>
    <w:rsid w:val="004D057A"/>
    <w:rsid w:val="004D05C7"/>
    <w:rsid w:val="004D06B0"/>
    <w:rsid w:val="004D09F6"/>
    <w:rsid w:val="004D0C50"/>
    <w:rsid w:val="004D0C98"/>
    <w:rsid w:val="004D0ED6"/>
    <w:rsid w:val="004D0F65"/>
    <w:rsid w:val="004D1137"/>
    <w:rsid w:val="004D1829"/>
    <w:rsid w:val="004D1832"/>
    <w:rsid w:val="004D1AF2"/>
    <w:rsid w:val="004D2461"/>
    <w:rsid w:val="004D25D8"/>
    <w:rsid w:val="004D2657"/>
    <w:rsid w:val="004D26A1"/>
    <w:rsid w:val="004D296A"/>
    <w:rsid w:val="004D309E"/>
    <w:rsid w:val="004D30D4"/>
    <w:rsid w:val="004D31D4"/>
    <w:rsid w:val="004D3214"/>
    <w:rsid w:val="004D324E"/>
    <w:rsid w:val="004D3366"/>
    <w:rsid w:val="004D339B"/>
    <w:rsid w:val="004D3629"/>
    <w:rsid w:val="004D3810"/>
    <w:rsid w:val="004D3D8E"/>
    <w:rsid w:val="004D3E4F"/>
    <w:rsid w:val="004D3E68"/>
    <w:rsid w:val="004D42CF"/>
    <w:rsid w:val="004D4890"/>
    <w:rsid w:val="004D49FC"/>
    <w:rsid w:val="004D4A85"/>
    <w:rsid w:val="004D4DB6"/>
    <w:rsid w:val="004D59F9"/>
    <w:rsid w:val="004D5AD9"/>
    <w:rsid w:val="004D5C12"/>
    <w:rsid w:val="004D609C"/>
    <w:rsid w:val="004D6119"/>
    <w:rsid w:val="004D6340"/>
    <w:rsid w:val="004D662D"/>
    <w:rsid w:val="004D666A"/>
    <w:rsid w:val="004D6823"/>
    <w:rsid w:val="004D696D"/>
    <w:rsid w:val="004D6AD1"/>
    <w:rsid w:val="004D6F0E"/>
    <w:rsid w:val="004D7110"/>
    <w:rsid w:val="004D7179"/>
    <w:rsid w:val="004D71BD"/>
    <w:rsid w:val="004D74AF"/>
    <w:rsid w:val="004D74E1"/>
    <w:rsid w:val="004D7601"/>
    <w:rsid w:val="004D7636"/>
    <w:rsid w:val="004D77A8"/>
    <w:rsid w:val="004D798F"/>
    <w:rsid w:val="004D7EE3"/>
    <w:rsid w:val="004E00F5"/>
    <w:rsid w:val="004E08C2"/>
    <w:rsid w:val="004E0B3E"/>
    <w:rsid w:val="004E0BCE"/>
    <w:rsid w:val="004E0C64"/>
    <w:rsid w:val="004E0D9C"/>
    <w:rsid w:val="004E0F23"/>
    <w:rsid w:val="004E10BB"/>
    <w:rsid w:val="004E1143"/>
    <w:rsid w:val="004E143C"/>
    <w:rsid w:val="004E143F"/>
    <w:rsid w:val="004E1647"/>
    <w:rsid w:val="004E16BC"/>
    <w:rsid w:val="004E17CA"/>
    <w:rsid w:val="004E1805"/>
    <w:rsid w:val="004E1984"/>
    <w:rsid w:val="004E210C"/>
    <w:rsid w:val="004E2134"/>
    <w:rsid w:val="004E22C7"/>
    <w:rsid w:val="004E2352"/>
    <w:rsid w:val="004E24FD"/>
    <w:rsid w:val="004E2665"/>
    <w:rsid w:val="004E274B"/>
    <w:rsid w:val="004E2837"/>
    <w:rsid w:val="004E2A8E"/>
    <w:rsid w:val="004E2D02"/>
    <w:rsid w:val="004E3008"/>
    <w:rsid w:val="004E303A"/>
    <w:rsid w:val="004E3100"/>
    <w:rsid w:val="004E37FE"/>
    <w:rsid w:val="004E3AFA"/>
    <w:rsid w:val="004E3F02"/>
    <w:rsid w:val="004E3F6B"/>
    <w:rsid w:val="004E518A"/>
    <w:rsid w:val="004E524A"/>
    <w:rsid w:val="004E53A0"/>
    <w:rsid w:val="004E58BB"/>
    <w:rsid w:val="004E5CE3"/>
    <w:rsid w:val="004E62EE"/>
    <w:rsid w:val="004E6969"/>
    <w:rsid w:val="004E6AB5"/>
    <w:rsid w:val="004E6B44"/>
    <w:rsid w:val="004E70B5"/>
    <w:rsid w:val="004E715F"/>
    <w:rsid w:val="004E7276"/>
    <w:rsid w:val="004E731C"/>
    <w:rsid w:val="004E7716"/>
    <w:rsid w:val="004E7B0C"/>
    <w:rsid w:val="004E7D3A"/>
    <w:rsid w:val="004F0108"/>
    <w:rsid w:val="004F036E"/>
    <w:rsid w:val="004F0738"/>
    <w:rsid w:val="004F077E"/>
    <w:rsid w:val="004F0879"/>
    <w:rsid w:val="004F098A"/>
    <w:rsid w:val="004F0A43"/>
    <w:rsid w:val="004F0C03"/>
    <w:rsid w:val="004F1009"/>
    <w:rsid w:val="004F129B"/>
    <w:rsid w:val="004F1625"/>
    <w:rsid w:val="004F17E2"/>
    <w:rsid w:val="004F1CF4"/>
    <w:rsid w:val="004F1DAF"/>
    <w:rsid w:val="004F1F14"/>
    <w:rsid w:val="004F21B7"/>
    <w:rsid w:val="004F242D"/>
    <w:rsid w:val="004F2DD0"/>
    <w:rsid w:val="004F31B5"/>
    <w:rsid w:val="004F3551"/>
    <w:rsid w:val="004F37F3"/>
    <w:rsid w:val="004F3987"/>
    <w:rsid w:val="004F3BBE"/>
    <w:rsid w:val="004F3E9D"/>
    <w:rsid w:val="004F3EC2"/>
    <w:rsid w:val="004F3FC9"/>
    <w:rsid w:val="004F472E"/>
    <w:rsid w:val="004F484D"/>
    <w:rsid w:val="004F4B2E"/>
    <w:rsid w:val="004F4B72"/>
    <w:rsid w:val="004F4C4B"/>
    <w:rsid w:val="004F4D7F"/>
    <w:rsid w:val="004F4EDB"/>
    <w:rsid w:val="004F4F07"/>
    <w:rsid w:val="004F5700"/>
    <w:rsid w:val="004F6073"/>
    <w:rsid w:val="004F613E"/>
    <w:rsid w:val="004F6449"/>
    <w:rsid w:val="004F6699"/>
    <w:rsid w:val="004F68BA"/>
    <w:rsid w:val="004F6DAC"/>
    <w:rsid w:val="004F6FD3"/>
    <w:rsid w:val="004F7030"/>
    <w:rsid w:val="004F704E"/>
    <w:rsid w:val="004F719E"/>
    <w:rsid w:val="004F7470"/>
    <w:rsid w:val="004F7491"/>
    <w:rsid w:val="004F7562"/>
    <w:rsid w:val="004F787A"/>
    <w:rsid w:val="004F7902"/>
    <w:rsid w:val="004F79D6"/>
    <w:rsid w:val="005001B3"/>
    <w:rsid w:val="00500514"/>
    <w:rsid w:val="00500594"/>
    <w:rsid w:val="005006BB"/>
    <w:rsid w:val="005007B7"/>
    <w:rsid w:val="00500C8C"/>
    <w:rsid w:val="0050135D"/>
    <w:rsid w:val="005015F5"/>
    <w:rsid w:val="00501884"/>
    <w:rsid w:val="005018A0"/>
    <w:rsid w:val="005021FA"/>
    <w:rsid w:val="005022BD"/>
    <w:rsid w:val="0050232B"/>
    <w:rsid w:val="005026C8"/>
    <w:rsid w:val="0050283F"/>
    <w:rsid w:val="00502DC3"/>
    <w:rsid w:val="00502EF3"/>
    <w:rsid w:val="005032CE"/>
    <w:rsid w:val="005037EE"/>
    <w:rsid w:val="00503C0B"/>
    <w:rsid w:val="00503C64"/>
    <w:rsid w:val="00503EA4"/>
    <w:rsid w:val="0050466C"/>
    <w:rsid w:val="00504C02"/>
    <w:rsid w:val="00504DA0"/>
    <w:rsid w:val="00504F10"/>
    <w:rsid w:val="00505905"/>
    <w:rsid w:val="005059D3"/>
    <w:rsid w:val="00505C1B"/>
    <w:rsid w:val="00505E4D"/>
    <w:rsid w:val="0050611D"/>
    <w:rsid w:val="0050619F"/>
    <w:rsid w:val="005061F6"/>
    <w:rsid w:val="00506227"/>
    <w:rsid w:val="005066A4"/>
    <w:rsid w:val="005068F0"/>
    <w:rsid w:val="00506B1A"/>
    <w:rsid w:val="00506B47"/>
    <w:rsid w:val="00506B48"/>
    <w:rsid w:val="0050713E"/>
    <w:rsid w:val="005073F1"/>
    <w:rsid w:val="0050742C"/>
    <w:rsid w:val="0050752C"/>
    <w:rsid w:val="005076A1"/>
    <w:rsid w:val="0050777F"/>
    <w:rsid w:val="00507951"/>
    <w:rsid w:val="00507A0F"/>
    <w:rsid w:val="00507AD2"/>
    <w:rsid w:val="00507C9E"/>
    <w:rsid w:val="00507D87"/>
    <w:rsid w:val="00507E7A"/>
    <w:rsid w:val="005106E7"/>
    <w:rsid w:val="00511061"/>
    <w:rsid w:val="00511567"/>
    <w:rsid w:val="0051174E"/>
    <w:rsid w:val="005118D8"/>
    <w:rsid w:val="00511C4C"/>
    <w:rsid w:val="00511DC3"/>
    <w:rsid w:val="00511E77"/>
    <w:rsid w:val="00512066"/>
    <w:rsid w:val="005120EE"/>
    <w:rsid w:val="0051229E"/>
    <w:rsid w:val="005122EA"/>
    <w:rsid w:val="00512763"/>
    <w:rsid w:val="0051289B"/>
    <w:rsid w:val="005128BB"/>
    <w:rsid w:val="00512C54"/>
    <w:rsid w:val="00512C9C"/>
    <w:rsid w:val="00512DC6"/>
    <w:rsid w:val="00512E41"/>
    <w:rsid w:val="00513080"/>
    <w:rsid w:val="00513170"/>
    <w:rsid w:val="005131DF"/>
    <w:rsid w:val="00513498"/>
    <w:rsid w:val="005135A7"/>
    <w:rsid w:val="005136F6"/>
    <w:rsid w:val="0051377D"/>
    <w:rsid w:val="0051398B"/>
    <w:rsid w:val="00513A89"/>
    <w:rsid w:val="00513C1B"/>
    <w:rsid w:val="00514286"/>
    <w:rsid w:val="005144E0"/>
    <w:rsid w:val="0051476D"/>
    <w:rsid w:val="00514A4E"/>
    <w:rsid w:val="00514BF6"/>
    <w:rsid w:val="00514EB2"/>
    <w:rsid w:val="00514F17"/>
    <w:rsid w:val="00514F60"/>
    <w:rsid w:val="00515422"/>
    <w:rsid w:val="0051548C"/>
    <w:rsid w:val="0051564A"/>
    <w:rsid w:val="0051582A"/>
    <w:rsid w:val="00515916"/>
    <w:rsid w:val="00515930"/>
    <w:rsid w:val="0051597B"/>
    <w:rsid w:val="00515AA1"/>
    <w:rsid w:val="00515BA5"/>
    <w:rsid w:val="00515BD3"/>
    <w:rsid w:val="00515F39"/>
    <w:rsid w:val="00516163"/>
    <w:rsid w:val="005168C3"/>
    <w:rsid w:val="00516A92"/>
    <w:rsid w:val="00516EA9"/>
    <w:rsid w:val="0052007F"/>
    <w:rsid w:val="0052021A"/>
    <w:rsid w:val="005205D9"/>
    <w:rsid w:val="005208B0"/>
    <w:rsid w:val="00520920"/>
    <w:rsid w:val="00520A0D"/>
    <w:rsid w:val="00520BD9"/>
    <w:rsid w:val="00521045"/>
    <w:rsid w:val="00521277"/>
    <w:rsid w:val="0052127D"/>
    <w:rsid w:val="0052155F"/>
    <w:rsid w:val="00521C52"/>
    <w:rsid w:val="005223E3"/>
    <w:rsid w:val="005224BD"/>
    <w:rsid w:val="00522D1A"/>
    <w:rsid w:val="00522FF5"/>
    <w:rsid w:val="00523369"/>
    <w:rsid w:val="00523467"/>
    <w:rsid w:val="005235EE"/>
    <w:rsid w:val="005236E6"/>
    <w:rsid w:val="005237F8"/>
    <w:rsid w:val="00523C4B"/>
    <w:rsid w:val="00523D4A"/>
    <w:rsid w:val="005240BC"/>
    <w:rsid w:val="005242E2"/>
    <w:rsid w:val="00524315"/>
    <w:rsid w:val="00524674"/>
    <w:rsid w:val="00524A96"/>
    <w:rsid w:val="00524AB0"/>
    <w:rsid w:val="00524CB3"/>
    <w:rsid w:val="00525218"/>
    <w:rsid w:val="00525670"/>
    <w:rsid w:val="005258C8"/>
    <w:rsid w:val="005262CB"/>
    <w:rsid w:val="0052699B"/>
    <w:rsid w:val="00526A31"/>
    <w:rsid w:val="00526A83"/>
    <w:rsid w:val="00526B91"/>
    <w:rsid w:val="00526C2B"/>
    <w:rsid w:val="00526D83"/>
    <w:rsid w:val="00526DC3"/>
    <w:rsid w:val="00526FCC"/>
    <w:rsid w:val="00527091"/>
    <w:rsid w:val="005270B6"/>
    <w:rsid w:val="0052725C"/>
    <w:rsid w:val="005273EB"/>
    <w:rsid w:val="00527455"/>
    <w:rsid w:val="0052747C"/>
    <w:rsid w:val="00527539"/>
    <w:rsid w:val="005279CE"/>
    <w:rsid w:val="00527B23"/>
    <w:rsid w:val="005302A4"/>
    <w:rsid w:val="0053032F"/>
    <w:rsid w:val="00530378"/>
    <w:rsid w:val="005303FD"/>
    <w:rsid w:val="005304E5"/>
    <w:rsid w:val="00530554"/>
    <w:rsid w:val="00530564"/>
    <w:rsid w:val="005307AB"/>
    <w:rsid w:val="00530997"/>
    <w:rsid w:val="00530BAE"/>
    <w:rsid w:val="00530DE6"/>
    <w:rsid w:val="0053113A"/>
    <w:rsid w:val="00531226"/>
    <w:rsid w:val="005314A7"/>
    <w:rsid w:val="00531588"/>
    <w:rsid w:val="005318AF"/>
    <w:rsid w:val="005318E8"/>
    <w:rsid w:val="005318F3"/>
    <w:rsid w:val="00531D1A"/>
    <w:rsid w:val="00531DDF"/>
    <w:rsid w:val="00531FE7"/>
    <w:rsid w:val="0053236D"/>
    <w:rsid w:val="0053269D"/>
    <w:rsid w:val="00532CF9"/>
    <w:rsid w:val="00532F28"/>
    <w:rsid w:val="00533052"/>
    <w:rsid w:val="00533100"/>
    <w:rsid w:val="005337D9"/>
    <w:rsid w:val="00533952"/>
    <w:rsid w:val="00533DE3"/>
    <w:rsid w:val="00533E19"/>
    <w:rsid w:val="00533ED9"/>
    <w:rsid w:val="0053410D"/>
    <w:rsid w:val="00534118"/>
    <w:rsid w:val="00534231"/>
    <w:rsid w:val="0053428F"/>
    <w:rsid w:val="00534478"/>
    <w:rsid w:val="00534971"/>
    <w:rsid w:val="00534A16"/>
    <w:rsid w:val="00534C45"/>
    <w:rsid w:val="00534CC6"/>
    <w:rsid w:val="005355D8"/>
    <w:rsid w:val="00535F98"/>
    <w:rsid w:val="005360E3"/>
    <w:rsid w:val="00536387"/>
    <w:rsid w:val="0053639B"/>
    <w:rsid w:val="0053671A"/>
    <w:rsid w:val="00536815"/>
    <w:rsid w:val="0053685C"/>
    <w:rsid w:val="00536F4C"/>
    <w:rsid w:val="0053727A"/>
    <w:rsid w:val="005379EB"/>
    <w:rsid w:val="00537E56"/>
    <w:rsid w:val="005403B1"/>
    <w:rsid w:val="005405B6"/>
    <w:rsid w:val="0054110D"/>
    <w:rsid w:val="005412D9"/>
    <w:rsid w:val="0054145D"/>
    <w:rsid w:val="0054173E"/>
    <w:rsid w:val="00541BE7"/>
    <w:rsid w:val="0054248E"/>
    <w:rsid w:val="00542620"/>
    <w:rsid w:val="00542673"/>
    <w:rsid w:val="00542C4F"/>
    <w:rsid w:val="00542DF5"/>
    <w:rsid w:val="0054312B"/>
    <w:rsid w:val="00543334"/>
    <w:rsid w:val="00543582"/>
    <w:rsid w:val="005437BF"/>
    <w:rsid w:val="00543FCD"/>
    <w:rsid w:val="0054401B"/>
    <w:rsid w:val="005440D2"/>
    <w:rsid w:val="0054416D"/>
    <w:rsid w:val="00544240"/>
    <w:rsid w:val="00544315"/>
    <w:rsid w:val="005444FE"/>
    <w:rsid w:val="005445CB"/>
    <w:rsid w:val="00544808"/>
    <w:rsid w:val="005448E9"/>
    <w:rsid w:val="005449A2"/>
    <w:rsid w:val="00544C99"/>
    <w:rsid w:val="00544D68"/>
    <w:rsid w:val="00545032"/>
    <w:rsid w:val="005456A0"/>
    <w:rsid w:val="00545ACD"/>
    <w:rsid w:val="0054607A"/>
    <w:rsid w:val="005462A9"/>
    <w:rsid w:val="0054638F"/>
    <w:rsid w:val="005464C6"/>
    <w:rsid w:val="0054668D"/>
    <w:rsid w:val="005468DB"/>
    <w:rsid w:val="00546A11"/>
    <w:rsid w:val="00546C05"/>
    <w:rsid w:val="00547279"/>
    <w:rsid w:val="005472CA"/>
    <w:rsid w:val="005474C4"/>
    <w:rsid w:val="00547904"/>
    <w:rsid w:val="00547B46"/>
    <w:rsid w:val="00550017"/>
    <w:rsid w:val="005502BD"/>
    <w:rsid w:val="0055068C"/>
    <w:rsid w:val="005506EC"/>
    <w:rsid w:val="00550735"/>
    <w:rsid w:val="0055081D"/>
    <w:rsid w:val="0055082B"/>
    <w:rsid w:val="00550BF4"/>
    <w:rsid w:val="0055109F"/>
    <w:rsid w:val="00551107"/>
    <w:rsid w:val="005514EC"/>
    <w:rsid w:val="0055152D"/>
    <w:rsid w:val="0055159F"/>
    <w:rsid w:val="0055196A"/>
    <w:rsid w:val="00551AE4"/>
    <w:rsid w:val="00552321"/>
    <w:rsid w:val="005523BB"/>
    <w:rsid w:val="00552473"/>
    <w:rsid w:val="0055287A"/>
    <w:rsid w:val="00552B7F"/>
    <w:rsid w:val="00553051"/>
    <w:rsid w:val="005532E0"/>
    <w:rsid w:val="005534EF"/>
    <w:rsid w:val="005535EB"/>
    <w:rsid w:val="00553821"/>
    <w:rsid w:val="0055389B"/>
    <w:rsid w:val="00553B5D"/>
    <w:rsid w:val="00553C34"/>
    <w:rsid w:val="00553D22"/>
    <w:rsid w:val="00553D9D"/>
    <w:rsid w:val="00553EB3"/>
    <w:rsid w:val="00553FB8"/>
    <w:rsid w:val="00553FFB"/>
    <w:rsid w:val="005542B7"/>
    <w:rsid w:val="0055464F"/>
    <w:rsid w:val="0055487C"/>
    <w:rsid w:val="005549DC"/>
    <w:rsid w:val="00554AC1"/>
    <w:rsid w:val="00554C4E"/>
    <w:rsid w:val="00554E2E"/>
    <w:rsid w:val="00554E90"/>
    <w:rsid w:val="00555374"/>
    <w:rsid w:val="00555C74"/>
    <w:rsid w:val="00555CDD"/>
    <w:rsid w:val="00555F56"/>
    <w:rsid w:val="0055602F"/>
    <w:rsid w:val="0055636E"/>
    <w:rsid w:val="00556973"/>
    <w:rsid w:val="005569F0"/>
    <w:rsid w:val="00556A23"/>
    <w:rsid w:val="00556E07"/>
    <w:rsid w:val="00556E2C"/>
    <w:rsid w:val="00556FDD"/>
    <w:rsid w:val="00557A6F"/>
    <w:rsid w:val="005602AC"/>
    <w:rsid w:val="005602D7"/>
    <w:rsid w:val="00560977"/>
    <w:rsid w:val="00560B0E"/>
    <w:rsid w:val="00560B67"/>
    <w:rsid w:val="00560D09"/>
    <w:rsid w:val="00560DA4"/>
    <w:rsid w:val="00560E41"/>
    <w:rsid w:val="00560E71"/>
    <w:rsid w:val="00560F73"/>
    <w:rsid w:val="00560FF9"/>
    <w:rsid w:val="0056146F"/>
    <w:rsid w:val="00561564"/>
    <w:rsid w:val="00561708"/>
    <w:rsid w:val="00561821"/>
    <w:rsid w:val="0056189F"/>
    <w:rsid w:val="00561C14"/>
    <w:rsid w:val="00561D48"/>
    <w:rsid w:val="00561E43"/>
    <w:rsid w:val="00562526"/>
    <w:rsid w:val="005627F5"/>
    <w:rsid w:val="00562991"/>
    <w:rsid w:val="0056307F"/>
    <w:rsid w:val="0056333E"/>
    <w:rsid w:val="005639AE"/>
    <w:rsid w:val="00563AE6"/>
    <w:rsid w:val="00564381"/>
    <w:rsid w:val="00564645"/>
    <w:rsid w:val="00564BB6"/>
    <w:rsid w:val="00564BF7"/>
    <w:rsid w:val="00564F0B"/>
    <w:rsid w:val="00565000"/>
    <w:rsid w:val="00565840"/>
    <w:rsid w:val="00565A7D"/>
    <w:rsid w:val="00565BA9"/>
    <w:rsid w:val="00565D36"/>
    <w:rsid w:val="00565D51"/>
    <w:rsid w:val="00565F47"/>
    <w:rsid w:val="005660D3"/>
    <w:rsid w:val="005663B7"/>
    <w:rsid w:val="00566698"/>
    <w:rsid w:val="00566BAC"/>
    <w:rsid w:val="00567095"/>
    <w:rsid w:val="00567212"/>
    <w:rsid w:val="0056726E"/>
    <w:rsid w:val="00567AB7"/>
    <w:rsid w:val="00567D0E"/>
    <w:rsid w:val="00567F2E"/>
    <w:rsid w:val="00570375"/>
    <w:rsid w:val="00570659"/>
    <w:rsid w:val="00570CB5"/>
    <w:rsid w:val="005711B5"/>
    <w:rsid w:val="0057123D"/>
    <w:rsid w:val="0057137A"/>
    <w:rsid w:val="0057149C"/>
    <w:rsid w:val="00571AF5"/>
    <w:rsid w:val="005721AC"/>
    <w:rsid w:val="0057221E"/>
    <w:rsid w:val="005724A7"/>
    <w:rsid w:val="005726BE"/>
    <w:rsid w:val="00572743"/>
    <w:rsid w:val="00572E0B"/>
    <w:rsid w:val="00572E53"/>
    <w:rsid w:val="005730F5"/>
    <w:rsid w:val="00573336"/>
    <w:rsid w:val="00573A55"/>
    <w:rsid w:val="00573BEB"/>
    <w:rsid w:val="00573E71"/>
    <w:rsid w:val="005741FF"/>
    <w:rsid w:val="00574BDB"/>
    <w:rsid w:val="00575188"/>
    <w:rsid w:val="0057522B"/>
    <w:rsid w:val="00575285"/>
    <w:rsid w:val="005754B4"/>
    <w:rsid w:val="0057578B"/>
    <w:rsid w:val="005759A4"/>
    <w:rsid w:val="00575B7A"/>
    <w:rsid w:val="00575CFF"/>
    <w:rsid w:val="00575E17"/>
    <w:rsid w:val="00575E7D"/>
    <w:rsid w:val="00575EA5"/>
    <w:rsid w:val="00576092"/>
    <w:rsid w:val="005763A2"/>
    <w:rsid w:val="005765DF"/>
    <w:rsid w:val="00576D28"/>
    <w:rsid w:val="00576DD9"/>
    <w:rsid w:val="00576FE2"/>
    <w:rsid w:val="00577089"/>
    <w:rsid w:val="00577238"/>
    <w:rsid w:val="005772E9"/>
    <w:rsid w:val="0057760C"/>
    <w:rsid w:val="0057771D"/>
    <w:rsid w:val="005779F3"/>
    <w:rsid w:val="005804A6"/>
    <w:rsid w:val="0058084D"/>
    <w:rsid w:val="005808AD"/>
    <w:rsid w:val="00580B01"/>
    <w:rsid w:val="00580BE9"/>
    <w:rsid w:val="00580CFB"/>
    <w:rsid w:val="00580D0A"/>
    <w:rsid w:val="00580DDA"/>
    <w:rsid w:val="00580E94"/>
    <w:rsid w:val="00581059"/>
    <w:rsid w:val="0058118A"/>
    <w:rsid w:val="0058207C"/>
    <w:rsid w:val="0058228B"/>
    <w:rsid w:val="00582388"/>
    <w:rsid w:val="005823C6"/>
    <w:rsid w:val="00582866"/>
    <w:rsid w:val="00582888"/>
    <w:rsid w:val="00582A08"/>
    <w:rsid w:val="00582BED"/>
    <w:rsid w:val="00582ED1"/>
    <w:rsid w:val="00582F05"/>
    <w:rsid w:val="00582F1A"/>
    <w:rsid w:val="00582F83"/>
    <w:rsid w:val="00582FAF"/>
    <w:rsid w:val="00582FF5"/>
    <w:rsid w:val="00583253"/>
    <w:rsid w:val="00583254"/>
    <w:rsid w:val="00583453"/>
    <w:rsid w:val="005835B2"/>
    <w:rsid w:val="00583685"/>
    <w:rsid w:val="0058383E"/>
    <w:rsid w:val="005838FC"/>
    <w:rsid w:val="00583CC4"/>
    <w:rsid w:val="005840CF"/>
    <w:rsid w:val="0058411B"/>
    <w:rsid w:val="005841DD"/>
    <w:rsid w:val="00584297"/>
    <w:rsid w:val="0058464C"/>
    <w:rsid w:val="005847E4"/>
    <w:rsid w:val="00584D35"/>
    <w:rsid w:val="00584FB6"/>
    <w:rsid w:val="00585561"/>
    <w:rsid w:val="005856F3"/>
    <w:rsid w:val="005859FA"/>
    <w:rsid w:val="00585D02"/>
    <w:rsid w:val="00585DB4"/>
    <w:rsid w:val="00585DF7"/>
    <w:rsid w:val="00585F0C"/>
    <w:rsid w:val="005860B5"/>
    <w:rsid w:val="005860DD"/>
    <w:rsid w:val="005862D4"/>
    <w:rsid w:val="0058630B"/>
    <w:rsid w:val="0058638F"/>
    <w:rsid w:val="005863E3"/>
    <w:rsid w:val="005865B8"/>
    <w:rsid w:val="00586715"/>
    <w:rsid w:val="00586831"/>
    <w:rsid w:val="005869D0"/>
    <w:rsid w:val="005871EB"/>
    <w:rsid w:val="00587856"/>
    <w:rsid w:val="00587935"/>
    <w:rsid w:val="005879C0"/>
    <w:rsid w:val="00587A4C"/>
    <w:rsid w:val="00587C01"/>
    <w:rsid w:val="00587C03"/>
    <w:rsid w:val="00590221"/>
    <w:rsid w:val="005906A4"/>
    <w:rsid w:val="005906BD"/>
    <w:rsid w:val="00590DCC"/>
    <w:rsid w:val="00590DD7"/>
    <w:rsid w:val="00591167"/>
    <w:rsid w:val="005912DF"/>
    <w:rsid w:val="005914E9"/>
    <w:rsid w:val="0059162D"/>
    <w:rsid w:val="00591852"/>
    <w:rsid w:val="00591B9E"/>
    <w:rsid w:val="00591CEB"/>
    <w:rsid w:val="00591D42"/>
    <w:rsid w:val="00592AD7"/>
    <w:rsid w:val="00592B9B"/>
    <w:rsid w:val="00592EAC"/>
    <w:rsid w:val="00593317"/>
    <w:rsid w:val="00593383"/>
    <w:rsid w:val="00593516"/>
    <w:rsid w:val="00593855"/>
    <w:rsid w:val="005939F2"/>
    <w:rsid w:val="00593E30"/>
    <w:rsid w:val="005941AC"/>
    <w:rsid w:val="005943E3"/>
    <w:rsid w:val="005943E6"/>
    <w:rsid w:val="0059462B"/>
    <w:rsid w:val="00594692"/>
    <w:rsid w:val="00594804"/>
    <w:rsid w:val="0059484D"/>
    <w:rsid w:val="00594932"/>
    <w:rsid w:val="00594A92"/>
    <w:rsid w:val="00594B53"/>
    <w:rsid w:val="00595707"/>
    <w:rsid w:val="0059578E"/>
    <w:rsid w:val="0059596C"/>
    <w:rsid w:val="00595B78"/>
    <w:rsid w:val="00595D4E"/>
    <w:rsid w:val="00596876"/>
    <w:rsid w:val="005969AC"/>
    <w:rsid w:val="00596B7B"/>
    <w:rsid w:val="00596BC3"/>
    <w:rsid w:val="00596BF6"/>
    <w:rsid w:val="00596D40"/>
    <w:rsid w:val="00596DEC"/>
    <w:rsid w:val="00596F67"/>
    <w:rsid w:val="00597387"/>
    <w:rsid w:val="00597605"/>
    <w:rsid w:val="0059768A"/>
    <w:rsid w:val="005977D1"/>
    <w:rsid w:val="005977E7"/>
    <w:rsid w:val="00597931"/>
    <w:rsid w:val="00597C11"/>
    <w:rsid w:val="005A03E4"/>
    <w:rsid w:val="005A05AC"/>
    <w:rsid w:val="005A0908"/>
    <w:rsid w:val="005A092A"/>
    <w:rsid w:val="005A1005"/>
    <w:rsid w:val="005A114B"/>
    <w:rsid w:val="005A1257"/>
    <w:rsid w:val="005A1750"/>
    <w:rsid w:val="005A1874"/>
    <w:rsid w:val="005A1EC9"/>
    <w:rsid w:val="005A2396"/>
    <w:rsid w:val="005A23BF"/>
    <w:rsid w:val="005A256E"/>
    <w:rsid w:val="005A2C0B"/>
    <w:rsid w:val="005A2C74"/>
    <w:rsid w:val="005A3141"/>
    <w:rsid w:val="005A318C"/>
    <w:rsid w:val="005A3572"/>
    <w:rsid w:val="005A3D0D"/>
    <w:rsid w:val="005A403A"/>
    <w:rsid w:val="005A40A7"/>
    <w:rsid w:val="005A4110"/>
    <w:rsid w:val="005A433F"/>
    <w:rsid w:val="005A4BB7"/>
    <w:rsid w:val="005A4DFE"/>
    <w:rsid w:val="005A50F7"/>
    <w:rsid w:val="005A5104"/>
    <w:rsid w:val="005A547F"/>
    <w:rsid w:val="005A550B"/>
    <w:rsid w:val="005A5530"/>
    <w:rsid w:val="005A5547"/>
    <w:rsid w:val="005A5897"/>
    <w:rsid w:val="005A5A91"/>
    <w:rsid w:val="005A5B5C"/>
    <w:rsid w:val="005A616C"/>
    <w:rsid w:val="005A62A2"/>
    <w:rsid w:val="005A64D9"/>
    <w:rsid w:val="005A64F8"/>
    <w:rsid w:val="005A6607"/>
    <w:rsid w:val="005A6610"/>
    <w:rsid w:val="005A68E9"/>
    <w:rsid w:val="005A6F21"/>
    <w:rsid w:val="005A6F31"/>
    <w:rsid w:val="005A7447"/>
    <w:rsid w:val="005A7625"/>
    <w:rsid w:val="005A7B61"/>
    <w:rsid w:val="005A7D2F"/>
    <w:rsid w:val="005A7EE3"/>
    <w:rsid w:val="005B05D0"/>
    <w:rsid w:val="005B062D"/>
    <w:rsid w:val="005B067E"/>
    <w:rsid w:val="005B06D4"/>
    <w:rsid w:val="005B07E3"/>
    <w:rsid w:val="005B0B30"/>
    <w:rsid w:val="005B0C0B"/>
    <w:rsid w:val="005B13F0"/>
    <w:rsid w:val="005B146F"/>
    <w:rsid w:val="005B1572"/>
    <w:rsid w:val="005B1619"/>
    <w:rsid w:val="005B166A"/>
    <w:rsid w:val="005B1881"/>
    <w:rsid w:val="005B29CE"/>
    <w:rsid w:val="005B2ACC"/>
    <w:rsid w:val="005B3063"/>
    <w:rsid w:val="005B336A"/>
    <w:rsid w:val="005B336D"/>
    <w:rsid w:val="005B345F"/>
    <w:rsid w:val="005B35AA"/>
    <w:rsid w:val="005B36B8"/>
    <w:rsid w:val="005B380B"/>
    <w:rsid w:val="005B396F"/>
    <w:rsid w:val="005B404B"/>
    <w:rsid w:val="005B408F"/>
    <w:rsid w:val="005B45C3"/>
    <w:rsid w:val="005B4770"/>
    <w:rsid w:val="005B49DE"/>
    <w:rsid w:val="005B4D7E"/>
    <w:rsid w:val="005B4DDD"/>
    <w:rsid w:val="005B58B0"/>
    <w:rsid w:val="005B5A40"/>
    <w:rsid w:val="005B5AF3"/>
    <w:rsid w:val="005B5B7A"/>
    <w:rsid w:val="005B5BD6"/>
    <w:rsid w:val="005B5E94"/>
    <w:rsid w:val="005B5FCB"/>
    <w:rsid w:val="005B6612"/>
    <w:rsid w:val="005B6C14"/>
    <w:rsid w:val="005B6C2A"/>
    <w:rsid w:val="005B6DBD"/>
    <w:rsid w:val="005B702B"/>
    <w:rsid w:val="005B739B"/>
    <w:rsid w:val="005B76DC"/>
    <w:rsid w:val="005B7797"/>
    <w:rsid w:val="005B78FC"/>
    <w:rsid w:val="005B7FBF"/>
    <w:rsid w:val="005C00D5"/>
    <w:rsid w:val="005C0465"/>
    <w:rsid w:val="005C0CBE"/>
    <w:rsid w:val="005C1351"/>
    <w:rsid w:val="005C146D"/>
    <w:rsid w:val="005C16E4"/>
    <w:rsid w:val="005C1C32"/>
    <w:rsid w:val="005C245D"/>
    <w:rsid w:val="005C2471"/>
    <w:rsid w:val="005C2773"/>
    <w:rsid w:val="005C2809"/>
    <w:rsid w:val="005C2B50"/>
    <w:rsid w:val="005C2B7A"/>
    <w:rsid w:val="005C2C8F"/>
    <w:rsid w:val="005C2F4F"/>
    <w:rsid w:val="005C303E"/>
    <w:rsid w:val="005C3122"/>
    <w:rsid w:val="005C32B6"/>
    <w:rsid w:val="005C33EE"/>
    <w:rsid w:val="005C372E"/>
    <w:rsid w:val="005C39E6"/>
    <w:rsid w:val="005C40CF"/>
    <w:rsid w:val="005C43DD"/>
    <w:rsid w:val="005C44C1"/>
    <w:rsid w:val="005C4AB3"/>
    <w:rsid w:val="005C4E6F"/>
    <w:rsid w:val="005C51EF"/>
    <w:rsid w:val="005C582B"/>
    <w:rsid w:val="005C5942"/>
    <w:rsid w:val="005C5998"/>
    <w:rsid w:val="005C5A52"/>
    <w:rsid w:val="005C5AD7"/>
    <w:rsid w:val="005C5E45"/>
    <w:rsid w:val="005C5FA4"/>
    <w:rsid w:val="005C6006"/>
    <w:rsid w:val="005C6439"/>
    <w:rsid w:val="005C64E2"/>
    <w:rsid w:val="005C64E9"/>
    <w:rsid w:val="005C6548"/>
    <w:rsid w:val="005C654E"/>
    <w:rsid w:val="005C6575"/>
    <w:rsid w:val="005C66FA"/>
    <w:rsid w:val="005C6AD5"/>
    <w:rsid w:val="005C73D7"/>
    <w:rsid w:val="005C76AD"/>
    <w:rsid w:val="005C789A"/>
    <w:rsid w:val="005C7AD6"/>
    <w:rsid w:val="005C7E99"/>
    <w:rsid w:val="005D0955"/>
    <w:rsid w:val="005D09E6"/>
    <w:rsid w:val="005D0AC2"/>
    <w:rsid w:val="005D0CCD"/>
    <w:rsid w:val="005D0F2F"/>
    <w:rsid w:val="005D0F73"/>
    <w:rsid w:val="005D1096"/>
    <w:rsid w:val="005D1395"/>
    <w:rsid w:val="005D13F8"/>
    <w:rsid w:val="005D1CDD"/>
    <w:rsid w:val="005D1D5C"/>
    <w:rsid w:val="005D1EDE"/>
    <w:rsid w:val="005D1FCB"/>
    <w:rsid w:val="005D226D"/>
    <w:rsid w:val="005D2272"/>
    <w:rsid w:val="005D229B"/>
    <w:rsid w:val="005D2584"/>
    <w:rsid w:val="005D286F"/>
    <w:rsid w:val="005D302D"/>
    <w:rsid w:val="005D32B7"/>
    <w:rsid w:val="005D3407"/>
    <w:rsid w:val="005D3624"/>
    <w:rsid w:val="005D372C"/>
    <w:rsid w:val="005D3917"/>
    <w:rsid w:val="005D3A9E"/>
    <w:rsid w:val="005D3B53"/>
    <w:rsid w:val="005D3C92"/>
    <w:rsid w:val="005D3CA7"/>
    <w:rsid w:val="005D421A"/>
    <w:rsid w:val="005D424C"/>
    <w:rsid w:val="005D48F5"/>
    <w:rsid w:val="005D50B0"/>
    <w:rsid w:val="005D5202"/>
    <w:rsid w:val="005D5215"/>
    <w:rsid w:val="005D52E6"/>
    <w:rsid w:val="005D53DA"/>
    <w:rsid w:val="005D583C"/>
    <w:rsid w:val="005D59DF"/>
    <w:rsid w:val="005D5A38"/>
    <w:rsid w:val="005D5A7B"/>
    <w:rsid w:val="005D5DA2"/>
    <w:rsid w:val="005D64E2"/>
    <w:rsid w:val="005D6751"/>
    <w:rsid w:val="005D6F99"/>
    <w:rsid w:val="005D7294"/>
    <w:rsid w:val="005D7308"/>
    <w:rsid w:val="005D74BF"/>
    <w:rsid w:val="005D7D34"/>
    <w:rsid w:val="005D7D75"/>
    <w:rsid w:val="005E022F"/>
    <w:rsid w:val="005E0502"/>
    <w:rsid w:val="005E0517"/>
    <w:rsid w:val="005E0C7B"/>
    <w:rsid w:val="005E10B1"/>
    <w:rsid w:val="005E18B2"/>
    <w:rsid w:val="005E190E"/>
    <w:rsid w:val="005E19BA"/>
    <w:rsid w:val="005E19CD"/>
    <w:rsid w:val="005E19E8"/>
    <w:rsid w:val="005E1A63"/>
    <w:rsid w:val="005E1B88"/>
    <w:rsid w:val="005E1E3F"/>
    <w:rsid w:val="005E1E62"/>
    <w:rsid w:val="005E2176"/>
    <w:rsid w:val="005E2381"/>
    <w:rsid w:val="005E23EE"/>
    <w:rsid w:val="005E255F"/>
    <w:rsid w:val="005E285D"/>
    <w:rsid w:val="005E28AD"/>
    <w:rsid w:val="005E293B"/>
    <w:rsid w:val="005E2AAA"/>
    <w:rsid w:val="005E2B76"/>
    <w:rsid w:val="005E2CE0"/>
    <w:rsid w:val="005E2D43"/>
    <w:rsid w:val="005E2DF5"/>
    <w:rsid w:val="005E2EC0"/>
    <w:rsid w:val="005E2FC0"/>
    <w:rsid w:val="005E3056"/>
    <w:rsid w:val="005E33CE"/>
    <w:rsid w:val="005E3937"/>
    <w:rsid w:val="005E3A1C"/>
    <w:rsid w:val="005E3F8C"/>
    <w:rsid w:val="005E48F8"/>
    <w:rsid w:val="005E4D63"/>
    <w:rsid w:val="005E4D84"/>
    <w:rsid w:val="005E5347"/>
    <w:rsid w:val="005E558D"/>
    <w:rsid w:val="005E597D"/>
    <w:rsid w:val="005E5EB4"/>
    <w:rsid w:val="005E5F60"/>
    <w:rsid w:val="005E69C5"/>
    <w:rsid w:val="005E69FD"/>
    <w:rsid w:val="005E6AE6"/>
    <w:rsid w:val="005E6EB7"/>
    <w:rsid w:val="005E7163"/>
    <w:rsid w:val="005E72B7"/>
    <w:rsid w:val="005E7419"/>
    <w:rsid w:val="005E7EC7"/>
    <w:rsid w:val="005F0292"/>
    <w:rsid w:val="005F030C"/>
    <w:rsid w:val="005F083B"/>
    <w:rsid w:val="005F0843"/>
    <w:rsid w:val="005F0AC2"/>
    <w:rsid w:val="005F0C2E"/>
    <w:rsid w:val="005F0D0F"/>
    <w:rsid w:val="005F0DCF"/>
    <w:rsid w:val="005F0ED2"/>
    <w:rsid w:val="005F12FA"/>
    <w:rsid w:val="005F1430"/>
    <w:rsid w:val="005F17CE"/>
    <w:rsid w:val="005F1A88"/>
    <w:rsid w:val="005F1AFA"/>
    <w:rsid w:val="005F1B30"/>
    <w:rsid w:val="005F1E88"/>
    <w:rsid w:val="005F282B"/>
    <w:rsid w:val="005F2AA4"/>
    <w:rsid w:val="005F2FEB"/>
    <w:rsid w:val="005F3050"/>
    <w:rsid w:val="005F30E6"/>
    <w:rsid w:val="005F3126"/>
    <w:rsid w:val="005F34F3"/>
    <w:rsid w:val="005F37E0"/>
    <w:rsid w:val="005F3A2D"/>
    <w:rsid w:val="005F3D4A"/>
    <w:rsid w:val="005F3F73"/>
    <w:rsid w:val="005F3F76"/>
    <w:rsid w:val="005F4082"/>
    <w:rsid w:val="005F44CE"/>
    <w:rsid w:val="005F456A"/>
    <w:rsid w:val="005F4610"/>
    <w:rsid w:val="005F46C9"/>
    <w:rsid w:val="005F487B"/>
    <w:rsid w:val="005F49E3"/>
    <w:rsid w:val="005F4A1C"/>
    <w:rsid w:val="005F4B8A"/>
    <w:rsid w:val="005F4F69"/>
    <w:rsid w:val="005F5179"/>
    <w:rsid w:val="005F531C"/>
    <w:rsid w:val="005F55FA"/>
    <w:rsid w:val="005F55FC"/>
    <w:rsid w:val="005F568E"/>
    <w:rsid w:val="005F586A"/>
    <w:rsid w:val="005F5B62"/>
    <w:rsid w:val="005F5BE8"/>
    <w:rsid w:val="005F5D39"/>
    <w:rsid w:val="005F5DBD"/>
    <w:rsid w:val="005F5DC2"/>
    <w:rsid w:val="005F5EE1"/>
    <w:rsid w:val="005F60F7"/>
    <w:rsid w:val="005F65D7"/>
    <w:rsid w:val="005F6720"/>
    <w:rsid w:val="005F684A"/>
    <w:rsid w:val="005F68A8"/>
    <w:rsid w:val="005F6BDF"/>
    <w:rsid w:val="005F6E78"/>
    <w:rsid w:val="005F6EC8"/>
    <w:rsid w:val="005F6FF6"/>
    <w:rsid w:val="005F703D"/>
    <w:rsid w:val="005F7080"/>
    <w:rsid w:val="005F7264"/>
    <w:rsid w:val="005F738F"/>
    <w:rsid w:val="005F78C4"/>
    <w:rsid w:val="005F7B7C"/>
    <w:rsid w:val="005F7CB5"/>
    <w:rsid w:val="005F7CB9"/>
    <w:rsid w:val="005F7ECD"/>
    <w:rsid w:val="00600026"/>
    <w:rsid w:val="006008ED"/>
    <w:rsid w:val="00600E5B"/>
    <w:rsid w:val="0060107F"/>
    <w:rsid w:val="00601271"/>
    <w:rsid w:val="006013C5"/>
    <w:rsid w:val="0060150A"/>
    <w:rsid w:val="00601616"/>
    <w:rsid w:val="006017EE"/>
    <w:rsid w:val="00601A86"/>
    <w:rsid w:val="00601C7D"/>
    <w:rsid w:val="00602075"/>
    <w:rsid w:val="006021D2"/>
    <w:rsid w:val="00602D45"/>
    <w:rsid w:val="006030AA"/>
    <w:rsid w:val="006030B7"/>
    <w:rsid w:val="006038A9"/>
    <w:rsid w:val="00603E20"/>
    <w:rsid w:val="00603F50"/>
    <w:rsid w:val="006040A2"/>
    <w:rsid w:val="00604355"/>
    <w:rsid w:val="0060487E"/>
    <w:rsid w:val="00604903"/>
    <w:rsid w:val="00604B1A"/>
    <w:rsid w:val="00604FFC"/>
    <w:rsid w:val="006050FB"/>
    <w:rsid w:val="006051B6"/>
    <w:rsid w:val="006056A7"/>
    <w:rsid w:val="00605920"/>
    <w:rsid w:val="00605DAD"/>
    <w:rsid w:val="00605E90"/>
    <w:rsid w:val="00605F02"/>
    <w:rsid w:val="00605F7F"/>
    <w:rsid w:val="0060609C"/>
    <w:rsid w:val="006060E6"/>
    <w:rsid w:val="006065F6"/>
    <w:rsid w:val="006069DC"/>
    <w:rsid w:val="00606BC5"/>
    <w:rsid w:val="00606F02"/>
    <w:rsid w:val="0060755B"/>
    <w:rsid w:val="006076B8"/>
    <w:rsid w:val="00607A1C"/>
    <w:rsid w:val="00607E21"/>
    <w:rsid w:val="00610593"/>
    <w:rsid w:val="006105CA"/>
    <w:rsid w:val="006105F1"/>
    <w:rsid w:val="00610629"/>
    <w:rsid w:val="006108D3"/>
    <w:rsid w:val="00610E26"/>
    <w:rsid w:val="00610E6B"/>
    <w:rsid w:val="00610F05"/>
    <w:rsid w:val="00610F15"/>
    <w:rsid w:val="00611056"/>
    <w:rsid w:val="00611075"/>
    <w:rsid w:val="006112E7"/>
    <w:rsid w:val="00611892"/>
    <w:rsid w:val="006118D0"/>
    <w:rsid w:val="00611D9E"/>
    <w:rsid w:val="00612041"/>
    <w:rsid w:val="0061255B"/>
    <w:rsid w:val="006127FC"/>
    <w:rsid w:val="006128FA"/>
    <w:rsid w:val="00612A1C"/>
    <w:rsid w:val="00612C00"/>
    <w:rsid w:val="00612D57"/>
    <w:rsid w:val="00612EEC"/>
    <w:rsid w:val="00613261"/>
    <w:rsid w:val="006132B0"/>
    <w:rsid w:val="006133F7"/>
    <w:rsid w:val="0061358D"/>
    <w:rsid w:val="00613723"/>
    <w:rsid w:val="00613825"/>
    <w:rsid w:val="00613B8A"/>
    <w:rsid w:val="00613C46"/>
    <w:rsid w:val="00613C7D"/>
    <w:rsid w:val="00613D39"/>
    <w:rsid w:val="00613D8D"/>
    <w:rsid w:val="00613FE2"/>
    <w:rsid w:val="0061412F"/>
    <w:rsid w:val="0061419C"/>
    <w:rsid w:val="0061419E"/>
    <w:rsid w:val="006147B8"/>
    <w:rsid w:val="006149D3"/>
    <w:rsid w:val="00614B98"/>
    <w:rsid w:val="00614E49"/>
    <w:rsid w:val="00614E5B"/>
    <w:rsid w:val="00614FD0"/>
    <w:rsid w:val="0061510D"/>
    <w:rsid w:val="00615159"/>
    <w:rsid w:val="006152A1"/>
    <w:rsid w:val="006157CE"/>
    <w:rsid w:val="00615888"/>
    <w:rsid w:val="00615CE9"/>
    <w:rsid w:val="00615ED9"/>
    <w:rsid w:val="00616054"/>
    <w:rsid w:val="00616212"/>
    <w:rsid w:val="0061630B"/>
    <w:rsid w:val="0061649E"/>
    <w:rsid w:val="00616957"/>
    <w:rsid w:val="0061695C"/>
    <w:rsid w:val="00616E20"/>
    <w:rsid w:val="00616E52"/>
    <w:rsid w:val="00616F15"/>
    <w:rsid w:val="00616F4E"/>
    <w:rsid w:val="00617C7E"/>
    <w:rsid w:val="00620584"/>
    <w:rsid w:val="0062076E"/>
    <w:rsid w:val="006208F1"/>
    <w:rsid w:val="00620995"/>
    <w:rsid w:val="00620E0A"/>
    <w:rsid w:val="00620E25"/>
    <w:rsid w:val="00620E7A"/>
    <w:rsid w:val="00620EEA"/>
    <w:rsid w:val="00620F00"/>
    <w:rsid w:val="0062103D"/>
    <w:rsid w:val="0062125E"/>
    <w:rsid w:val="00621275"/>
    <w:rsid w:val="006213A7"/>
    <w:rsid w:val="00621459"/>
    <w:rsid w:val="0062165C"/>
    <w:rsid w:val="006216A2"/>
    <w:rsid w:val="00621A54"/>
    <w:rsid w:val="00621B3B"/>
    <w:rsid w:val="00621D61"/>
    <w:rsid w:val="00622098"/>
    <w:rsid w:val="00622199"/>
    <w:rsid w:val="00622444"/>
    <w:rsid w:val="0062253D"/>
    <w:rsid w:val="00622676"/>
    <w:rsid w:val="006226A3"/>
    <w:rsid w:val="0062271E"/>
    <w:rsid w:val="0062278A"/>
    <w:rsid w:val="00622A25"/>
    <w:rsid w:val="00622B17"/>
    <w:rsid w:val="00622C81"/>
    <w:rsid w:val="00622F43"/>
    <w:rsid w:val="00623809"/>
    <w:rsid w:val="0062396D"/>
    <w:rsid w:val="00623BF7"/>
    <w:rsid w:val="00623CA3"/>
    <w:rsid w:val="00623DD1"/>
    <w:rsid w:val="00623FBB"/>
    <w:rsid w:val="006240BA"/>
    <w:rsid w:val="006243C5"/>
    <w:rsid w:val="006244F5"/>
    <w:rsid w:val="0062469E"/>
    <w:rsid w:val="006246CB"/>
    <w:rsid w:val="00624B90"/>
    <w:rsid w:val="00624E42"/>
    <w:rsid w:val="006250B1"/>
    <w:rsid w:val="006252B7"/>
    <w:rsid w:val="0062533D"/>
    <w:rsid w:val="00625372"/>
    <w:rsid w:val="00625499"/>
    <w:rsid w:val="006254FD"/>
    <w:rsid w:val="00625769"/>
    <w:rsid w:val="00625813"/>
    <w:rsid w:val="006258C2"/>
    <w:rsid w:val="00625983"/>
    <w:rsid w:val="006262C9"/>
    <w:rsid w:val="006262E7"/>
    <w:rsid w:val="0062660C"/>
    <w:rsid w:val="00626937"/>
    <w:rsid w:val="00626978"/>
    <w:rsid w:val="00626BEE"/>
    <w:rsid w:val="00626EFA"/>
    <w:rsid w:val="00627072"/>
    <w:rsid w:val="0062710E"/>
    <w:rsid w:val="00627358"/>
    <w:rsid w:val="0062747D"/>
    <w:rsid w:val="006275F1"/>
    <w:rsid w:val="0062790B"/>
    <w:rsid w:val="00627A29"/>
    <w:rsid w:val="00627C6E"/>
    <w:rsid w:val="00627F37"/>
    <w:rsid w:val="0063040B"/>
    <w:rsid w:val="0063074E"/>
    <w:rsid w:val="006307B7"/>
    <w:rsid w:val="00630EBC"/>
    <w:rsid w:val="00631B62"/>
    <w:rsid w:val="00631BA9"/>
    <w:rsid w:val="00631BB9"/>
    <w:rsid w:val="00631BC0"/>
    <w:rsid w:val="00631CA4"/>
    <w:rsid w:val="00632214"/>
    <w:rsid w:val="0063261F"/>
    <w:rsid w:val="00632650"/>
    <w:rsid w:val="006329ED"/>
    <w:rsid w:val="00632EEC"/>
    <w:rsid w:val="006331D3"/>
    <w:rsid w:val="00633478"/>
    <w:rsid w:val="006337A3"/>
    <w:rsid w:val="00633883"/>
    <w:rsid w:val="00633B49"/>
    <w:rsid w:val="00633BA2"/>
    <w:rsid w:val="006341FB"/>
    <w:rsid w:val="006348CB"/>
    <w:rsid w:val="00634CB7"/>
    <w:rsid w:val="00634CD4"/>
    <w:rsid w:val="00634CFF"/>
    <w:rsid w:val="00634FF4"/>
    <w:rsid w:val="0063519E"/>
    <w:rsid w:val="00635285"/>
    <w:rsid w:val="00635935"/>
    <w:rsid w:val="00635B37"/>
    <w:rsid w:val="00635E67"/>
    <w:rsid w:val="00635F84"/>
    <w:rsid w:val="00635FBA"/>
    <w:rsid w:val="00635FD8"/>
    <w:rsid w:val="00636013"/>
    <w:rsid w:val="00636681"/>
    <w:rsid w:val="0063687E"/>
    <w:rsid w:val="00636A9D"/>
    <w:rsid w:val="006370B7"/>
    <w:rsid w:val="006371A7"/>
    <w:rsid w:val="0063732E"/>
    <w:rsid w:val="00637485"/>
    <w:rsid w:val="00637508"/>
    <w:rsid w:val="0063750F"/>
    <w:rsid w:val="006375A1"/>
    <w:rsid w:val="00637CE8"/>
    <w:rsid w:val="00640095"/>
    <w:rsid w:val="0064080F"/>
    <w:rsid w:val="00640AA4"/>
    <w:rsid w:val="00640B66"/>
    <w:rsid w:val="00640EE1"/>
    <w:rsid w:val="00641333"/>
    <w:rsid w:val="006414C9"/>
    <w:rsid w:val="00641804"/>
    <w:rsid w:val="00641A59"/>
    <w:rsid w:val="00641B5E"/>
    <w:rsid w:val="00641DF4"/>
    <w:rsid w:val="0064214E"/>
    <w:rsid w:val="0064220F"/>
    <w:rsid w:val="0064221B"/>
    <w:rsid w:val="00642698"/>
    <w:rsid w:val="00642C0D"/>
    <w:rsid w:val="00642E7C"/>
    <w:rsid w:val="00643145"/>
    <w:rsid w:val="006432DE"/>
    <w:rsid w:val="00643384"/>
    <w:rsid w:val="0064340E"/>
    <w:rsid w:val="00643596"/>
    <w:rsid w:val="00643691"/>
    <w:rsid w:val="006437DE"/>
    <w:rsid w:val="00643AF3"/>
    <w:rsid w:val="00643D0E"/>
    <w:rsid w:val="00643D91"/>
    <w:rsid w:val="0064452B"/>
    <w:rsid w:val="0064479F"/>
    <w:rsid w:val="00644885"/>
    <w:rsid w:val="00644ADB"/>
    <w:rsid w:val="00644D59"/>
    <w:rsid w:val="0064512D"/>
    <w:rsid w:val="006457D0"/>
    <w:rsid w:val="0064581C"/>
    <w:rsid w:val="00645B69"/>
    <w:rsid w:val="00645C7A"/>
    <w:rsid w:val="00645E3F"/>
    <w:rsid w:val="0064628B"/>
    <w:rsid w:val="006464AF"/>
    <w:rsid w:val="00646634"/>
    <w:rsid w:val="00646DF8"/>
    <w:rsid w:val="00646F62"/>
    <w:rsid w:val="006470A5"/>
    <w:rsid w:val="00647642"/>
    <w:rsid w:val="0064769C"/>
    <w:rsid w:val="00647837"/>
    <w:rsid w:val="00647A88"/>
    <w:rsid w:val="00647D6D"/>
    <w:rsid w:val="00647DB7"/>
    <w:rsid w:val="00650060"/>
    <w:rsid w:val="006501A5"/>
    <w:rsid w:val="006506DF"/>
    <w:rsid w:val="006507CC"/>
    <w:rsid w:val="0065091E"/>
    <w:rsid w:val="00650958"/>
    <w:rsid w:val="00650C3A"/>
    <w:rsid w:val="00650D48"/>
    <w:rsid w:val="00650D99"/>
    <w:rsid w:val="00650EB1"/>
    <w:rsid w:val="00650F7F"/>
    <w:rsid w:val="00650FE0"/>
    <w:rsid w:val="00651385"/>
    <w:rsid w:val="006513C7"/>
    <w:rsid w:val="00651547"/>
    <w:rsid w:val="00651CD8"/>
    <w:rsid w:val="00651F00"/>
    <w:rsid w:val="0065248D"/>
    <w:rsid w:val="006524FB"/>
    <w:rsid w:val="0065250D"/>
    <w:rsid w:val="0065279C"/>
    <w:rsid w:val="00652A0B"/>
    <w:rsid w:val="00652BAF"/>
    <w:rsid w:val="00652BC3"/>
    <w:rsid w:val="00652CF5"/>
    <w:rsid w:val="00652D38"/>
    <w:rsid w:val="0065327F"/>
    <w:rsid w:val="006533B4"/>
    <w:rsid w:val="00653608"/>
    <w:rsid w:val="006538A0"/>
    <w:rsid w:val="0065399C"/>
    <w:rsid w:val="00653A4B"/>
    <w:rsid w:val="00653D6A"/>
    <w:rsid w:val="00653DB5"/>
    <w:rsid w:val="00654012"/>
    <w:rsid w:val="006543A5"/>
    <w:rsid w:val="00654CD7"/>
    <w:rsid w:val="00654D1D"/>
    <w:rsid w:val="00654D6E"/>
    <w:rsid w:val="00654E36"/>
    <w:rsid w:val="0065509C"/>
    <w:rsid w:val="0065520E"/>
    <w:rsid w:val="00655387"/>
    <w:rsid w:val="00655464"/>
    <w:rsid w:val="00655E1B"/>
    <w:rsid w:val="00655E78"/>
    <w:rsid w:val="00655E83"/>
    <w:rsid w:val="00656D8D"/>
    <w:rsid w:val="00656EDE"/>
    <w:rsid w:val="00656F38"/>
    <w:rsid w:val="00657220"/>
    <w:rsid w:val="00657257"/>
    <w:rsid w:val="00657347"/>
    <w:rsid w:val="0065773B"/>
    <w:rsid w:val="006577FC"/>
    <w:rsid w:val="00657913"/>
    <w:rsid w:val="00657C5F"/>
    <w:rsid w:val="00657CD3"/>
    <w:rsid w:val="0066001F"/>
    <w:rsid w:val="0066016C"/>
    <w:rsid w:val="0066030F"/>
    <w:rsid w:val="00660BDC"/>
    <w:rsid w:val="00660C31"/>
    <w:rsid w:val="00660C55"/>
    <w:rsid w:val="00660D31"/>
    <w:rsid w:val="00660D89"/>
    <w:rsid w:val="00661096"/>
    <w:rsid w:val="006613AF"/>
    <w:rsid w:val="006613C2"/>
    <w:rsid w:val="0066143F"/>
    <w:rsid w:val="0066216D"/>
    <w:rsid w:val="00662547"/>
    <w:rsid w:val="00662666"/>
    <w:rsid w:val="00662672"/>
    <w:rsid w:val="00662677"/>
    <w:rsid w:val="006627B6"/>
    <w:rsid w:val="00662921"/>
    <w:rsid w:val="00662CD2"/>
    <w:rsid w:val="00662DD0"/>
    <w:rsid w:val="00662E92"/>
    <w:rsid w:val="00662F63"/>
    <w:rsid w:val="00663191"/>
    <w:rsid w:val="0066325F"/>
    <w:rsid w:val="006632E7"/>
    <w:rsid w:val="006635C5"/>
    <w:rsid w:val="00663A48"/>
    <w:rsid w:val="00663ACD"/>
    <w:rsid w:val="00663B7A"/>
    <w:rsid w:val="00664551"/>
    <w:rsid w:val="00664752"/>
    <w:rsid w:val="006648EC"/>
    <w:rsid w:val="00664982"/>
    <w:rsid w:val="00664B5E"/>
    <w:rsid w:val="00664CEE"/>
    <w:rsid w:val="00664EBF"/>
    <w:rsid w:val="00664FDE"/>
    <w:rsid w:val="00665234"/>
    <w:rsid w:val="006653FD"/>
    <w:rsid w:val="00665518"/>
    <w:rsid w:val="006659C9"/>
    <w:rsid w:val="006659E4"/>
    <w:rsid w:val="00665AFD"/>
    <w:rsid w:val="006663C8"/>
    <w:rsid w:val="00666684"/>
    <w:rsid w:val="00666D69"/>
    <w:rsid w:val="00666E80"/>
    <w:rsid w:val="00666F54"/>
    <w:rsid w:val="0066706D"/>
    <w:rsid w:val="00667451"/>
    <w:rsid w:val="006674AF"/>
    <w:rsid w:val="006674D9"/>
    <w:rsid w:val="006679C2"/>
    <w:rsid w:val="00667B3A"/>
    <w:rsid w:val="006700F8"/>
    <w:rsid w:val="00670413"/>
    <w:rsid w:val="0067090A"/>
    <w:rsid w:val="00670B1B"/>
    <w:rsid w:val="00670DA2"/>
    <w:rsid w:val="00670E32"/>
    <w:rsid w:val="00670E6A"/>
    <w:rsid w:val="00671007"/>
    <w:rsid w:val="006711DC"/>
    <w:rsid w:val="00671480"/>
    <w:rsid w:val="006718C1"/>
    <w:rsid w:val="00671C54"/>
    <w:rsid w:val="00671F30"/>
    <w:rsid w:val="0067221F"/>
    <w:rsid w:val="00672269"/>
    <w:rsid w:val="00672653"/>
    <w:rsid w:val="006726CB"/>
    <w:rsid w:val="00672705"/>
    <w:rsid w:val="00672A05"/>
    <w:rsid w:val="00672A56"/>
    <w:rsid w:val="00672BE6"/>
    <w:rsid w:val="006731DC"/>
    <w:rsid w:val="00673426"/>
    <w:rsid w:val="00673A50"/>
    <w:rsid w:val="00673ACD"/>
    <w:rsid w:val="00673EC0"/>
    <w:rsid w:val="006740BB"/>
    <w:rsid w:val="006743B6"/>
    <w:rsid w:val="0067457E"/>
    <w:rsid w:val="00674616"/>
    <w:rsid w:val="00674625"/>
    <w:rsid w:val="0067490D"/>
    <w:rsid w:val="00674BBC"/>
    <w:rsid w:val="00674BCC"/>
    <w:rsid w:val="0067564F"/>
    <w:rsid w:val="0067582D"/>
    <w:rsid w:val="00675B0E"/>
    <w:rsid w:val="00675E77"/>
    <w:rsid w:val="006764C4"/>
    <w:rsid w:val="006766AD"/>
    <w:rsid w:val="0067679F"/>
    <w:rsid w:val="006769EE"/>
    <w:rsid w:val="00676ABB"/>
    <w:rsid w:val="00676C77"/>
    <w:rsid w:val="00676D1D"/>
    <w:rsid w:val="00676E22"/>
    <w:rsid w:val="00677459"/>
    <w:rsid w:val="00677722"/>
    <w:rsid w:val="00677A12"/>
    <w:rsid w:val="00677BE6"/>
    <w:rsid w:val="00677DCF"/>
    <w:rsid w:val="00677F7C"/>
    <w:rsid w:val="0068077D"/>
    <w:rsid w:val="00680BB0"/>
    <w:rsid w:val="00680DE7"/>
    <w:rsid w:val="00680DEA"/>
    <w:rsid w:val="006810B5"/>
    <w:rsid w:val="0068121E"/>
    <w:rsid w:val="00681365"/>
    <w:rsid w:val="0068136E"/>
    <w:rsid w:val="00681546"/>
    <w:rsid w:val="0068197B"/>
    <w:rsid w:val="00681AD2"/>
    <w:rsid w:val="006829E8"/>
    <w:rsid w:val="00682D58"/>
    <w:rsid w:val="00682DAE"/>
    <w:rsid w:val="00682DBC"/>
    <w:rsid w:val="00682DFD"/>
    <w:rsid w:val="006831D2"/>
    <w:rsid w:val="00683296"/>
    <w:rsid w:val="00683544"/>
    <w:rsid w:val="006835A5"/>
    <w:rsid w:val="006835CC"/>
    <w:rsid w:val="006836F0"/>
    <w:rsid w:val="00683A45"/>
    <w:rsid w:val="00683AFB"/>
    <w:rsid w:val="00683D2B"/>
    <w:rsid w:val="00683E6F"/>
    <w:rsid w:val="00683F61"/>
    <w:rsid w:val="006843AB"/>
    <w:rsid w:val="0068485E"/>
    <w:rsid w:val="00684940"/>
    <w:rsid w:val="00684CAF"/>
    <w:rsid w:val="00684CC9"/>
    <w:rsid w:val="00684EB5"/>
    <w:rsid w:val="00685282"/>
    <w:rsid w:val="006858F1"/>
    <w:rsid w:val="00685D9A"/>
    <w:rsid w:val="00685DD7"/>
    <w:rsid w:val="00685FAA"/>
    <w:rsid w:val="00686165"/>
    <w:rsid w:val="00686194"/>
    <w:rsid w:val="0068622B"/>
    <w:rsid w:val="006863B9"/>
    <w:rsid w:val="006865D1"/>
    <w:rsid w:val="006865EB"/>
    <w:rsid w:val="00686B21"/>
    <w:rsid w:val="00686F4E"/>
    <w:rsid w:val="00687017"/>
    <w:rsid w:val="006871E1"/>
    <w:rsid w:val="00687377"/>
    <w:rsid w:val="00687781"/>
    <w:rsid w:val="00687796"/>
    <w:rsid w:val="006878C7"/>
    <w:rsid w:val="00687926"/>
    <w:rsid w:val="00687B95"/>
    <w:rsid w:val="00687E36"/>
    <w:rsid w:val="006900CE"/>
    <w:rsid w:val="006900E1"/>
    <w:rsid w:val="0069034C"/>
    <w:rsid w:val="00690423"/>
    <w:rsid w:val="00690467"/>
    <w:rsid w:val="0069048F"/>
    <w:rsid w:val="00690961"/>
    <w:rsid w:val="00691257"/>
    <w:rsid w:val="0069139D"/>
    <w:rsid w:val="0069156D"/>
    <w:rsid w:val="006917DD"/>
    <w:rsid w:val="00691D94"/>
    <w:rsid w:val="00691E13"/>
    <w:rsid w:val="00691E2F"/>
    <w:rsid w:val="00691F24"/>
    <w:rsid w:val="00691F83"/>
    <w:rsid w:val="00691F98"/>
    <w:rsid w:val="0069201D"/>
    <w:rsid w:val="00692037"/>
    <w:rsid w:val="0069316E"/>
    <w:rsid w:val="0069317E"/>
    <w:rsid w:val="00693329"/>
    <w:rsid w:val="00693682"/>
    <w:rsid w:val="0069381D"/>
    <w:rsid w:val="00693AD6"/>
    <w:rsid w:val="00693FA6"/>
    <w:rsid w:val="00694183"/>
    <w:rsid w:val="0069476D"/>
    <w:rsid w:val="0069479D"/>
    <w:rsid w:val="0069487D"/>
    <w:rsid w:val="00694F51"/>
    <w:rsid w:val="00694F56"/>
    <w:rsid w:val="006952FC"/>
    <w:rsid w:val="006958E7"/>
    <w:rsid w:val="00695A5B"/>
    <w:rsid w:val="00695CD8"/>
    <w:rsid w:val="00695F96"/>
    <w:rsid w:val="006961E0"/>
    <w:rsid w:val="00696835"/>
    <w:rsid w:val="00696A53"/>
    <w:rsid w:val="00696A66"/>
    <w:rsid w:val="00696A7F"/>
    <w:rsid w:val="00696A98"/>
    <w:rsid w:val="00696D57"/>
    <w:rsid w:val="00697106"/>
    <w:rsid w:val="0069712F"/>
    <w:rsid w:val="006972B6"/>
    <w:rsid w:val="00697372"/>
    <w:rsid w:val="006975E9"/>
    <w:rsid w:val="00697B3C"/>
    <w:rsid w:val="00697BA2"/>
    <w:rsid w:val="006A02D7"/>
    <w:rsid w:val="006A0481"/>
    <w:rsid w:val="006A04A5"/>
    <w:rsid w:val="006A0504"/>
    <w:rsid w:val="006A0723"/>
    <w:rsid w:val="006A17C7"/>
    <w:rsid w:val="006A17CD"/>
    <w:rsid w:val="006A180C"/>
    <w:rsid w:val="006A1BE3"/>
    <w:rsid w:val="006A1C97"/>
    <w:rsid w:val="006A2117"/>
    <w:rsid w:val="006A2216"/>
    <w:rsid w:val="006A239A"/>
    <w:rsid w:val="006A243C"/>
    <w:rsid w:val="006A25CC"/>
    <w:rsid w:val="006A2709"/>
    <w:rsid w:val="006A2721"/>
    <w:rsid w:val="006A2CEB"/>
    <w:rsid w:val="006A2EC0"/>
    <w:rsid w:val="006A30D5"/>
    <w:rsid w:val="006A3178"/>
    <w:rsid w:val="006A317F"/>
    <w:rsid w:val="006A336A"/>
    <w:rsid w:val="006A34ED"/>
    <w:rsid w:val="006A356A"/>
    <w:rsid w:val="006A39E2"/>
    <w:rsid w:val="006A3C12"/>
    <w:rsid w:val="006A4512"/>
    <w:rsid w:val="006A458D"/>
    <w:rsid w:val="006A48A1"/>
    <w:rsid w:val="006A4ADC"/>
    <w:rsid w:val="006A4D86"/>
    <w:rsid w:val="006A4E08"/>
    <w:rsid w:val="006A4E2C"/>
    <w:rsid w:val="006A54FC"/>
    <w:rsid w:val="006A5529"/>
    <w:rsid w:val="006A5B71"/>
    <w:rsid w:val="006A5BB4"/>
    <w:rsid w:val="006A5E1A"/>
    <w:rsid w:val="006A5E21"/>
    <w:rsid w:val="006A5EB4"/>
    <w:rsid w:val="006A5EBC"/>
    <w:rsid w:val="006A62B5"/>
    <w:rsid w:val="006A6322"/>
    <w:rsid w:val="006A65D8"/>
    <w:rsid w:val="006A69E7"/>
    <w:rsid w:val="006A6B45"/>
    <w:rsid w:val="006A7184"/>
    <w:rsid w:val="006A744A"/>
    <w:rsid w:val="006A75BB"/>
    <w:rsid w:val="006A7757"/>
    <w:rsid w:val="006A7CBF"/>
    <w:rsid w:val="006A7E4D"/>
    <w:rsid w:val="006A7ED8"/>
    <w:rsid w:val="006B0278"/>
    <w:rsid w:val="006B03C0"/>
    <w:rsid w:val="006B050F"/>
    <w:rsid w:val="006B05BC"/>
    <w:rsid w:val="006B0A3E"/>
    <w:rsid w:val="006B0A6D"/>
    <w:rsid w:val="006B0D51"/>
    <w:rsid w:val="006B1227"/>
    <w:rsid w:val="006B1257"/>
    <w:rsid w:val="006B1326"/>
    <w:rsid w:val="006B180D"/>
    <w:rsid w:val="006B19FF"/>
    <w:rsid w:val="006B1B34"/>
    <w:rsid w:val="006B1C4D"/>
    <w:rsid w:val="006B276E"/>
    <w:rsid w:val="006B2848"/>
    <w:rsid w:val="006B288D"/>
    <w:rsid w:val="006B28E7"/>
    <w:rsid w:val="006B29C8"/>
    <w:rsid w:val="006B2BFD"/>
    <w:rsid w:val="006B2E18"/>
    <w:rsid w:val="006B3189"/>
    <w:rsid w:val="006B349D"/>
    <w:rsid w:val="006B36DE"/>
    <w:rsid w:val="006B3808"/>
    <w:rsid w:val="006B39BF"/>
    <w:rsid w:val="006B3D92"/>
    <w:rsid w:val="006B4326"/>
    <w:rsid w:val="006B4855"/>
    <w:rsid w:val="006B4D5D"/>
    <w:rsid w:val="006B4E5D"/>
    <w:rsid w:val="006B4FC1"/>
    <w:rsid w:val="006B52BF"/>
    <w:rsid w:val="006B5521"/>
    <w:rsid w:val="006B588F"/>
    <w:rsid w:val="006B5988"/>
    <w:rsid w:val="006B5AE3"/>
    <w:rsid w:val="006B5BE2"/>
    <w:rsid w:val="006B5F80"/>
    <w:rsid w:val="006B5FB4"/>
    <w:rsid w:val="006B5FD1"/>
    <w:rsid w:val="006B614A"/>
    <w:rsid w:val="006B63FA"/>
    <w:rsid w:val="006B6635"/>
    <w:rsid w:val="006B675C"/>
    <w:rsid w:val="006B68A1"/>
    <w:rsid w:val="006B6B98"/>
    <w:rsid w:val="006B71B2"/>
    <w:rsid w:val="006B78EB"/>
    <w:rsid w:val="006B7910"/>
    <w:rsid w:val="006B7A82"/>
    <w:rsid w:val="006B7AAD"/>
    <w:rsid w:val="006B7B7D"/>
    <w:rsid w:val="006B7CAB"/>
    <w:rsid w:val="006C0171"/>
    <w:rsid w:val="006C02D1"/>
    <w:rsid w:val="006C03EA"/>
    <w:rsid w:val="006C05F7"/>
    <w:rsid w:val="006C099B"/>
    <w:rsid w:val="006C0C46"/>
    <w:rsid w:val="006C0C5C"/>
    <w:rsid w:val="006C0DBE"/>
    <w:rsid w:val="006C12C4"/>
    <w:rsid w:val="006C12FF"/>
    <w:rsid w:val="006C13CE"/>
    <w:rsid w:val="006C1466"/>
    <w:rsid w:val="006C19BA"/>
    <w:rsid w:val="006C1B16"/>
    <w:rsid w:val="006C1C86"/>
    <w:rsid w:val="006C1D24"/>
    <w:rsid w:val="006C1F42"/>
    <w:rsid w:val="006C1FD2"/>
    <w:rsid w:val="006C1FE4"/>
    <w:rsid w:val="006C20EC"/>
    <w:rsid w:val="006C22B5"/>
    <w:rsid w:val="006C26EB"/>
    <w:rsid w:val="006C2BD5"/>
    <w:rsid w:val="006C2C81"/>
    <w:rsid w:val="006C2D8C"/>
    <w:rsid w:val="006C2E0E"/>
    <w:rsid w:val="006C2E98"/>
    <w:rsid w:val="006C2EE3"/>
    <w:rsid w:val="006C2EEE"/>
    <w:rsid w:val="006C3182"/>
    <w:rsid w:val="006C33AA"/>
    <w:rsid w:val="006C34FC"/>
    <w:rsid w:val="006C3669"/>
    <w:rsid w:val="006C36F0"/>
    <w:rsid w:val="006C3891"/>
    <w:rsid w:val="006C390A"/>
    <w:rsid w:val="006C3E4F"/>
    <w:rsid w:val="006C4272"/>
    <w:rsid w:val="006C4291"/>
    <w:rsid w:val="006C43D8"/>
    <w:rsid w:val="006C4DE1"/>
    <w:rsid w:val="006C4EF0"/>
    <w:rsid w:val="006C5046"/>
    <w:rsid w:val="006C5312"/>
    <w:rsid w:val="006C54BB"/>
    <w:rsid w:val="006C5988"/>
    <w:rsid w:val="006C59B9"/>
    <w:rsid w:val="006C5DC6"/>
    <w:rsid w:val="006C62F6"/>
    <w:rsid w:val="006C6A8C"/>
    <w:rsid w:val="006C6B58"/>
    <w:rsid w:val="006C6DFB"/>
    <w:rsid w:val="006C6DFE"/>
    <w:rsid w:val="006C714D"/>
    <w:rsid w:val="006C74BA"/>
    <w:rsid w:val="006C76CF"/>
    <w:rsid w:val="006C7926"/>
    <w:rsid w:val="006C7AD4"/>
    <w:rsid w:val="006C7CE4"/>
    <w:rsid w:val="006D0236"/>
    <w:rsid w:val="006D03F0"/>
    <w:rsid w:val="006D03FC"/>
    <w:rsid w:val="006D0957"/>
    <w:rsid w:val="006D0C9B"/>
    <w:rsid w:val="006D0D33"/>
    <w:rsid w:val="006D0E9F"/>
    <w:rsid w:val="006D0EB9"/>
    <w:rsid w:val="006D1299"/>
    <w:rsid w:val="006D1591"/>
    <w:rsid w:val="006D184E"/>
    <w:rsid w:val="006D1A3F"/>
    <w:rsid w:val="006D1F9D"/>
    <w:rsid w:val="006D211B"/>
    <w:rsid w:val="006D2397"/>
    <w:rsid w:val="006D25B7"/>
    <w:rsid w:val="006D2612"/>
    <w:rsid w:val="006D26E9"/>
    <w:rsid w:val="006D2929"/>
    <w:rsid w:val="006D3153"/>
    <w:rsid w:val="006D32C7"/>
    <w:rsid w:val="006D349C"/>
    <w:rsid w:val="006D34E4"/>
    <w:rsid w:val="006D3630"/>
    <w:rsid w:val="006D3B2A"/>
    <w:rsid w:val="006D3DFA"/>
    <w:rsid w:val="006D3EE5"/>
    <w:rsid w:val="006D41F6"/>
    <w:rsid w:val="006D4218"/>
    <w:rsid w:val="006D42E4"/>
    <w:rsid w:val="006D4376"/>
    <w:rsid w:val="006D466E"/>
    <w:rsid w:val="006D47B1"/>
    <w:rsid w:val="006D5170"/>
    <w:rsid w:val="006D517E"/>
    <w:rsid w:val="006D521F"/>
    <w:rsid w:val="006D5352"/>
    <w:rsid w:val="006D5362"/>
    <w:rsid w:val="006D57E2"/>
    <w:rsid w:val="006D5887"/>
    <w:rsid w:val="006D5A9F"/>
    <w:rsid w:val="006D5E2D"/>
    <w:rsid w:val="006D68DA"/>
    <w:rsid w:val="006D68DF"/>
    <w:rsid w:val="006D6F6F"/>
    <w:rsid w:val="006D70F2"/>
    <w:rsid w:val="006D7710"/>
    <w:rsid w:val="006D7940"/>
    <w:rsid w:val="006D79C6"/>
    <w:rsid w:val="006D7A21"/>
    <w:rsid w:val="006D7FB8"/>
    <w:rsid w:val="006E0031"/>
    <w:rsid w:val="006E0038"/>
    <w:rsid w:val="006E061C"/>
    <w:rsid w:val="006E0CD6"/>
    <w:rsid w:val="006E0CEC"/>
    <w:rsid w:val="006E1751"/>
    <w:rsid w:val="006E1A0B"/>
    <w:rsid w:val="006E1E91"/>
    <w:rsid w:val="006E1ED2"/>
    <w:rsid w:val="006E2476"/>
    <w:rsid w:val="006E25B7"/>
    <w:rsid w:val="006E27C7"/>
    <w:rsid w:val="006E2863"/>
    <w:rsid w:val="006E2ECA"/>
    <w:rsid w:val="006E385E"/>
    <w:rsid w:val="006E3C20"/>
    <w:rsid w:val="006E3FB1"/>
    <w:rsid w:val="006E4409"/>
    <w:rsid w:val="006E4541"/>
    <w:rsid w:val="006E4547"/>
    <w:rsid w:val="006E4A95"/>
    <w:rsid w:val="006E4EAF"/>
    <w:rsid w:val="006E5396"/>
    <w:rsid w:val="006E5732"/>
    <w:rsid w:val="006E5739"/>
    <w:rsid w:val="006E5C33"/>
    <w:rsid w:val="006E5E3D"/>
    <w:rsid w:val="006E5E40"/>
    <w:rsid w:val="006E5F94"/>
    <w:rsid w:val="006E5FFD"/>
    <w:rsid w:val="006E616D"/>
    <w:rsid w:val="006E672A"/>
    <w:rsid w:val="006E6815"/>
    <w:rsid w:val="006E6C75"/>
    <w:rsid w:val="006E6DFB"/>
    <w:rsid w:val="006E6EB5"/>
    <w:rsid w:val="006E6F0A"/>
    <w:rsid w:val="006E75C1"/>
    <w:rsid w:val="006E7A03"/>
    <w:rsid w:val="006E7F38"/>
    <w:rsid w:val="006E7F7F"/>
    <w:rsid w:val="006F0629"/>
    <w:rsid w:val="006F0F25"/>
    <w:rsid w:val="006F0F69"/>
    <w:rsid w:val="006F11CE"/>
    <w:rsid w:val="006F158D"/>
    <w:rsid w:val="006F1A90"/>
    <w:rsid w:val="006F1BEC"/>
    <w:rsid w:val="006F204D"/>
    <w:rsid w:val="006F24CA"/>
    <w:rsid w:val="006F2C39"/>
    <w:rsid w:val="006F3005"/>
    <w:rsid w:val="006F328D"/>
    <w:rsid w:val="006F32A7"/>
    <w:rsid w:val="006F3476"/>
    <w:rsid w:val="006F3559"/>
    <w:rsid w:val="006F370D"/>
    <w:rsid w:val="006F38C2"/>
    <w:rsid w:val="006F3C35"/>
    <w:rsid w:val="006F420C"/>
    <w:rsid w:val="006F443D"/>
    <w:rsid w:val="006F46E8"/>
    <w:rsid w:val="006F47B2"/>
    <w:rsid w:val="006F489C"/>
    <w:rsid w:val="006F48B9"/>
    <w:rsid w:val="006F4A62"/>
    <w:rsid w:val="006F4B47"/>
    <w:rsid w:val="006F4D83"/>
    <w:rsid w:val="006F4ED5"/>
    <w:rsid w:val="006F4FDF"/>
    <w:rsid w:val="006F4FF3"/>
    <w:rsid w:val="006F5207"/>
    <w:rsid w:val="006F53C6"/>
    <w:rsid w:val="006F53C9"/>
    <w:rsid w:val="006F53F3"/>
    <w:rsid w:val="006F54C8"/>
    <w:rsid w:val="006F54EF"/>
    <w:rsid w:val="006F567C"/>
    <w:rsid w:val="006F58D0"/>
    <w:rsid w:val="006F5A10"/>
    <w:rsid w:val="006F60BE"/>
    <w:rsid w:val="006F61A6"/>
    <w:rsid w:val="006F61E3"/>
    <w:rsid w:val="006F66AB"/>
    <w:rsid w:val="006F6AFC"/>
    <w:rsid w:val="006F6D0B"/>
    <w:rsid w:val="006F6E73"/>
    <w:rsid w:val="006F71AD"/>
    <w:rsid w:val="006F72FB"/>
    <w:rsid w:val="006F746A"/>
    <w:rsid w:val="006F7475"/>
    <w:rsid w:val="006F784C"/>
    <w:rsid w:val="006F7CE1"/>
    <w:rsid w:val="006F7DC5"/>
    <w:rsid w:val="006F7DEF"/>
    <w:rsid w:val="006F7F19"/>
    <w:rsid w:val="007003A4"/>
    <w:rsid w:val="00700405"/>
    <w:rsid w:val="007006FA"/>
    <w:rsid w:val="007007C9"/>
    <w:rsid w:val="00700825"/>
    <w:rsid w:val="00700C5C"/>
    <w:rsid w:val="00701385"/>
    <w:rsid w:val="0070165E"/>
    <w:rsid w:val="007016B5"/>
    <w:rsid w:val="00701A88"/>
    <w:rsid w:val="00701B73"/>
    <w:rsid w:val="007022EA"/>
    <w:rsid w:val="0070244F"/>
    <w:rsid w:val="0070268D"/>
    <w:rsid w:val="00702BF9"/>
    <w:rsid w:val="00702DA6"/>
    <w:rsid w:val="0070313F"/>
    <w:rsid w:val="0070342A"/>
    <w:rsid w:val="00703723"/>
    <w:rsid w:val="00703787"/>
    <w:rsid w:val="00703C13"/>
    <w:rsid w:val="00704144"/>
    <w:rsid w:val="00704316"/>
    <w:rsid w:val="007044C7"/>
    <w:rsid w:val="007046B5"/>
    <w:rsid w:val="007046CD"/>
    <w:rsid w:val="00704726"/>
    <w:rsid w:val="00704BCA"/>
    <w:rsid w:val="007053A7"/>
    <w:rsid w:val="00705A81"/>
    <w:rsid w:val="00705B19"/>
    <w:rsid w:val="00705F67"/>
    <w:rsid w:val="0070620D"/>
    <w:rsid w:val="00706277"/>
    <w:rsid w:val="007062BB"/>
    <w:rsid w:val="00706465"/>
    <w:rsid w:val="0070663F"/>
    <w:rsid w:val="0070685E"/>
    <w:rsid w:val="00706A6F"/>
    <w:rsid w:val="00706B79"/>
    <w:rsid w:val="00706F78"/>
    <w:rsid w:val="00707683"/>
    <w:rsid w:val="00707AF0"/>
    <w:rsid w:val="00707BCB"/>
    <w:rsid w:val="00707C5E"/>
    <w:rsid w:val="00710209"/>
    <w:rsid w:val="007106CA"/>
    <w:rsid w:val="0071118F"/>
    <w:rsid w:val="00711614"/>
    <w:rsid w:val="007118FF"/>
    <w:rsid w:val="00711929"/>
    <w:rsid w:val="00711962"/>
    <w:rsid w:val="00711C58"/>
    <w:rsid w:val="00711D2E"/>
    <w:rsid w:val="00712072"/>
    <w:rsid w:val="00712340"/>
    <w:rsid w:val="0071242C"/>
    <w:rsid w:val="0071290C"/>
    <w:rsid w:val="00712C8E"/>
    <w:rsid w:val="00712CDB"/>
    <w:rsid w:val="00712EA6"/>
    <w:rsid w:val="00712EA8"/>
    <w:rsid w:val="00712F6A"/>
    <w:rsid w:val="007133D6"/>
    <w:rsid w:val="0071344F"/>
    <w:rsid w:val="00713571"/>
    <w:rsid w:val="00713932"/>
    <w:rsid w:val="00713ABA"/>
    <w:rsid w:val="00713C1B"/>
    <w:rsid w:val="00713D90"/>
    <w:rsid w:val="00713FE9"/>
    <w:rsid w:val="00714183"/>
    <w:rsid w:val="00714756"/>
    <w:rsid w:val="00714780"/>
    <w:rsid w:val="007147DC"/>
    <w:rsid w:val="007148EE"/>
    <w:rsid w:val="007148F1"/>
    <w:rsid w:val="00714A7B"/>
    <w:rsid w:val="00714D49"/>
    <w:rsid w:val="00714EA0"/>
    <w:rsid w:val="00714F3B"/>
    <w:rsid w:val="00715203"/>
    <w:rsid w:val="0071520A"/>
    <w:rsid w:val="00715413"/>
    <w:rsid w:val="00715571"/>
    <w:rsid w:val="00715AEE"/>
    <w:rsid w:val="00715B3E"/>
    <w:rsid w:val="00715BAE"/>
    <w:rsid w:val="00715D1B"/>
    <w:rsid w:val="00715E05"/>
    <w:rsid w:val="00715FA8"/>
    <w:rsid w:val="00716069"/>
    <w:rsid w:val="007163DB"/>
    <w:rsid w:val="00716809"/>
    <w:rsid w:val="00716810"/>
    <w:rsid w:val="00716CBA"/>
    <w:rsid w:val="00716D5F"/>
    <w:rsid w:val="00716DA3"/>
    <w:rsid w:val="00716DCA"/>
    <w:rsid w:val="00716DEF"/>
    <w:rsid w:val="00716E1A"/>
    <w:rsid w:val="00716E1C"/>
    <w:rsid w:val="00716E3F"/>
    <w:rsid w:val="00716EF9"/>
    <w:rsid w:val="00717064"/>
    <w:rsid w:val="007170E5"/>
    <w:rsid w:val="00717179"/>
    <w:rsid w:val="007171D8"/>
    <w:rsid w:val="00717209"/>
    <w:rsid w:val="0071723C"/>
    <w:rsid w:val="007177CE"/>
    <w:rsid w:val="007177E9"/>
    <w:rsid w:val="00717873"/>
    <w:rsid w:val="00717944"/>
    <w:rsid w:val="00717B90"/>
    <w:rsid w:val="00717F9B"/>
    <w:rsid w:val="00720262"/>
    <w:rsid w:val="0072053B"/>
    <w:rsid w:val="007208F7"/>
    <w:rsid w:val="007208F8"/>
    <w:rsid w:val="007209A5"/>
    <w:rsid w:val="00720D28"/>
    <w:rsid w:val="00720E72"/>
    <w:rsid w:val="00721105"/>
    <w:rsid w:val="007214DA"/>
    <w:rsid w:val="00721661"/>
    <w:rsid w:val="00721840"/>
    <w:rsid w:val="00721874"/>
    <w:rsid w:val="0072208D"/>
    <w:rsid w:val="007220E6"/>
    <w:rsid w:val="00722131"/>
    <w:rsid w:val="007221A3"/>
    <w:rsid w:val="00722222"/>
    <w:rsid w:val="007223D4"/>
    <w:rsid w:val="00722547"/>
    <w:rsid w:val="007229CE"/>
    <w:rsid w:val="00722BC0"/>
    <w:rsid w:val="0072312D"/>
    <w:rsid w:val="0072318B"/>
    <w:rsid w:val="00723302"/>
    <w:rsid w:val="00723464"/>
    <w:rsid w:val="00723470"/>
    <w:rsid w:val="007235A8"/>
    <w:rsid w:val="0072366D"/>
    <w:rsid w:val="00723AED"/>
    <w:rsid w:val="00723F26"/>
    <w:rsid w:val="00724455"/>
    <w:rsid w:val="00724625"/>
    <w:rsid w:val="00724E4F"/>
    <w:rsid w:val="00724EE5"/>
    <w:rsid w:val="007254C8"/>
    <w:rsid w:val="00725A57"/>
    <w:rsid w:val="00725D02"/>
    <w:rsid w:val="00725DB5"/>
    <w:rsid w:val="00725F7A"/>
    <w:rsid w:val="007262D1"/>
    <w:rsid w:val="00726373"/>
    <w:rsid w:val="00726395"/>
    <w:rsid w:val="00726415"/>
    <w:rsid w:val="00726654"/>
    <w:rsid w:val="00726A5C"/>
    <w:rsid w:val="00726BB0"/>
    <w:rsid w:val="00726C44"/>
    <w:rsid w:val="00726CCD"/>
    <w:rsid w:val="00726E4C"/>
    <w:rsid w:val="00726E9F"/>
    <w:rsid w:val="007270BC"/>
    <w:rsid w:val="0072711A"/>
    <w:rsid w:val="007271C8"/>
    <w:rsid w:val="0072723C"/>
    <w:rsid w:val="00727474"/>
    <w:rsid w:val="007275A2"/>
    <w:rsid w:val="00727BAA"/>
    <w:rsid w:val="00727F86"/>
    <w:rsid w:val="00730032"/>
    <w:rsid w:val="00730256"/>
    <w:rsid w:val="00730319"/>
    <w:rsid w:val="007305E8"/>
    <w:rsid w:val="00730674"/>
    <w:rsid w:val="0073096D"/>
    <w:rsid w:val="00730D57"/>
    <w:rsid w:val="00730D9B"/>
    <w:rsid w:val="00731048"/>
    <w:rsid w:val="0073106F"/>
    <w:rsid w:val="00731179"/>
    <w:rsid w:val="007312F6"/>
    <w:rsid w:val="00731397"/>
    <w:rsid w:val="00731432"/>
    <w:rsid w:val="0073145E"/>
    <w:rsid w:val="00731696"/>
    <w:rsid w:val="00731787"/>
    <w:rsid w:val="007318BE"/>
    <w:rsid w:val="007323D5"/>
    <w:rsid w:val="00732A2C"/>
    <w:rsid w:val="00732A7F"/>
    <w:rsid w:val="00732BFE"/>
    <w:rsid w:val="00732F18"/>
    <w:rsid w:val="00732F6C"/>
    <w:rsid w:val="00733185"/>
    <w:rsid w:val="007334B1"/>
    <w:rsid w:val="00733824"/>
    <w:rsid w:val="00733B96"/>
    <w:rsid w:val="007341A3"/>
    <w:rsid w:val="00734351"/>
    <w:rsid w:val="0073482A"/>
    <w:rsid w:val="00734A61"/>
    <w:rsid w:val="00734A94"/>
    <w:rsid w:val="00734BCB"/>
    <w:rsid w:val="00735194"/>
    <w:rsid w:val="007351DB"/>
    <w:rsid w:val="0073532A"/>
    <w:rsid w:val="00735866"/>
    <w:rsid w:val="007358B5"/>
    <w:rsid w:val="007358BC"/>
    <w:rsid w:val="00735995"/>
    <w:rsid w:val="00735CDD"/>
    <w:rsid w:val="00735DC8"/>
    <w:rsid w:val="00735DF3"/>
    <w:rsid w:val="00735EB1"/>
    <w:rsid w:val="00735EC5"/>
    <w:rsid w:val="0073601A"/>
    <w:rsid w:val="007361CD"/>
    <w:rsid w:val="007366E5"/>
    <w:rsid w:val="00736862"/>
    <w:rsid w:val="00736A47"/>
    <w:rsid w:val="00736BC5"/>
    <w:rsid w:val="00736C75"/>
    <w:rsid w:val="00737667"/>
    <w:rsid w:val="00737898"/>
    <w:rsid w:val="00737BAF"/>
    <w:rsid w:val="007404E8"/>
    <w:rsid w:val="0074054E"/>
    <w:rsid w:val="007407D8"/>
    <w:rsid w:val="00740A82"/>
    <w:rsid w:val="00740E0F"/>
    <w:rsid w:val="00740E38"/>
    <w:rsid w:val="00740E55"/>
    <w:rsid w:val="00740F68"/>
    <w:rsid w:val="00740FEE"/>
    <w:rsid w:val="00741011"/>
    <w:rsid w:val="00741389"/>
    <w:rsid w:val="00741DBE"/>
    <w:rsid w:val="00741F59"/>
    <w:rsid w:val="007420B9"/>
    <w:rsid w:val="00742105"/>
    <w:rsid w:val="00742315"/>
    <w:rsid w:val="00742901"/>
    <w:rsid w:val="00742AF8"/>
    <w:rsid w:val="00742B91"/>
    <w:rsid w:val="00742FAF"/>
    <w:rsid w:val="007430CD"/>
    <w:rsid w:val="0074353F"/>
    <w:rsid w:val="00743B42"/>
    <w:rsid w:val="00743CE7"/>
    <w:rsid w:val="00743E1E"/>
    <w:rsid w:val="00744002"/>
    <w:rsid w:val="007441DA"/>
    <w:rsid w:val="0074453B"/>
    <w:rsid w:val="007445E9"/>
    <w:rsid w:val="0074464A"/>
    <w:rsid w:val="00744665"/>
    <w:rsid w:val="007446F0"/>
    <w:rsid w:val="0074475B"/>
    <w:rsid w:val="00744A31"/>
    <w:rsid w:val="00744FBE"/>
    <w:rsid w:val="007452F6"/>
    <w:rsid w:val="00745ACB"/>
    <w:rsid w:val="00745BD9"/>
    <w:rsid w:val="00745DE7"/>
    <w:rsid w:val="0074608A"/>
    <w:rsid w:val="007464F2"/>
    <w:rsid w:val="00746683"/>
    <w:rsid w:val="007466E2"/>
    <w:rsid w:val="0074699F"/>
    <w:rsid w:val="007469C7"/>
    <w:rsid w:val="00746F37"/>
    <w:rsid w:val="0074703B"/>
    <w:rsid w:val="007470B1"/>
    <w:rsid w:val="00747282"/>
    <w:rsid w:val="0074788B"/>
    <w:rsid w:val="00747E26"/>
    <w:rsid w:val="0075002C"/>
    <w:rsid w:val="00750220"/>
    <w:rsid w:val="0075035F"/>
    <w:rsid w:val="00750B3C"/>
    <w:rsid w:val="0075100C"/>
    <w:rsid w:val="00751423"/>
    <w:rsid w:val="00751591"/>
    <w:rsid w:val="00751689"/>
    <w:rsid w:val="007517CA"/>
    <w:rsid w:val="00751DA9"/>
    <w:rsid w:val="00751DE1"/>
    <w:rsid w:val="00751E26"/>
    <w:rsid w:val="00752134"/>
    <w:rsid w:val="00752184"/>
    <w:rsid w:val="007524C6"/>
    <w:rsid w:val="0075270D"/>
    <w:rsid w:val="00752930"/>
    <w:rsid w:val="007529C4"/>
    <w:rsid w:val="00752AA6"/>
    <w:rsid w:val="007531F7"/>
    <w:rsid w:val="007534E7"/>
    <w:rsid w:val="00753514"/>
    <w:rsid w:val="0075359A"/>
    <w:rsid w:val="00753969"/>
    <w:rsid w:val="00753BDE"/>
    <w:rsid w:val="007540D4"/>
    <w:rsid w:val="00754122"/>
    <w:rsid w:val="0075457D"/>
    <w:rsid w:val="00754714"/>
    <w:rsid w:val="00754879"/>
    <w:rsid w:val="007548B1"/>
    <w:rsid w:val="007548FE"/>
    <w:rsid w:val="0075490D"/>
    <w:rsid w:val="00754981"/>
    <w:rsid w:val="00754ABE"/>
    <w:rsid w:val="00754B40"/>
    <w:rsid w:val="00754C4D"/>
    <w:rsid w:val="00754EA5"/>
    <w:rsid w:val="00755256"/>
    <w:rsid w:val="00755509"/>
    <w:rsid w:val="007557E5"/>
    <w:rsid w:val="00755F3F"/>
    <w:rsid w:val="00756057"/>
    <w:rsid w:val="0075628C"/>
    <w:rsid w:val="00756526"/>
    <w:rsid w:val="00756B62"/>
    <w:rsid w:val="00756B90"/>
    <w:rsid w:val="00756E11"/>
    <w:rsid w:val="007570C4"/>
    <w:rsid w:val="0075731C"/>
    <w:rsid w:val="00757559"/>
    <w:rsid w:val="007575D3"/>
    <w:rsid w:val="00757B87"/>
    <w:rsid w:val="00757D25"/>
    <w:rsid w:val="00757E18"/>
    <w:rsid w:val="007600D7"/>
    <w:rsid w:val="0076032D"/>
    <w:rsid w:val="00760404"/>
    <w:rsid w:val="00760523"/>
    <w:rsid w:val="007606D4"/>
    <w:rsid w:val="0076077C"/>
    <w:rsid w:val="00760937"/>
    <w:rsid w:val="00760A08"/>
    <w:rsid w:val="00760DA1"/>
    <w:rsid w:val="00760DEF"/>
    <w:rsid w:val="00760E92"/>
    <w:rsid w:val="007619D8"/>
    <w:rsid w:val="00761C4D"/>
    <w:rsid w:val="007624D3"/>
    <w:rsid w:val="00762885"/>
    <w:rsid w:val="00762CEB"/>
    <w:rsid w:val="00763122"/>
    <w:rsid w:val="0076315C"/>
    <w:rsid w:val="007631AF"/>
    <w:rsid w:val="00763384"/>
    <w:rsid w:val="007636C1"/>
    <w:rsid w:val="007636EB"/>
    <w:rsid w:val="00763D20"/>
    <w:rsid w:val="00763DB8"/>
    <w:rsid w:val="00763E8F"/>
    <w:rsid w:val="007642CB"/>
    <w:rsid w:val="00764577"/>
    <w:rsid w:val="007645E0"/>
    <w:rsid w:val="0076467F"/>
    <w:rsid w:val="00764737"/>
    <w:rsid w:val="007649E1"/>
    <w:rsid w:val="00764B11"/>
    <w:rsid w:val="00764B33"/>
    <w:rsid w:val="00764CFF"/>
    <w:rsid w:val="00764D1F"/>
    <w:rsid w:val="00764DD5"/>
    <w:rsid w:val="00764F65"/>
    <w:rsid w:val="00765094"/>
    <w:rsid w:val="00765097"/>
    <w:rsid w:val="00765104"/>
    <w:rsid w:val="007653F9"/>
    <w:rsid w:val="00765452"/>
    <w:rsid w:val="0076546F"/>
    <w:rsid w:val="007655E3"/>
    <w:rsid w:val="00765681"/>
    <w:rsid w:val="007658A6"/>
    <w:rsid w:val="00765B1D"/>
    <w:rsid w:val="00765E67"/>
    <w:rsid w:val="00765E86"/>
    <w:rsid w:val="00765FE8"/>
    <w:rsid w:val="00766377"/>
    <w:rsid w:val="0076652B"/>
    <w:rsid w:val="007667EC"/>
    <w:rsid w:val="007667F4"/>
    <w:rsid w:val="00766B79"/>
    <w:rsid w:val="00766C81"/>
    <w:rsid w:val="00766F65"/>
    <w:rsid w:val="00767172"/>
    <w:rsid w:val="00767244"/>
    <w:rsid w:val="0076747D"/>
    <w:rsid w:val="00767623"/>
    <w:rsid w:val="0076792B"/>
    <w:rsid w:val="007679EF"/>
    <w:rsid w:val="00767A53"/>
    <w:rsid w:val="00767E2C"/>
    <w:rsid w:val="00770113"/>
    <w:rsid w:val="007705FA"/>
    <w:rsid w:val="00770B4E"/>
    <w:rsid w:val="00770C77"/>
    <w:rsid w:val="00770CFE"/>
    <w:rsid w:val="007715FE"/>
    <w:rsid w:val="00771712"/>
    <w:rsid w:val="007717DD"/>
    <w:rsid w:val="00771AA8"/>
    <w:rsid w:val="00771BA7"/>
    <w:rsid w:val="00772073"/>
    <w:rsid w:val="007721E3"/>
    <w:rsid w:val="00772B3B"/>
    <w:rsid w:val="00772CF9"/>
    <w:rsid w:val="00773108"/>
    <w:rsid w:val="00773229"/>
    <w:rsid w:val="0077361B"/>
    <w:rsid w:val="007737BE"/>
    <w:rsid w:val="00773BFF"/>
    <w:rsid w:val="0077411A"/>
    <w:rsid w:val="00774253"/>
    <w:rsid w:val="00774397"/>
    <w:rsid w:val="0077469C"/>
    <w:rsid w:val="00774D4D"/>
    <w:rsid w:val="00774EDA"/>
    <w:rsid w:val="00774F00"/>
    <w:rsid w:val="00774F5C"/>
    <w:rsid w:val="00775020"/>
    <w:rsid w:val="007757E5"/>
    <w:rsid w:val="00775CEC"/>
    <w:rsid w:val="00775D31"/>
    <w:rsid w:val="00775E60"/>
    <w:rsid w:val="007761D2"/>
    <w:rsid w:val="0077636B"/>
    <w:rsid w:val="00776685"/>
    <w:rsid w:val="007766E3"/>
    <w:rsid w:val="007768AB"/>
    <w:rsid w:val="00776B8E"/>
    <w:rsid w:val="00776C5C"/>
    <w:rsid w:val="00777808"/>
    <w:rsid w:val="00777B7F"/>
    <w:rsid w:val="00777DBC"/>
    <w:rsid w:val="00780054"/>
    <w:rsid w:val="00780088"/>
    <w:rsid w:val="007806B7"/>
    <w:rsid w:val="007808A2"/>
    <w:rsid w:val="00780A17"/>
    <w:rsid w:val="00780C11"/>
    <w:rsid w:val="00780C5B"/>
    <w:rsid w:val="00780E3E"/>
    <w:rsid w:val="00780EF9"/>
    <w:rsid w:val="007810FD"/>
    <w:rsid w:val="0078121B"/>
    <w:rsid w:val="007817B0"/>
    <w:rsid w:val="007820FD"/>
    <w:rsid w:val="007823EF"/>
    <w:rsid w:val="00782734"/>
    <w:rsid w:val="0078286E"/>
    <w:rsid w:val="007828D4"/>
    <w:rsid w:val="0078291E"/>
    <w:rsid w:val="00782C03"/>
    <w:rsid w:val="00782CE9"/>
    <w:rsid w:val="00782EFB"/>
    <w:rsid w:val="0078326A"/>
    <w:rsid w:val="00783421"/>
    <w:rsid w:val="007834BD"/>
    <w:rsid w:val="007837EA"/>
    <w:rsid w:val="0078398E"/>
    <w:rsid w:val="007839E9"/>
    <w:rsid w:val="00783A26"/>
    <w:rsid w:val="00783AFD"/>
    <w:rsid w:val="00783C2B"/>
    <w:rsid w:val="00783F6D"/>
    <w:rsid w:val="0078403E"/>
    <w:rsid w:val="00784151"/>
    <w:rsid w:val="00784262"/>
    <w:rsid w:val="007843B1"/>
    <w:rsid w:val="007844E3"/>
    <w:rsid w:val="007845C2"/>
    <w:rsid w:val="0078466C"/>
    <w:rsid w:val="0078486D"/>
    <w:rsid w:val="007848B8"/>
    <w:rsid w:val="00784931"/>
    <w:rsid w:val="00784AE6"/>
    <w:rsid w:val="00784AE7"/>
    <w:rsid w:val="00784D50"/>
    <w:rsid w:val="00784ED9"/>
    <w:rsid w:val="00785103"/>
    <w:rsid w:val="00785317"/>
    <w:rsid w:val="00785394"/>
    <w:rsid w:val="00785563"/>
    <w:rsid w:val="0078578D"/>
    <w:rsid w:val="00785BEE"/>
    <w:rsid w:val="00785FE1"/>
    <w:rsid w:val="007860DD"/>
    <w:rsid w:val="007861B0"/>
    <w:rsid w:val="0078632E"/>
    <w:rsid w:val="00786601"/>
    <w:rsid w:val="00786A47"/>
    <w:rsid w:val="00786D21"/>
    <w:rsid w:val="0078751E"/>
    <w:rsid w:val="00787555"/>
    <w:rsid w:val="007875AF"/>
    <w:rsid w:val="00787766"/>
    <w:rsid w:val="007879B0"/>
    <w:rsid w:val="007879E7"/>
    <w:rsid w:val="00787A15"/>
    <w:rsid w:val="00787F99"/>
    <w:rsid w:val="00790346"/>
    <w:rsid w:val="0079054E"/>
    <w:rsid w:val="00790A94"/>
    <w:rsid w:val="00790B1B"/>
    <w:rsid w:val="00790D0F"/>
    <w:rsid w:val="00791303"/>
    <w:rsid w:val="007914B8"/>
    <w:rsid w:val="007918CE"/>
    <w:rsid w:val="00791F6D"/>
    <w:rsid w:val="00792192"/>
    <w:rsid w:val="007925ED"/>
    <w:rsid w:val="00792DD1"/>
    <w:rsid w:val="00792F72"/>
    <w:rsid w:val="00793116"/>
    <w:rsid w:val="00793164"/>
    <w:rsid w:val="00793575"/>
    <w:rsid w:val="00793728"/>
    <w:rsid w:val="00793956"/>
    <w:rsid w:val="007939AC"/>
    <w:rsid w:val="00793A2E"/>
    <w:rsid w:val="00793AFD"/>
    <w:rsid w:val="00793B74"/>
    <w:rsid w:val="00793BEB"/>
    <w:rsid w:val="00793C5D"/>
    <w:rsid w:val="007940EB"/>
    <w:rsid w:val="007942F6"/>
    <w:rsid w:val="007943D2"/>
    <w:rsid w:val="00794872"/>
    <w:rsid w:val="007948DE"/>
    <w:rsid w:val="007949E5"/>
    <w:rsid w:val="00795129"/>
    <w:rsid w:val="0079519A"/>
    <w:rsid w:val="00795223"/>
    <w:rsid w:val="00795260"/>
    <w:rsid w:val="007953D7"/>
    <w:rsid w:val="007953F9"/>
    <w:rsid w:val="00795A4D"/>
    <w:rsid w:val="00795DA1"/>
    <w:rsid w:val="00795DDD"/>
    <w:rsid w:val="00796140"/>
    <w:rsid w:val="007965D7"/>
    <w:rsid w:val="00796647"/>
    <w:rsid w:val="007966CE"/>
    <w:rsid w:val="0079672E"/>
    <w:rsid w:val="007968D0"/>
    <w:rsid w:val="00796A55"/>
    <w:rsid w:val="00796A9A"/>
    <w:rsid w:val="00796DF1"/>
    <w:rsid w:val="00796EE5"/>
    <w:rsid w:val="0079705A"/>
    <w:rsid w:val="0079709A"/>
    <w:rsid w:val="007972A9"/>
    <w:rsid w:val="007976E6"/>
    <w:rsid w:val="00797B22"/>
    <w:rsid w:val="00797ECC"/>
    <w:rsid w:val="007A0180"/>
    <w:rsid w:val="007A02B8"/>
    <w:rsid w:val="007A02EA"/>
    <w:rsid w:val="007A03AE"/>
    <w:rsid w:val="007A06F8"/>
    <w:rsid w:val="007A0994"/>
    <w:rsid w:val="007A0C5B"/>
    <w:rsid w:val="007A0FAA"/>
    <w:rsid w:val="007A12DF"/>
    <w:rsid w:val="007A1A6B"/>
    <w:rsid w:val="007A1F45"/>
    <w:rsid w:val="007A1FE3"/>
    <w:rsid w:val="007A21C7"/>
    <w:rsid w:val="007A26DC"/>
    <w:rsid w:val="007A2E92"/>
    <w:rsid w:val="007A2FC9"/>
    <w:rsid w:val="007A2FDE"/>
    <w:rsid w:val="007A322D"/>
    <w:rsid w:val="007A34B5"/>
    <w:rsid w:val="007A3AA9"/>
    <w:rsid w:val="007A3B91"/>
    <w:rsid w:val="007A43CD"/>
    <w:rsid w:val="007A43D1"/>
    <w:rsid w:val="007A458F"/>
    <w:rsid w:val="007A4B1F"/>
    <w:rsid w:val="007A4BD9"/>
    <w:rsid w:val="007A4C8F"/>
    <w:rsid w:val="007A4CDA"/>
    <w:rsid w:val="007A4E7B"/>
    <w:rsid w:val="007A4EEE"/>
    <w:rsid w:val="007A4F9D"/>
    <w:rsid w:val="007A500D"/>
    <w:rsid w:val="007A553E"/>
    <w:rsid w:val="007A56FB"/>
    <w:rsid w:val="007A57DB"/>
    <w:rsid w:val="007A5AB8"/>
    <w:rsid w:val="007A5B0E"/>
    <w:rsid w:val="007A5D1F"/>
    <w:rsid w:val="007A5F55"/>
    <w:rsid w:val="007A6073"/>
    <w:rsid w:val="007A663B"/>
    <w:rsid w:val="007A6C05"/>
    <w:rsid w:val="007A6DFF"/>
    <w:rsid w:val="007A6E3E"/>
    <w:rsid w:val="007A7442"/>
    <w:rsid w:val="007A76F4"/>
    <w:rsid w:val="007A781F"/>
    <w:rsid w:val="007A7C4A"/>
    <w:rsid w:val="007A7C8D"/>
    <w:rsid w:val="007B0139"/>
    <w:rsid w:val="007B0357"/>
    <w:rsid w:val="007B0424"/>
    <w:rsid w:val="007B06AE"/>
    <w:rsid w:val="007B07B9"/>
    <w:rsid w:val="007B08A3"/>
    <w:rsid w:val="007B0E60"/>
    <w:rsid w:val="007B13C6"/>
    <w:rsid w:val="007B1897"/>
    <w:rsid w:val="007B1E93"/>
    <w:rsid w:val="007B232A"/>
    <w:rsid w:val="007B2503"/>
    <w:rsid w:val="007B25B7"/>
    <w:rsid w:val="007B2930"/>
    <w:rsid w:val="007B2CD5"/>
    <w:rsid w:val="007B2E07"/>
    <w:rsid w:val="007B2FF0"/>
    <w:rsid w:val="007B3000"/>
    <w:rsid w:val="007B345F"/>
    <w:rsid w:val="007B3477"/>
    <w:rsid w:val="007B34A4"/>
    <w:rsid w:val="007B3773"/>
    <w:rsid w:val="007B37CA"/>
    <w:rsid w:val="007B3901"/>
    <w:rsid w:val="007B3B5D"/>
    <w:rsid w:val="007B4129"/>
    <w:rsid w:val="007B4269"/>
    <w:rsid w:val="007B44DC"/>
    <w:rsid w:val="007B463A"/>
    <w:rsid w:val="007B469B"/>
    <w:rsid w:val="007B49F9"/>
    <w:rsid w:val="007B4AEB"/>
    <w:rsid w:val="007B4DE7"/>
    <w:rsid w:val="007B508F"/>
    <w:rsid w:val="007B51BD"/>
    <w:rsid w:val="007B52AE"/>
    <w:rsid w:val="007B5435"/>
    <w:rsid w:val="007B578B"/>
    <w:rsid w:val="007B591E"/>
    <w:rsid w:val="007B5D87"/>
    <w:rsid w:val="007B5E65"/>
    <w:rsid w:val="007B5EA8"/>
    <w:rsid w:val="007B60F3"/>
    <w:rsid w:val="007B6C66"/>
    <w:rsid w:val="007B6C79"/>
    <w:rsid w:val="007B6D5A"/>
    <w:rsid w:val="007B6ED8"/>
    <w:rsid w:val="007B7264"/>
    <w:rsid w:val="007B7DE7"/>
    <w:rsid w:val="007C004A"/>
    <w:rsid w:val="007C01DE"/>
    <w:rsid w:val="007C0740"/>
    <w:rsid w:val="007C0AEA"/>
    <w:rsid w:val="007C10C8"/>
    <w:rsid w:val="007C1139"/>
    <w:rsid w:val="007C1555"/>
    <w:rsid w:val="007C15AB"/>
    <w:rsid w:val="007C1729"/>
    <w:rsid w:val="007C1A01"/>
    <w:rsid w:val="007C1E59"/>
    <w:rsid w:val="007C1E7A"/>
    <w:rsid w:val="007C1EF7"/>
    <w:rsid w:val="007C203B"/>
    <w:rsid w:val="007C214D"/>
    <w:rsid w:val="007C22DC"/>
    <w:rsid w:val="007C2972"/>
    <w:rsid w:val="007C299D"/>
    <w:rsid w:val="007C2EFF"/>
    <w:rsid w:val="007C30A7"/>
    <w:rsid w:val="007C30EC"/>
    <w:rsid w:val="007C3354"/>
    <w:rsid w:val="007C345D"/>
    <w:rsid w:val="007C35F0"/>
    <w:rsid w:val="007C3770"/>
    <w:rsid w:val="007C3772"/>
    <w:rsid w:val="007C3791"/>
    <w:rsid w:val="007C37B6"/>
    <w:rsid w:val="007C3802"/>
    <w:rsid w:val="007C38FA"/>
    <w:rsid w:val="007C3ABA"/>
    <w:rsid w:val="007C3CAD"/>
    <w:rsid w:val="007C44AA"/>
    <w:rsid w:val="007C4787"/>
    <w:rsid w:val="007C4A09"/>
    <w:rsid w:val="007C4A42"/>
    <w:rsid w:val="007C4ACD"/>
    <w:rsid w:val="007C4EE3"/>
    <w:rsid w:val="007C4F74"/>
    <w:rsid w:val="007C4FB4"/>
    <w:rsid w:val="007C4FC8"/>
    <w:rsid w:val="007C5199"/>
    <w:rsid w:val="007C530D"/>
    <w:rsid w:val="007C5414"/>
    <w:rsid w:val="007C544B"/>
    <w:rsid w:val="007C5510"/>
    <w:rsid w:val="007C57DC"/>
    <w:rsid w:val="007C57FC"/>
    <w:rsid w:val="007C5A87"/>
    <w:rsid w:val="007C5DCE"/>
    <w:rsid w:val="007C5DE0"/>
    <w:rsid w:val="007C5FF6"/>
    <w:rsid w:val="007C6064"/>
    <w:rsid w:val="007C61FB"/>
    <w:rsid w:val="007C638D"/>
    <w:rsid w:val="007C63AC"/>
    <w:rsid w:val="007C644F"/>
    <w:rsid w:val="007C6475"/>
    <w:rsid w:val="007C64B0"/>
    <w:rsid w:val="007C64CF"/>
    <w:rsid w:val="007C6804"/>
    <w:rsid w:val="007C6CD9"/>
    <w:rsid w:val="007C6D0F"/>
    <w:rsid w:val="007C7063"/>
    <w:rsid w:val="007C7175"/>
    <w:rsid w:val="007C71E3"/>
    <w:rsid w:val="007C7391"/>
    <w:rsid w:val="007C74C4"/>
    <w:rsid w:val="007C75D1"/>
    <w:rsid w:val="007C7654"/>
    <w:rsid w:val="007C79DC"/>
    <w:rsid w:val="007C7A2C"/>
    <w:rsid w:val="007C7F7F"/>
    <w:rsid w:val="007D0003"/>
    <w:rsid w:val="007D007D"/>
    <w:rsid w:val="007D0152"/>
    <w:rsid w:val="007D0172"/>
    <w:rsid w:val="007D0261"/>
    <w:rsid w:val="007D0459"/>
    <w:rsid w:val="007D04D5"/>
    <w:rsid w:val="007D064E"/>
    <w:rsid w:val="007D0863"/>
    <w:rsid w:val="007D089A"/>
    <w:rsid w:val="007D0B7E"/>
    <w:rsid w:val="007D1075"/>
    <w:rsid w:val="007D107F"/>
    <w:rsid w:val="007D12C0"/>
    <w:rsid w:val="007D1520"/>
    <w:rsid w:val="007D1556"/>
    <w:rsid w:val="007D1BF4"/>
    <w:rsid w:val="007D1C69"/>
    <w:rsid w:val="007D1F3E"/>
    <w:rsid w:val="007D207C"/>
    <w:rsid w:val="007D2665"/>
    <w:rsid w:val="007D2B07"/>
    <w:rsid w:val="007D2B24"/>
    <w:rsid w:val="007D2EE1"/>
    <w:rsid w:val="007D3225"/>
    <w:rsid w:val="007D323B"/>
    <w:rsid w:val="007D3E60"/>
    <w:rsid w:val="007D4133"/>
    <w:rsid w:val="007D437C"/>
    <w:rsid w:val="007D43DA"/>
    <w:rsid w:val="007D44E7"/>
    <w:rsid w:val="007D4628"/>
    <w:rsid w:val="007D4914"/>
    <w:rsid w:val="007D4A44"/>
    <w:rsid w:val="007D4B11"/>
    <w:rsid w:val="007D4CBC"/>
    <w:rsid w:val="007D4D43"/>
    <w:rsid w:val="007D5265"/>
    <w:rsid w:val="007D551C"/>
    <w:rsid w:val="007D56A6"/>
    <w:rsid w:val="007D5823"/>
    <w:rsid w:val="007D5B2B"/>
    <w:rsid w:val="007D5E53"/>
    <w:rsid w:val="007D5F78"/>
    <w:rsid w:val="007D675B"/>
    <w:rsid w:val="007D6964"/>
    <w:rsid w:val="007D6E99"/>
    <w:rsid w:val="007D6ED8"/>
    <w:rsid w:val="007D7082"/>
    <w:rsid w:val="007D723D"/>
    <w:rsid w:val="007D742E"/>
    <w:rsid w:val="007D77A8"/>
    <w:rsid w:val="007D7887"/>
    <w:rsid w:val="007D7A9E"/>
    <w:rsid w:val="007D7CF4"/>
    <w:rsid w:val="007E008D"/>
    <w:rsid w:val="007E018A"/>
    <w:rsid w:val="007E0282"/>
    <w:rsid w:val="007E0557"/>
    <w:rsid w:val="007E06C0"/>
    <w:rsid w:val="007E0703"/>
    <w:rsid w:val="007E0AE6"/>
    <w:rsid w:val="007E0F7E"/>
    <w:rsid w:val="007E0F8F"/>
    <w:rsid w:val="007E1257"/>
    <w:rsid w:val="007E146A"/>
    <w:rsid w:val="007E1897"/>
    <w:rsid w:val="007E19D2"/>
    <w:rsid w:val="007E1AE3"/>
    <w:rsid w:val="007E1B22"/>
    <w:rsid w:val="007E1C2B"/>
    <w:rsid w:val="007E1CDD"/>
    <w:rsid w:val="007E1D6D"/>
    <w:rsid w:val="007E1EBB"/>
    <w:rsid w:val="007E1F16"/>
    <w:rsid w:val="007E28D1"/>
    <w:rsid w:val="007E28F0"/>
    <w:rsid w:val="007E2904"/>
    <w:rsid w:val="007E299B"/>
    <w:rsid w:val="007E2A30"/>
    <w:rsid w:val="007E2AE8"/>
    <w:rsid w:val="007E2B0B"/>
    <w:rsid w:val="007E300B"/>
    <w:rsid w:val="007E3115"/>
    <w:rsid w:val="007E31FD"/>
    <w:rsid w:val="007E3A47"/>
    <w:rsid w:val="007E3BD1"/>
    <w:rsid w:val="007E3D6A"/>
    <w:rsid w:val="007E4167"/>
    <w:rsid w:val="007E443E"/>
    <w:rsid w:val="007E46F2"/>
    <w:rsid w:val="007E4759"/>
    <w:rsid w:val="007E482C"/>
    <w:rsid w:val="007E486B"/>
    <w:rsid w:val="007E4A9B"/>
    <w:rsid w:val="007E4B46"/>
    <w:rsid w:val="007E4C5B"/>
    <w:rsid w:val="007E4D87"/>
    <w:rsid w:val="007E4F3D"/>
    <w:rsid w:val="007E4F9B"/>
    <w:rsid w:val="007E5091"/>
    <w:rsid w:val="007E5156"/>
    <w:rsid w:val="007E5253"/>
    <w:rsid w:val="007E564E"/>
    <w:rsid w:val="007E572B"/>
    <w:rsid w:val="007E59E3"/>
    <w:rsid w:val="007E5C07"/>
    <w:rsid w:val="007E5CBA"/>
    <w:rsid w:val="007E5D38"/>
    <w:rsid w:val="007E5D5E"/>
    <w:rsid w:val="007E5FFD"/>
    <w:rsid w:val="007E628C"/>
    <w:rsid w:val="007E6503"/>
    <w:rsid w:val="007E6660"/>
    <w:rsid w:val="007E66C8"/>
    <w:rsid w:val="007E673A"/>
    <w:rsid w:val="007E6841"/>
    <w:rsid w:val="007E6859"/>
    <w:rsid w:val="007E68D8"/>
    <w:rsid w:val="007E6906"/>
    <w:rsid w:val="007E6BF6"/>
    <w:rsid w:val="007E6DD6"/>
    <w:rsid w:val="007E6E43"/>
    <w:rsid w:val="007E6FB5"/>
    <w:rsid w:val="007E7393"/>
    <w:rsid w:val="007E73F8"/>
    <w:rsid w:val="007E742E"/>
    <w:rsid w:val="007E7500"/>
    <w:rsid w:val="007E79F1"/>
    <w:rsid w:val="007E7A38"/>
    <w:rsid w:val="007F0039"/>
    <w:rsid w:val="007F0365"/>
    <w:rsid w:val="007F07C7"/>
    <w:rsid w:val="007F07CF"/>
    <w:rsid w:val="007F083E"/>
    <w:rsid w:val="007F08E0"/>
    <w:rsid w:val="007F0EA3"/>
    <w:rsid w:val="007F1452"/>
    <w:rsid w:val="007F164A"/>
    <w:rsid w:val="007F1740"/>
    <w:rsid w:val="007F1975"/>
    <w:rsid w:val="007F1B1C"/>
    <w:rsid w:val="007F1B4A"/>
    <w:rsid w:val="007F1BDD"/>
    <w:rsid w:val="007F1CD5"/>
    <w:rsid w:val="007F258C"/>
    <w:rsid w:val="007F26E6"/>
    <w:rsid w:val="007F2F91"/>
    <w:rsid w:val="007F2FCE"/>
    <w:rsid w:val="007F30EF"/>
    <w:rsid w:val="007F32D4"/>
    <w:rsid w:val="007F34E9"/>
    <w:rsid w:val="007F350C"/>
    <w:rsid w:val="007F3B72"/>
    <w:rsid w:val="007F3F13"/>
    <w:rsid w:val="007F40DA"/>
    <w:rsid w:val="007F41E8"/>
    <w:rsid w:val="007F421E"/>
    <w:rsid w:val="007F43D7"/>
    <w:rsid w:val="007F4648"/>
    <w:rsid w:val="007F47C6"/>
    <w:rsid w:val="007F4888"/>
    <w:rsid w:val="007F4E64"/>
    <w:rsid w:val="007F4F0F"/>
    <w:rsid w:val="007F5118"/>
    <w:rsid w:val="007F51E2"/>
    <w:rsid w:val="007F5284"/>
    <w:rsid w:val="007F5445"/>
    <w:rsid w:val="007F5669"/>
    <w:rsid w:val="007F56FB"/>
    <w:rsid w:val="007F5EBF"/>
    <w:rsid w:val="007F5FA0"/>
    <w:rsid w:val="007F6139"/>
    <w:rsid w:val="007F61E8"/>
    <w:rsid w:val="007F6224"/>
    <w:rsid w:val="007F6788"/>
    <w:rsid w:val="007F67EA"/>
    <w:rsid w:val="007F6C35"/>
    <w:rsid w:val="007F7157"/>
    <w:rsid w:val="007F71E0"/>
    <w:rsid w:val="007F7650"/>
    <w:rsid w:val="007F767A"/>
    <w:rsid w:val="007F7848"/>
    <w:rsid w:val="007F7897"/>
    <w:rsid w:val="007F7D51"/>
    <w:rsid w:val="008000DE"/>
    <w:rsid w:val="00800837"/>
    <w:rsid w:val="00800C0D"/>
    <w:rsid w:val="00800EB9"/>
    <w:rsid w:val="00800EC5"/>
    <w:rsid w:val="00800FA6"/>
    <w:rsid w:val="00801070"/>
    <w:rsid w:val="0080112D"/>
    <w:rsid w:val="00801171"/>
    <w:rsid w:val="0080159C"/>
    <w:rsid w:val="008015D2"/>
    <w:rsid w:val="008018EC"/>
    <w:rsid w:val="00801A35"/>
    <w:rsid w:val="00801B3F"/>
    <w:rsid w:val="00801C44"/>
    <w:rsid w:val="00801E33"/>
    <w:rsid w:val="00801FE9"/>
    <w:rsid w:val="008020AB"/>
    <w:rsid w:val="008023CC"/>
    <w:rsid w:val="0080269F"/>
    <w:rsid w:val="008027C1"/>
    <w:rsid w:val="0080283D"/>
    <w:rsid w:val="00802AD6"/>
    <w:rsid w:val="00802DB7"/>
    <w:rsid w:val="00802E74"/>
    <w:rsid w:val="00802EE9"/>
    <w:rsid w:val="00802FE4"/>
    <w:rsid w:val="0080366D"/>
    <w:rsid w:val="008037F6"/>
    <w:rsid w:val="0080389D"/>
    <w:rsid w:val="00803B36"/>
    <w:rsid w:val="00803D02"/>
    <w:rsid w:val="00803D95"/>
    <w:rsid w:val="00803E34"/>
    <w:rsid w:val="00803FC9"/>
    <w:rsid w:val="00804025"/>
    <w:rsid w:val="008044B6"/>
    <w:rsid w:val="008044D1"/>
    <w:rsid w:val="00804841"/>
    <w:rsid w:val="00804AFF"/>
    <w:rsid w:val="00804BFA"/>
    <w:rsid w:val="00804CE3"/>
    <w:rsid w:val="00804ECB"/>
    <w:rsid w:val="00804FFF"/>
    <w:rsid w:val="0080500B"/>
    <w:rsid w:val="0080506B"/>
    <w:rsid w:val="00805108"/>
    <w:rsid w:val="00805139"/>
    <w:rsid w:val="0080536C"/>
    <w:rsid w:val="008058C6"/>
    <w:rsid w:val="00805B74"/>
    <w:rsid w:val="00806635"/>
    <w:rsid w:val="008073BC"/>
    <w:rsid w:val="0080741D"/>
    <w:rsid w:val="008074CD"/>
    <w:rsid w:val="008076B2"/>
    <w:rsid w:val="00810052"/>
    <w:rsid w:val="0081037E"/>
    <w:rsid w:val="00810616"/>
    <w:rsid w:val="0081071B"/>
    <w:rsid w:val="00810809"/>
    <w:rsid w:val="00810916"/>
    <w:rsid w:val="00810A88"/>
    <w:rsid w:val="00810EA8"/>
    <w:rsid w:val="00811B26"/>
    <w:rsid w:val="00811B47"/>
    <w:rsid w:val="00811C1B"/>
    <w:rsid w:val="00812622"/>
    <w:rsid w:val="0081284C"/>
    <w:rsid w:val="00812CCA"/>
    <w:rsid w:val="008132E5"/>
    <w:rsid w:val="00813655"/>
    <w:rsid w:val="00813A20"/>
    <w:rsid w:val="00813CFD"/>
    <w:rsid w:val="00813FA4"/>
    <w:rsid w:val="00813FE5"/>
    <w:rsid w:val="00814153"/>
    <w:rsid w:val="008142CA"/>
    <w:rsid w:val="00814698"/>
    <w:rsid w:val="008146C6"/>
    <w:rsid w:val="00814908"/>
    <w:rsid w:val="00814F5B"/>
    <w:rsid w:val="0081525B"/>
    <w:rsid w:val="008154E9"/>
    <w:rsid w:val="008158BC"/>
    <w:rsid w:val="00815966"/>
    <w:rsid w:val="008159B9"/>
    <w:rsid w:val="008162B1"/>
    <w:rsid w:val="00816336"/>
    <w:rsid w:val="0081644E"/>
    <w:rsid w:val="0081657A"/>
    <w:rsid w:val="008166AA"/>
    <w:rsid w:val="00816C06"/>
    <w:rsid w:val="00817034"/>
    <w:rsid w:val="008171F9"/>
    <w:rsid w:val="0081728C"/>
    <w:rsid w:val="008177E3"/>
    <w:rsid w:val="00817BB1"/>
    <w:rsid w:val="00817E0F"/>
    <w:rsid w:val="008200A9"/>
    <w:rsid w:val="008200E5"/>
    <w:rsid w:val="0082046F"/>
    <w:rsid w:val="008204DA"/>
    <w:rsid w:val="0082059F"/>
    <w:rsid w:val="00820618"/>
    <w:rsid w:val="008206FD"/>
    <w:rsid w:val="0082087E"/>
    <w:rsid w:val="00820973"/>
    <w:rsid w:val="00820C7E"/>
    <w:rsid w:val="0082114E"/>
    <w:rsid w:val="008211FA"/>
    <w:rsid w:val="00821442"/>
    <w:rsid w:val="00821682"/>
    <w:rsid w:val="00821704"/>
    <w:rsid w:val="00821773"/>
    <w:rsid w:val="00821897"/>
    <w:rsid w:val="00821BFD"/>
    <w:rsid w:val="00821CDB"/>
    <w:rsid w:val="00821ECD"/>
    <w:rsid w:val="00821F59"/>
    <w:rsid w:val="0082249E"/>
    <w:rsid w:val="0082283A"/>
    <w:rsid w:val="008229AE"/>
    <w:rsid w:val="00822B88"/>
    <w:rsid w:val="00822BC5"/>
    <w:rsid w:val="00822CE7"/>
    <w:rsid w:val="00822DB4"/>
    <w:rsid w:val="008231ED"/>
    <w:rsid w:val="008232EC"/>
    <w:rsid w:val="008234A4"/>
    <w:rsid w:val="0082358E"/>
    <w:rsid w:val="00823843"/>
    <w:rsid w:val="0082388B"/>
    <w:rsid w:val="00823AB6"/>
    <w:rsid w:val="00823E27"/>
    <w:rsid w:val="00824006"/>
    <w:rsid w:val="00824413"/>
    <w:rsid w:val="00824766"/>
    <w:rsid w:val="00824A37"/>
    <w:rsid w:val="00824A60"/>
    <w:rsid w:val="00824B88"/>
    <w:rsid w:val="00825373"/>
    <w:rsid w:val="00825431"/>
    <w:rsid w:val="008254A1"/>
    <w:rsid w:val="0082579B"/>
    <w:rsid w:val="00825E29"/>
    <w:rsid w:val="00825F7D"/>
    <w:rsid w:val="0082602E"/>
    <w:rsid w:val="008260B7"/>
    <w:rsid w:val="0082641E"/>
    <w:rsid w:val="0082643F"/>
    <w:rsid w:val="008264EF"/>
    <w:rsid w:val="0082694B"/>
    <w:rsid w:val="00826BE7"/>
    <w:rsid w:val="00826CBE"/>
    <w:rsid w:val="00826F6A"/>
    <w:rsid w:val="008270BF"/>
    <w:rsid w:val="00827368"/>
    <w:rsid w:val="008273D3"/>
    <w:rsid w:val="008274D6"/>
    <w:rsid w:val="00827641"/>
    <w:rsid w:val="00827A37"/>
    <w:rsid w:val="00827DFF"/>
    <w:rsid w:val="0083039E"/>
    <w:rsid w:val="0083044D"/>
    <w:rsid w:val="008304A5"/>
    <w:rsid w:val="008308EA"/>
    <w:rsid w:val="0083096D"/>
    <w:rsid w:val="00830ADB"/>
    <w:rsid w:val="00830AF3"/>
    <w:rsid w:val="00830D66"/>
    <w:rsid w:val="00830DBA"/>
    <w:rsid w:val="00830EC2"/>
    <w:rsid w:val="00831012"/>
    <w:rsid w:val="0083156F"/>
    <w:rsid w:val="008315CD"/>
    <w:rsid w:val="0083188D"/>
    <w:rsid w:val="00831920"/>
    <w:rsid w:val="00831AE6"/>
    <w:rsid w:val="00831C08"/>
    <w:rsid w:val="00831CEF"/>
    <w:rsid w:val="00831D7D"/>
    <w:rsid w:val="00831DBF"/>
    <w:rsid w:val="00831F82"/>
    <w:rsid w:val="00832A0F"/>
    <w:rsid w:val="00832B91"/>
    <w:rsid w:val="00832C66"/>
    <w:rsid w:val="00832D6A"/>
    <w:rsid w:val="00832E35"/>
    <w:rsid w:val="00832E85"/>
    <w:rsid w:val="00833139"/>
    <w:rsid w:val="0083320E"/>
    <w:rsid w:val="0083353B"/>
    <w:rsid w:val="00833A00"/>
    <w:rsid w:val="00833A08"/>
    <w:rsid w:val="00833AB3"/>
    <w:rsid w:val="00833E68"/>
    <w:rsid w:val="0083441A"/>
    <w:rsid w:val="0083447F"/>
    <w:rsid w:val="008346AE"/>
    <w:rsid w:val="00834E2A"/>
    <w:rsid w:val="00834E81"/>
    <w:rsid w:val="008356E5"/>
    <w:rsid w:val="008368B7"/>
    <w:rsid w:val="00836DF6"/>
    <w:rsid w:val="00836E20"/>
    <w:rsid w:val="00836EC9"/>
    <w:rsid w:val="00837524"/>
    <w:rsid w:val="008375FD"/>
    <w:rsid w:val="0083767B"/>
    <w:rsid w:val="00837CEC"/>
    <w:rsid w:val="00837D45"/>
    <w:rsid w:val="00840170"/>
    <w:rsid w:val="00840266"/>
    <w:rsid w:val="00840484"/>
    <w:rsid w:val="008404C8"/>
    <w:rsid w:val="00840AC3"/>
    <w:rsid w:val="00840B22"/>
    <w:rsid w:val="00841220"/>
    <w:rsid w:val="008413BC"/>
    <w:rsid w:val="0084160A"/>
    <w:rsid w:val="008418A8"/>
    <w:rsid w:val="00841D3A"/>
    <w:rsid w:val="00841D6D"/>
    <w:rsid w:val="0084268C"/>
    <w:rsid w:val="008426E3"/>
    <w:rsid w:val="00842812"/>
    <w:rsid w:val="00843136"/>
    <w:rsid w:val="00843387"/>
    <w:rsid w:val="00843557"/>
    <w:rsid w:val="008438A0"/>
    <w:rsid w:val="00843AD8"/>
    <w:rsid w:val="008440DB"/>
    <w:rsid w:val="008440E9"/>
    <w:rsid w:val="00844235"/>
    <w:rsid w:val="00844501"/>
    <w:rsid w:val="008446EF"/>
    <w:rsid w:val="00844A26"/>
    <w:rsid w:val="00844C31"/>
    <w:rsid w:val="00844DD4"/>
    <w:rsid w:val="00844EF4"/>
    <w:rsid w:val="00844F44"/>
    <w:rsid w:val="00845351"/>
    <w:rsid w:val="00845695"/>
    <w:rsid w:val="008457E9"/>
    <w:rsid w:val="00845F05"/>
    <w:rsid w:val="00845FDB"/>
    <w:rsid w:val="00846109"/>
    <w:rsid w:val="0084611A"/>
    <w:rsid w:val="00846335"/>
    <w:rsid w:val="0084646D"/>
    <w:rsid w:val="0084647C"/>
    <w:rsid w:val="0084653F"/>
    <w:rsid w:val="00846654"/>
    <w:rsid w:val="0084666B"/>
    <w:rsid w:val="0084675E"/>
    <w:rsid w:val="00846900"/>
    <w:rsid w:val="00846B25"/>
    <w:rsid w:val="00846E82"/>
    <w:rsid w:val="00846EFF"/>
    <w:rsid w:val="008473B2"/>
    <w:rsid w:val="0084742B"/>
    <w:rsid w:val="00847698"/>
    <w:rsid w:val="008477F2"/>
    <w:rsid w:val="00847850"/>
    <w:rsid w:val="00847AFB"/>
    <w:rsid w:val="00847D32"/>
    <w:rsid w:val="00847DA9"/>
    <w:rsid w:val="008507E3"/>
    <w:rsid w:val="008507EB"/>
    <w:rsid w:val="00850948"/>
    <w:rsid w:val="008509AE"/>
    <w:rsid w:val="00850CC8"/>
    <w:rsid w:val="00850FD2"/>
    <w:rsid w:val="00851A1E"/>
    <w:rsid w:val="00851CB1"/>
    <w:rsid w:val="00851E0F"/>
    <w:rsid w:val="00851E55"/>
    <w:rsid w:val="00851FCB"/>
    <w:rsid w:val="008523AB"/>
    <w:rsid w:val="0085255D"/>
    <w:rsid w:val="008527C8"/>
    <w:rsid w:val="00852820"/>
    <w:rsid w:val="00852963"/>
    <w:rsid w:val="008530F1"/>
    <w:rsid w:val="00853175"/>
    <w:rsid w:val="00853212"/>
    <w:rsid w:val="00853325"/>
    <w:rsid w:val="00853567"/>
    <w:rsid w:val="0085369D"/>
    <w:rsid w:val="00853779"/>
    <w:rsid w:val="008537EA"/>
    <w:rsid w:val="008538A4"/>
    <w:rsid w:val="00853B98"/>
    <w:rsid w:val="00853BCE"/>
    <w:rsid w:val="00853C10"/>
    <w:rsid w:val="00853C16"/>
    <w:rsid w:val="00853F79"/>
    <w:rsid w:val="00854028"/>
    <w:rsid w:val="0085428F"/>
    <w:rsid w:val="008543B5"/>
    <w:rsid w:val="00854563"/>
    <w:rsid w:val="008547C2"/>
    <w:rsid w:val="00855184"/>
    <w:rsid w:val="00855594"/>
    <w:rsid w:val="00855D14"/>
    <w:rsid w:val="00855D94"/>
    <w:rsid w:val="00856061"/>
    <w:rsid w:val="008562A7"/>
    <w:rsid w:val="008563DF"/>
    <w:rsid w:val="008565A1"/>
    <w:rsid w:val="00856831"/>
    <w:rsid w:val="00856972"/>
    <w:rsid w:val="00856C13"/>
    <w:rsid w:val="00856D3D"/>
    <w:rsid w:val="00856E1B"/>
    <w:rsid w:val="0085729A"/>
    <w:rsid w:val="008572E1"/>
    <w:rsid w:val="00857459"/>
    <w:rsid w:val="008576DF"/>
    <w:rsid w:val="008579D3"/>
    <w:rsid w:val="00857B9A"/>
    <w:rsid w:val="00857E56"/>
    <w:rsid w:val="008601CE"/>
    <w:rsid w:val="00860385"/>
    <w:rsid w:val="00860E6A"/>
    <w:rsid w:val="00861161"/>
    <w:rsid w:val="008611B1"/>
    <w:rsid w:val="00861AEE"/>
    <w:rsid w:val="00861B86"/>
    <w:rsid w:val="00861B97"/>
    <w:rsid w:val="00861C5E"/>
    <w:rsid w:val="00861E2D"/>
    <w:rsid w:val="00861E5F"/>
    <w:rsid w:val="00861EEC"/>
    <w:rsid w:val="00861F7F"/>
    <w:rsid w:val="00862142"/>
    <w:rsid w:val="00862609"/>
    <w:rsid w:val="00862B1B"/>
    <w:rsid w:val="00862C19"/>
    <w:rsid w:val="00862DE8"/>
    <w:rsid w:val="00862EE1"/>
    <w:rsid w:val="00863865"/>
    <w:rsid w:val="00863966"/>
    <w:rsid w:val="00863A89"/>
    <w:rsid w:val="00863AB4"/>
    <w:rsid w:val="00863CFB"/>
    <w:rsid w:val="00864069"/>
    <w:rsid w:val="0086495F"/>
    <w:rsid w:val="00864A3D"/>
    <w:rsid w:val="00864D14"/>
    <w:rsid w:val="00864D50"/>
    <w:rsid w:val="00864DD9"/>
    <w:rsid w:val="00864ECF"/>
    <w:rsid w:val="0086501E"/>
    <w:rsid w:val="0086512E"/>
    <w:rsid w:val="008653FA"/>
    <w:rsid w:val="008653FC"/>
    <w:rsid w:val="0086563E"/>
    <w:rsid w:val="008658C1"/>
    <w:rsid w:val="00865AEA"/>
    <w:rsid w:val="00865B29"/>
    <w:rsid w:val="00865BF8"/>
    <w:rsid w:val="00865F38"/>
    <w:rsid w:val="00865FAC"/>
    <w:rsid w:val="0086646E"/>
    <w:rsid w:val="008664A9"/>
    <w:rsid w:val="00866516"/>
    <w:rsid w:val="0086655D"/>
    <w:rsid w:val="0086718F"/>
    <w:rsid w:val="008673B0"/>
    <w:rsid w:val="008674EC"/>
    <w:rsid w:val="00867778"/>
    <w:rsid w:val="008677DD"/>
    <w:rsid w:val="00867848"/>
    <w:rsid w:val="00867BFF"/>
    <w:rsid w:val="00867EF6"/>
    <w:rsid w:val="00867FF3"/>
    <w:rsid w:val="008708F1"/>
    <w:rsid w:val="00870A3F"/>
    <w:rsid w:val="00870D3F"/>
    <w:rsid w:val="008712E7"/>
    <w:rsid w:val="0087141E"/>
    <w:rsid w:val="0087146C"/>
    <w:rsid w:val="008714C4"/>
    <w:rsid w:val="00871A26"/>
    <w:rsid w:val="00871DF3"/>
    <w:rsid w:val="0087210B"/>
    <w:rsid w:val="00872412"/>
    <w:rsid w:val="0087242F"/>
    <w:rsid w:val="00872544"/>
    <w:rsid w:val="00872874"/>
    <w:rsid w:val="00872B65"/>
    <w:rsid w:val="00872B79"/>
    <w:rsid w:val="00872CAF"/>
    <w:rsid w:val="008730FC"/>
    <w:rsid w:val="0087313E"/>
    <w:rsid w:val="00873143"/>
    <w:rsid w:val="008735B0"/>
    <w:rsid w:val="008735F5"/>
    <w:rsid w:val="00873939"/>
    <w:rsid w:val="008739F2"/>
    <w:rsid w:val="00873B64"/>
    <w:rsid w:val="00873CA1"/>
    <w:rsid w:val="0087461E"/>
    <w:rsid w:val="00874939"/>
    <w:rsid w:val="00874BB1"/>
    <w:rsid w:val="00874E05"/>
    <w:rsid w:val="0087566B"/>
    <w:rsid w:val="008757F0"/>
    <w:rsid w:val="00875A75"/>
    <w:rsid w:val="00875E37"/>
    <w:rsid w:val="00875F9F"/>
    <w:rsid w:val="00876093"/>
    <w:rsid w:val="008764D3"/>
    <w:rsid w:val="008766A1"/>
    <w:rsid w:val="00876E8A"/>
    <w:rsid w:val="0087707C"/>
    <w:rsid w:val="008771C4"/>
    <w:rsid w:val="008773DC"/>
    <w:rsid w:val="00877450"/>
    <w:rsid w:val="0087745F"/>
    <w:rsid w:val="008777D2"/>
    <w:rsid w:val="008777E3"/>
    <w:rsid w:val="008779D6"/>
    <w:rsid w:val="00877B38"/>
    <w:rsid w:val="00877F7D"/>
    <w:rsid w:val="0088032C"/>
    <w:rsid w:val="008803CB"/>
    <w:rsid w:val="008805C3"/>
    <w:rsid w:val="008806EB"/>
    <w:rsid w:val="008808C1"/>
    <w:rsid w:val="008809A9"/>
    <w:rsid w:val="00880EFD"/>
    <w:rsid w:val="0088148A"/>
    <w:rsid w:val="008815DC"/>
    <w:rsid w:val="008816F4"/>
    <w:rsid w:val="00881909"/>
    <w:rsid w:val="00881997"/>
    <w:rsid w:val="00881D57"/>
    <w:rsid w:val="00881E22"/>
    <w:rsid w:val="00882187"/>
    <w:rsid w:val="008821DF"/>
    <w:rsid w:val="00882242"/>
    <w:rsid w:val="00882274"/>
    <w:rsid w:val="008822BE"/>
    <w:rsid w:val="0088243B"/>
    <w:rsid w:val="008824DA"/>
    <w:rsid w:val="0088252B"/>
    <w:rsid w:val="008828CB"/>
    <w:rsid w:val="0088296D"/>
    <w:rsid w:val="008829B5"/>
    <w:rsid w:val="00882CE4"/>
    <w:rsid w:val="00882F7E"/>
    <w:rsid w:val="0088314E"/>
    <w:rsid w:val="008831CA"/>
    <w:rsid w:val="00883288"/>
    <w:rsid w:val="008832B1"/>
    <w:rsid w:val="00883324"/>
    <w:rsid w:val="00883993"/>
    <w:rsid w:val="00883BE7"/>
    <w:rsid w:val="00883E60"/>
    <w:rsid w:val="00883EEC"/>
    <w:rsid w:val="0088431F"/>
    <w:rsid w:val="0088468C"/>
    <w:rsid w:val="0088477E"/>
    <w:rsid w:val="00884982"/>
    <w:rsid w:val="00884A83"/>
    <w:rsid w:val="00884E9E"/>
    <w:rsid w:val="008850A9"/>
    <w:rsid w:val="008850CA"/>
    <w:rsid w:val="008855DB"/>
    <w:rsid w:val="00885624"/>
    <w:rsid w:val="0088582F"/>
    <w:rsid w:val="008860C1"/>
    <w:rsid w:val="00886484"/>
    <w:rsid w:val="0088664E"/>
    <w:rsid w:val="00886A4E"/>
    <w:rsid w:val="00886AE6"/>
    <w:rsid w:val="00886BB6"/>
    <w:rsid w:val="00886C23"/>
    <w:rsid w:val="0088752D"/>
    <w:rsid w:val="008875C7"/>
    <w:rsid w:val="0088780C"/>
    <w:rsid w:val="00887962"/>
    <w:rsid w:val="0089003F"/>
    <w:rsid w:val="00890114"/>
    <w:rsid w:val="0089058B"/>
    <w:rsid w:val="0089063C"/>
    <w:rsid w:val="00890676"/>
    <w:rsid w:val="00890737"/>
    <w:rsid w:val="00890757"/>
    <w:rsid w:val="00890DD3"/>
    <w:rsid w:val="0089102A"/>
    <w:rsid w:val="00891279"/>
    <w:rsid w:val="00891365"/>
    <w:rsid w:val="008913FE"/>
    <w:rsid w:val="008914F0"/>
    <w:rsid w:val="008915F2"/>
    <w:rsid w:val="0089173B"/>
    <w:rsid w:val="00891777"/>
    <w:rsid w:val="008917B4"/>
    <w:rsid w:val="008917E2"/>
    <w:rsid w:val="00891995"/>
    <w:rsid w:val="00891A50"/>
    <w:rsid w:val="00891AED"/>
    <w:rsid w:val="00891BC9"/>
    <w:rsid w:val="00891F02"/>
    <w:rsid w:val="008920ED"/>
    <w:rsid w:val="0089232F"/>
    <w:rsid w:val="00892545"/>
    <w:rsid w:val="00892596"/>
    <w:rsid w:val="008926B4"/>
    <w:rsid w:val="0089278E"/>
    <w:rsid w:val="008927C9"/>
    <w:rsid w:val="008929A9"/>
    <w:rsid w:val="00892A1E"/>
    <w:rsid w:val="00892D33"/>
    <w:rsid w:val="00892ECD"/>
    <w:rsid w:val="00893136"/>
    <w:rsid w:val="008934A4"/>
    <w:rsid w:val="00893629"/>
    <w:rsid w:val="008936AE"/>
    <w:rsid w:val="00893749"/>
    <w:rsid w:val="00893819"/>
    <w:rsid w:val="00893A0B"/>
    <w:rsid w:val="00893AF0"/>
    <w:rsid w:val="00893CCF"/>
    <w:rsid w:val="00893FAB"/>
    <w:rsid w:val="00894095"/>
    <w:rsid w:val="00894100"/>
    <w:rsid w:val="00894616"/>
    <w:rsid w:val="00894CC2"/>
    <w:rsid w:val="00894EE6"/>
    <w:rsid w:val="00894FBF"/>
    <w:rsid w:val="008950CA"/>
    <w:rsid w:val="008955F8"/>
    <w:rsid w:val="00895B4E"/>
    <w:rsid w:val="00895CFA"/>
    <w:rsid w:val="00895DAD"/>
    <w:rsid w:val="00895FA9"/>
    <w:rsid w:val="00895FEF"/>
    <w:rsid w:val="008960BC"/>
    <w:rsid w:val="00896870"/>
    <w:rsid w:val="00896D48"/>
    <w:rsid w:val="0089700B"/>
    <w:rsid w:val="008974F3"/>
    <w:rsid w:val="008A00E7"/>
    <w:rsid w:val="008A0E7E"/>
    <w:rsid w:val="008A1322"/>
    <w:rsid w:val="008A13B9"/>
    <w:rsid w:val="008A177A"/>
    <w:rsid w:val="008A17F6"/>
    <w:rsid w:val="008A1A1C"/>
    <w:rsid w:val="008A2559"/>
    <w:rsid w:val="008A25C2"/>
    <w:rsid w:val="008A273A"/>
    <w:rsid w:val="008A27B3"/>
    <w:rsid w:val="008A287B"/>
    <w:rsid w:val="008A28E0"/>
    <w:rsid w:val="008A2A01"/>
    <w:rsid w:val="008A2A12"/>
    <w:rsid w:val="008A2A22"/>
    <w:rsid w:val="008A2B59"/>
    <w:rsid w:val="008A2BC0"/>
    <w:rsid w:val="008A2CB7"/>
    <w:rsid w:val="008A2ED7"/>
    <w:rsid w:val="008A3146"/>
    <w:rsid w:val="008A339C"/>
    <w:rsid w:val="008A362D"/>
    <w:rsid w:val="008A3A1A"/>
    <w:rsid w:val="008A4418"/>
    <w:rsid w:val="008A4510"/>
    <w:rsid w:val="008A4A09"/>
    <w:rsid w:val="008A4C63"/>
    <w:rsid w:val="008A4CBD"/>
    <w:rsid w:val="008A4DF5"/>
    <w:rsid w:val="008A4FD0"/>
    <w:rsid w:val="008A5034"/>
    <w:rsid w:val="008A521F"/>
    <w:rsid w:val="008A5329"/>
    <w:rsid w:val="008A555C"/>
    <w:rsid w:val="008A563B"/>
    <w:rsid w:val="008A59BD"/>
    <w:rsid w:val="008A5BFE"/>
    <w:rsid w:val="008A5C13"/>
    <w:rsid w:val="008A5D56"/>
    <w:rsid w:val="008A60AE"/>
    <w:rsid w:val="008A6192"/>
    <w:rsid w:val="008A640C"/>
    <w:rsid w:val="008A6419"/>
    <w:rsid w:val="008A64F5"/>
    <w:rsid w:val="008A64FF"/>
    <w:rsid w:val="008A6687"/>
    <w:rsid w:val="008A686C"/>
    <w:rsid w:val="008A6887"/>
    <w:rsid w:val="008A69A1"/>
    <w:rsid w:val="008A69A9"/>
    <w:rsid w:val="008A7066"/>
    <w:rsid w:val="008A70FF"/>
    <w:rsid w:val="008A7349"/>
    <w:rsid w:val="008A7429"/>
    <w:rsid w:val="008A7781"/>
    <w:rsid w:val="008A7936"/>
    <w:rsid w:val="008A7BA1"/>
    <w:rsid w:val="008A7C00"/>
    <w:rsid w:val="008B03D5"/>
    <w:rsid w:val="008B0566"/>
    <w:rsid w:val="008B0646"/>
    <w:rsid w:val="008B084C"/>
    <w:rsid w:val="008B0CBA"/>
    <w:rsid w:val="008B0D9C"/>
    <w:rsid w:val="008B0EB5"/>
    <w:rsid w:val="008B0FA8"/>
    <w:rsid w:val="008B100E"/>
    <w:rsid w:val="008B109E"/>
    <w:rsid w:val="008B110B"/>
    <w:rsid w:val="008B156A"/>
    <w:rsid w:val="008B1CF2"/>
    <w:rsid w:val="008B1FA6"/>
    <w:rsid w:val="008B2191"/>
    <w:rsid w:val="008B2587"/>
    <w:rsid w:val="008B29EC"/>
    <w:rsid w:val="008B2AD8"/>
    <w:rsid w:val="008B2F62"/>
    <w:rsid w:val="008B3203"/>
    <w:rsid w:val="008B3430"/>
    <w:rsid w:val="008B3492"/>
    <w:rsid w:val="008B3EC6"/>
    <w:rsid w:val="008B40BA"/>
    <w:rsid w:val="008B4189"/>
    <w:rsid w:val="008B44F2"/>
    <w:rsid w:val="008B4519"/>
    <w:rsid w:val="008B476A"/>
    <w:rsid w:val="008B47F5"/>
    <w:rsid w:val="008B4A1C"/>
    <w:rsid w:val="008B4F04"/>
    <w:rsid w:val="008B4F0A"/>
    <w:rsid w:val="008B5605"/>
    <w:rsid w:val="008B5668"/>
    <w:rsid w:val="008B57A9"/>
    <w:rsid w:val="008B595B"/>
    <w:rsid w:val="008B655B"/>
    <w:rsid w:val="008B6679"/>
    <w:rsid w:val="008B6C66"/>
    <w:rsid w:val="008B6F4D"/>
    <w:rsid w:val="008B710C"/>
    <w:rsid w:val="008B71BB"/>
    <w:rsid w:val="008B7299"/>
    <w:rsid w:val="008B7308"/>
    <w:rsid w:val="008B7584"/>
    <w:rsid w:val="008B75F6"/>
    <w:rsid w:val="008B796C"/>
    <w:rsid w:val="008BFA10"/>
    <w:rsid w:val="008C05D9"/>
    <w:rsid w:val="008C06BD"/>
    <w:rsid w:val="008C07C4"/>
    <w:rsid w:val="008C08D6"/>
    <w:rsid w:val="008C0D4D"/>
    <w:rsid w:val="008C0E09"/>
    <w:rsid w:val="008C10A2"/>
    <w:rsid w:val="008C11B5"/>
    <w:rsid w:val="008C13D1"/>
    <w:rsid w:val="008C13EF"/>
    <w:rsid w:val="008C147F"/>
    <w:rsid w:val="008C14B6"/>
    <w:rsid w:val="008C162D"/>
    <w:rsid w:val="008C1794"/>
    <w:rsid w:val="008C1CA4"/>
    <w:rsid w:val="008C1CCD"/>
    <w:rsid w:val="008C1E9B"/>
    <w:rsid w:val="008C1F5B"/>
    <w:rsid w:val="008C206A"/>
    <w:rsid w:val="008C27DA"/>
    <w:rsid w:val="008C28AC"/>
    <w:rsid w:val="008C2AED"/>
    <w:rsid w:val="008C2C0C"/>
    <w:rsid w:val="008C3130"/>
    <w:rsid w:val="008C31D0"/>
    <w:rsid w:val="008C362C"/>
    <w:rsid w:val="008C3B9E"/>
    <w:rsid w:val="008C424F"/>
    <w:rsid w:val="008C4E6F"/>
    <w:rsid w:val="008C4ED2"/>
    <w:rsid w:val="008C4F55"/>
    <w:rsid w:val="008C504A"/>
    <w:rsid w:val="008C515B"/>
    <w:rsid w:val="008C56EE"/>
    <w:rsid w:val="008C5A06"/>
    <w:rsid w:val="008C5C85"/>
    <w:rsid w:val="008C5E23"/>
    <w:rsid w:val="008C5E28"/>
    <w:rsid w:val="008C5FE1"/>
    <w:rsid w:val="008C63BC"/>
    <w:rsid w:val="008C6574"/>
    <w:rsid w:val="008C677E"/>
    <w:rsid w:val="008C67C4"/>
    <w:rsid w:val="008C69DD"/>
    <w:rsid w:val="008C6A8F"/>
    <w:rsid w:val="008C6B39"/>
    <w:rsid w:val="008C6E01"/>
    <w:rsid w:val="008C6ECC"/>
    <w:rsid w:val="008C6F99"/>
    <w:rsid w:val="008C7176"/>
    <w:rsid w:val="008C7240"/>
    <w:rsid w:val="008C7472"/>
    <w:rsid w:val="008C7660"/>
    <w:rsid w:val="008C7703"/>
    <w:rsid w:val="008C7A4A"/>
    <w:rsid w:val="008D0143"/>
    <w:rsid w:val="008D0FC6"/>
    <w:rsid w:val="008D11AF"/>
    <w:rsid w:val="008D126C"/>
    <w:rsid w:val="008D1891"/>
    <w:rsid w:val="008D18E2"/>
    <w:rsid w:val="008D1D80"/>
    <w:rsid w:val="008D1E76"/>
    <w:rsid w:val="008D1EE5"/>
    <w:rsid w:val="008D2059"/>
    <w:rsid w:val="008D25DF"/>
    <w:rsid w:val="008D2728"/>
    <w:rsid w:val="008D2B3B"/>
    <w:rsid w:val="008D3669"/>
    <w:rsid w:val="008D374F"/>
    <w:rsid w:val="008D3967"/>
    <w:rsid w:val="008D3A36"/>
    <w:rsid w:val="008D3CE2"/>
    <w:rsid w:val="008D3D13"/>
    <w:rsid w:val="008D3D4A"/>
    <w:rsid w:val="008D3D52"/>
    <w:rsid w:val="008D3DF3"/>
    <w:rsid w:val="008D41C7"/>
    <w:rsid w:val="008D44BE"/>
    <w:rsid w:val="008D4687"/>
    <w:rsid w:val="008D46C4"/>
    <w:rsid w:val="008D490B"/>
    <w:rsid w:val="008D4967"/>
    <w:rsid w:val="008D4AFE"/>
    <w:rsid w:val="008D4BDE"/>
    <w:rsid w:val="008D4C95"/>
    <w:rsid w:val="008D4CA1"/>
    <w:rsid w:val="008D4D9E"/>
    <w:rsid w:val="008D4DE3"/>
    <w:rsid w:val="008D50D4"/>
    <w:rsid w:val="008D51E0"/>
    <w:rsid w:val="008D55C9"/>
    <w:rsid w:val="008D5681"/>
    <w:rsid w:val="008D58B6"/>
    <w:rsid w:val="008D5AC3"/>
    <w:rsid w:val="008D5E22"/>
    <w:rsid w:val="008D5E62"/>
    <w:rsid w:val="008D5F2C"/>
    <w:rsid w:val="008D6594"/>
    <w:rsid w:val="008D6681"/>
    <w:rsid w:val="008D6913"/>
    <w:rsid w:val="008D6B8D"/>
    <w:rsid w:val="008D6DF2"/>
    <w:rsid w:val="008D6EA4"/>
    <w:rsid w:val="008D7402"/>
    <w:rsid w:val="008D74E9"/>
    <w:rsid w:val="008D79EE"/>
    <w:rsid w:val="008E0637"/>
    <w:rsid w:val="008E0752"/>
    <w:rsid w:val="008E0C5E"/>
    <w:rsid w:val="008E0E40"/>
    <w:rsid w:val="008E0F9D"/>
    <w:rsid w:val="008E163E"/>
    <w:rsid w:val="008E1B32"/>
    <w:rsid w:val="008E1B56"/>
    <w:rsid w:val="008E1FE7"/>
    <w:rsid w:val="008E22BA"/>
    <w:rsid w:val="008E23BF"/>
    <w:rsid w:val="008E2AFE"/>
    <w:rsid w:val="008E2B78"/>
    <w:rsid w:val="008E2BE0"/>
    <w:rsid w:val="008E2F30"/>
    <w:rsid w:val="008E2F49"/>
    <w:rsid w:val="008E2F7C"/>
    <w:rsid w:val="008E3815"/>
    <w:rsid w:val="008E3CC2"/>
    <w:rsid w:val="008E40C9"/>
    <w:rsid w:val="008E4306"/>
    <w:rsid w:val="008E4551"/>
    <w:rsid w:val="008E47C4"/>
    <w:rsid w:val="008E4A67"/>
    <w:rsid w:val="008E50F0"/>
    <w:rsid w:val="008E51C2"/>
    <w:rsid w:val="008E5410"/>
    <w:rsid w:val="008E54BD"/>
    <w:rsid w:val="008E5B1F"/>
    <w:rsid w:val="008E5B8A"/>
    <w:rsid w:val="008E5C73"/>
    <w:rsid w:val="008E5E70"/>
    <w:rsid w:val="008E6019"/>
    <w:rsid w:val="008E6022"/>
    <w:rsid w:val="008E62EE"/>
    <w:rsid w:val="008E637A"/>
    <w:rsid w:val="008E66F5"/>
    <w:rsid w:val="008E6BC4"/>
    <w:rsid w:val="008E6CD0"/>
    <w:rsid w:val="008E7095"/>
    <w:rsid w:val="008E7185"/>
    <w:rsid w:val="008E7557"/>
    <w:rsid w:val="008E7A5E"/>
    <w:rsid w:val="008E7C1A"/>
    <w:rsid w:val="008E7EC4"/>
    <w:rsid w:val="008F01E4"/>
    <w:rsid w:val="008F0348"/>
    <w:rsid w:val="008F0472"/>
    <w:rsid w:val="008F0513"/>
    <w:rsid w:val="008F070F"/>
    <w:rsid w:val="008F0AE5"/>
    <w:rsid w:val="008F0D51"/>
    <w:rsid w:val="008F1253"/>
    <w:rsid w:val="008F1265"/>
    <w:rsid w:val="008F1292"/>
    <w:rsid w:val="008F1379"/>
    <w:rsid w:val="008F16A4"/>
    <w:rsid w:val="008F1891"/>
    <w:rsid w:val="008F18B7"/>
    <w:rsid w:val="008F1D85"/>
    <w:rsid w:val="008F1DF9"/>
    <w:rsid w:val="008F233B"/>
    <w:rsid w:val="008F2360"/>
    <w:rsid w:val="008F245F"/>
    <w:rsid w:val="008F24B6"/>
    <w:rsid w:val="008F283F"/>
    <w:rsid w:val="008F2898"/>
    <w:rsid w:val="008F2C3A"/>
    <w:rsid w:val="008F2C97"/>
    <w:rsid w:val="008F2CA5"/>
    <w:rsid w:val="008F3063"/>
    <w:rsid w:val="008F3212"/>
    <w:rsid w:val="008F325F"/>
    <w:rsid w:val="008F3357"/>
    <w:rsid w:val="008F3453"/>
    <w:rsid w:val="008F35CE"/>
    <w:rsid w:val="008F3BE4"/>
    <w:rsid w:val="008F3C97"/>
    <w:rsid w:val="008F45A8"/>
    <w:rsid w:val="008F46D7"/>
    <w:rsid w:val="008F4A3F"/>
    <w:rsid w:val="008F4A48"/>
    <w:rsid w:val="008F4AF4"/>
    <w:rsid w:val="008F5900"/>
    <w:rsid w:val="008F5A2C"/>
    <w:rsid w:val="008F5C9B"/>
    <w:rsid w:val="008F61D3"/>
    <w:rsid w:val="008F6601"/>
    <w:rsid w:val="008F68DE"/>
    <w:rsid w:val="008F69D5"/>
    <w:rsid w:val="008F7380"/>
    <w:rsid w:val="008F74C5"/>
    <w:rsid w:val="008F74EA"/>
    <w:rsid w:val="008F7892"/>
    <w:rsid w:val="008F78DB"/>
    <w:rsid w:val="008F7A30"/>
    <w:rsid w:val="008F7BE4"/>
    <w:rsid w:val="008F7D4E"/>
    <w:rsid w:val="008F7E4A"/>
    <w:rsid w:val="008F7E98"/>
    <w:rsid w:val="008F7F21"/>
    <w:rsid w:val="008F7F86"/>
    <w:rsid w:val="009006B7"/>
    <w:rsid w:val="00900B95"/>
    <w:rsid w:val="00900D6B"/>
    <w:rsid w:val="00900D8A"/>
    <w:rsid w:val="00900E09"/>
    <w:rsid w:val="00900E21"/>
    <w:rsid w:val="00900F60"/>
    <w:rsid w:val="00900FB1"/>
    <w:rsid w:val="00901595"/>
    <w:rsid w:val="00901658"/>
    <w:rsid w:val="009017B0"/>
    <w:rsid w:val="0090207A"/>
    <w:rsid w:val="0090244D"/>
    <w:rsid w:val="00902731"/>
    <w:rsid w:val="009027E9"/>
    <w:rsid w:val="00902917"/>
    <w:rsid w:val="009029AF"/>
    <w:rsid w:val="00902C84"/>
    <w:rsid w:val="00902FC2"/>
    <w:rsid w:val="00903208"/>
    <w:rsid w:val="0090330D"/>
    <w:rsid w:val="009033DC"/>
    <w:rsid w:val="009034C6"/>
    <w:rsid w:val="009037EB"/>
    <w:rsid w:val="009039F3"/>
    <w:rsid w:val="00903BFB"/>
    <w:rsid w:val="0090408D"/>
    <w:rsid w:val="00904208"/>
    <w:rsid w:val="00904259"/>
    <w:rsid w:val="00904485"/>
    <w:rsid w:val="00904808"/>
    <w:rsid w:val="00904A43"/>
    <w:rsid w:val="00904C2E"/>
    <w:rsid w:val="00904D8D"/>
    <w:rsid w:val="00904FB7"/>
    <w:rsid w:val="009052C6"/>
    <w:rsid w:val="00905A4F"/>
    <w:rsid w:val="00905D09"/>
    <w:rsid w:val="0090651C"/>
    <w:rsid w:val="00906850"/>
    <w:rsid w:val="00906908"/>
    <w:rsid w:val="00906BA1"/>
    <w:rsid w:val="00906C20"/>
    <w:rsid w:val="00906EA8"/>
    <w:rsid w:val="00906FCC"/>
    <w:rsid w:val="0090736E"/>
    <w:rsid w:val="0090752B"/>
    <w:rsid w:val="0090765A"/>
    <w:rsid w:val="00907875"/>
    <w:rsid w:val="009079D8"/>
    <w:rsid w:val="00907A96"/>
    <w:rsid w:val="00907A9E"/>
    <w:rsid w:val="00907B08"/>
    <w:rsid w:val="00907B43"/>
    <w:rsid w:val="00907CFA"/>
    <w:rsid w:val="00907E75"/>
    <w:rsid w:val="009102A0"/>
    <w:rsid w:val="009102DB"/>
    <w:rsid w:val="0091054C"/>
    <w:rsid w:val="009108A8"/>
    <w:rsid w:val="009108BA"/>
    <w:rsid w:val="009110E4"/>
    <w:rsid w:val="00911210"/>
    <w:rsid w:val="00911373"/>
    <w:rsid w:val="0091161F"/>
    <w:rsid w:val="00911CA0"/>
    <w:rsid w:val="00911CCB"/>
    <w:rsid w:val="00911D5C"/>
    <w:rsid w:val="00911EC7"/>
    <w:rsid w:val="0091204F"/>
    <w:rsid w:val="009120A4"/>
    <w:rsid w:val="009120BD"/>
    <w:rsid w:val="009121C2"/>
    <w:rsid w:val="009125E9"/>
    <w:rsid w:val="00912748"/>
    <w:rsid w:val="009128EE"/>
    <w:rsid w:val="00912B56"/>
    <w:rsid w:val="00912B87"/>
    <w:rsid w:val="00912BD1"/>
    <w:rsid w:val="009132AB"/>
    <w:rsid w:val="0091336D"/>
    <w:rsid w:val="00913711"/>
    <w:rsid w:val="009139F8"/>
    <w:rsid w:val="00913B7B"/>
    <w:rsid w:val="00913CC4"/>
    <w:rsid w:val="00913CEE"/>
    <w:rsid w:val="00914BBB"/>
    <w:rsid w:val="00914C6C"/>
    <w:rsid w:val="00914C7A"/>
    <w:rsid w:val="009150B8"/>
    <w:rsid w:val="009150DA"/>
    <w:rsid w:val="009152F3"/>
    <w:rsid w:val="00915519"/>
    <w:rsid w:val="00915607"/>
    <w:rsid w:val="009157EC"/>
    <w:rsid w:val="009164E3"/>
    <w:rsid w:val="00916519"/>
    <w:rsid w:val="00916C4A"/>
    <w:rsid w:val="00917491"/>
    <w:rsid w:val="0091781F"/>
    <w:rsid w:val="00917845"/>
    <w:rsid w:val="00917899"/>
    <w:rsid w:val="00917915"/>
    <w:rsid w:val="00917B69"/>
    <w:rsid w:val="00917F39"/>
    <w:rsid w:val="009201DD"/>
    <w:rsid w:val="0092084F"/>
    <w:rsid w:val="0092096B"/>
    <w:rsid w:val="00920F82"/>
    <w:rsid w:val="0092101F"/>
    <w:rsid w:val="00921586"/>
    <w:rsid w:val="00921624"/>
    <w:rsid w:val="00921A3D"/>
    <w:rsid w:val="00921DAA"/>
    <w:rsid w:val="00921E5E"/>
    <w:rsid w:val="00921E9E"/>
    <w:rsid w:val="009223A3"/>
    <w:rsid w:val="00922725"/>
    <w:rsid w:val="00922771"/>
    <w:rsid w:val="00922845"/>
    <w:rsid w:val="009228C0"/>
    <w:rsid w:val="00922F3F"/>
    <w:rsid w:val="00922F9A"/>
    <w:rsid w:val="009230CD"/>
    <w:rsid w:val="00923250"/>
    <w:rsid w:val="00923441"/>
    <w:rsid w:val="00923661"/>
    <w:rsid w:val="00923710"/>
    <w:rsid w:val="00923715"/>
    <w:rsid w:val="009238CD"/>
    <w:rsid w:val="00923DD8"/>
    <w:rsid w:val="00923F63"/>
    <w:rsid w:val="009240EC"/>
    <w:rsid w:val="00924113"/>
    <w:rsid w:val="0092456A"/>
    <w:rsid w:val="009245D7"/>
    <w:rsid w:val="00924898"/>
    <w:rsid w:val="009249C5"/>
    <w:rsid w:val="009249D1"/>
    <w:rsid w:val="009249EA"/>
    <w:rsid w:val="009249FF"/>
    <w:rsid w:val="00924A12"/>
    <w:rsid w:val="009251DE"/>
    <w:rsid w:val="009251ED"/>
    <w:rsid w:val="00925564"/>
    <w:rsid w:val="00925A5E"/>
    <w:rsid w:val="00925E6A"/>
    <w:rsid w:val="0092607D"/>
    <w:rsid w:val="00926160"/>
    <w:rsid w:val="0092646F"/>
    <w:rsid w:val="009266C9"/>
    <w:rsid w:val="00926DFC"/>
    <w:rsid w:val="00926E54"/>
    <w:rsid w:val="00926F14"/>
    <w:rsid w:val="009270BB"/>
    <w:rsid w:val="00927287"/>
    <w:rsid w:val="009272AA"/>
    <w:rsid w:val="00927322"/>
    <w:rsid w:val="0092782C"/>
    <w:rsid w:val="0092788E"/>
    <w:rsid w:val="009279D0"/>
    <w:rsid w:val="00927F01"/>
    <w:rsid w:val="009300C5"/>
    <w:rsid w:val="00930298"/>
    <w:rsid w:val="00930528"/>
    <w:rsid w:val="009305DF"/>
    <w:rsid w:val="00930697"/>
    <w:rsid w:val="0093096E"/>
    <w:rsid w:val="00930A01"/>
    <w:rsid w:val="00930A05"/>
    <w:rsid w:val="00930B01"/>
    <w:rsid w:val="00930CE9"/>
    <w:rsid w:val="00930E90"/>
    <w:rsid w:val="00930EEC"/>
    <w:rsid w:val="00931152"/>
    <w:rsid w:val="00931216"/>
    <w:rsid w:val="00931252"/>
    <w:rsid w:val="009312B9"/>
    <w:rsid w:val="00931938"/>
    <w:rsid w:val="00931B65"/>
    <w:rsid w:val="00931C38"/>
    <w:rsid w:val="00931CA8"/>
    <w:rsid w:val="00931FE9"/>
    <w:rsid w:val="0093206E"/>
    <w:rsid w:val="00932209"/>
    <w:rsid w:val="00932626"/>
    <w:rsid w:val="00932828"/>
    <w:rsid w:val="00932C01"/>
    <w:rsid w:val="00932D75"/>
    <w:rsid w:val="009333CF"/>
    <w:rsid w:val="009334E4"/>
    <w:rsid w:val="009336FD"/>
    <w:rsid w:val="00933C19"/>
    <w:rsid w:val="00934155"/>
    <w:rsid w:val="00934164"/>
    <w:rsid w:val="00934225"/>
    <w:rsid w:val="00934227"/>
    <w:rsid w:val="009345E9"/>
    <w:rsid w:val="009347F6"/>
    <w:rsid w:val="00934FA2"/>
    <w:rsid w:val="00935092"/>
    <w:rsid w:val="0093517D"/>
    <w:rsid w:val="009351D2"/>
    <w:rsid w:val="009352D8"/>
    <w:rsid w:val="00935965"/>
    <w:rsid w:val="00935ABA"/>
    <w:rsid w:val="00935BD6"/>
    <w:rsid w:val="00935C48"/>
    <w:rsid w:val="00935FD0"/>
    <w:rsid w:val="0093607A"/>
    <w:rsid w:val="00936099"/>
    <w:rsid w:val="0093618C"/>
    <w:rsid w:val="009361EB"/>
    <w:rsid w:val="00936256"/>
    <w:rsid w:val="009365BD"/>
    <w:rsid w:val="00936A8B"/>
    <w:rsid w:val="00936D37"/>
    <w:rsid w:val="00936DD3"/>
    <w:rsid w:val="00936F98"/>
    <w:rsid w:val="00936FBB"/>
    <w:rsid w:val="009372C0"/>
    <w:rsid w:val="00937474"/>
    <w:rsid w:val="00937535"/>
    <w:rsid w:val="0093781D"/>
    <w:rsid w:val="00937D2A"/>
    <w:rsid w:val="00937D52"/>
    <w:rsid w:val="0093E59D"/>
    <w:rsid w:val="0094007B"/>
    <w:rsid w:val="0094039E"/>
    <w:rsid w:val="009403D8"/>
    <w:rsid w:val="00940493"/>
    <w:rsid w:val="009406C7"/>
    <w:rsid w:val="009406DE"/>
    <w:rsid w:val="00940705"/>
    <w:rsid w:val="009407FC"/>
    <w:rsid w:val="00940935"/>
    <w:rsid w:val="00940972"/>
    <w:rsid w:val="00940BBE"/>
    <w:rsid w:val="00940C24"/>
    <w:rsid w:val="00940ED3"/>
    <w:rsid w:val="009412BB"/>
    <w:rsid w:val="00941907"/>
    <w:rsid w:val="0094196E"/>
    <w:rsid w:val="009419D3"/>
    <w:rsid w:val="00941AF5"/>
    <w:rsid w:val="00941B0E"/>
    <w:rsid w:val="00941E83"/>
    <w:rsid w:val="0094222B"/>
    <w:rsid w:val="009422B9"/>
    <w:rsid w:val="009424E8"/>
    <w:rsid w:val="009424F9"/>
    <w:rsid w:val="00942A15"/>
    <w:rsid w:val="00942B04"/>
    <w:rsid w:val="00942E50"/>
    <w:rsid w:val="00942FB1"/>
    <w:rsid w:val="00942FBF"/>
    <w:rsid w:val="0094348E"/>
    <w:rsid w:val="00943942"/>
    <w:rsid w:val="00943949"/>
    <w:rsid w:val="00943A54"/>
    <w:rsid w:val="00943B8F"/>
    <w:rsid w:val="00943C59"/>
    <w:rsid w:val="00943D35"/>
    <w:rsid w:val="00943DD1"/>
    <w:rsid w:val="0094439E"/>
    <w:rsid w:val="00944E3B"/>
    <w:rsid w:val="00944F46"/>
    <w:rsid w:val="0094542D"/>
    <w:rsid w:val="00945761"/>
    <w:rsid w:val="009459B3"/>
    <w:rsid w:val="00945A56"/>
    <w:rsid w:val="00945D81"/>
    <w:rsid w:val="00945F10"/>
    <w:rsid w:val="00945F23"/>
    <w:rsid w:val="00945FE5"/>
    <w:rsid w:val="00946220"/>
    <w:rsid w:val="0094649C"/>
    <w:rsid w:val="00946B5C"/>
    <w:rsid w:val="00946F1B"/>
    <w:rsid w:val="00946FFC"/>
    <w:rsid w:val="00947033"/>
    <w:rsid w:val="00947656"/>
    <w:rsid w:val="00947690"/>
    <w:rsid w:val="00947AD9"/>
    <w:rsid w:val="00947EEE"/>
    <w:rsid w:val="00950185"/>
    <w:rsid w:val="00950642"/>
    <w:rsid w:val="00950ACC"/>
    <w:rsid w:val="00950B7E"/>
    <w:rsid w:val="00950C5D"/>
    <w:rsid w:val="00950D5B"/>
    <w:rsid w:val="00950DF0"/>
    <w:rsid w:val="009511A2"/>
    <w:rsid w:val="009511A9"/>
    <w:rsid w:val="0095162E"/>
    <w:rsid w:val="00951AF8"/>
    <w:rsid w:val="00951C82"/>
    <w:rsid w:val="00951D42"/>
    <w:rsid w:val="00951D5A"/>
    <w:rsid w:val="00951EED"/>
    <w:rsid w:val="00951F76"/>
    <w:rsid w:val="00952169"/>
    <w:rsid w:val="00952CAB"/>
    <w:rsid w:val="009530F7"/>
    <w:rsid w:val="00953169"/>
    <w:rsid w:val="009531CA"/>
    <w:rsid w:val="009532AD"/>
    <w:rsid w:val="0095369B"/>
    <w:rsid w:val="00953B23"/>
    <w:rsid w:val="00953BC3"/>
    <w:rsid w:val="00953E42"/>
    <w:rsid w:val="00953F5C"/>
    <w:rsid w:val="00953F75"/>
    <w:rsid w:val="009541E3"/>
    <w:rsid w:val="00954550"/>
    <w:rsid w:val="0095485E"/>
    <w:rsid w:val="009549AD"/>
    <w:rsid w:val="00954F9D"/>
    <w:rsid w:val="00955095"/>
    <w:rsid w:val="00955195"/>
    <w:rsid w:val="00955503"/>
    <w:rsid w:val="00955549"/>
    <w:rsid w:val="00955664"/>
    <w:rsid w:val="0095570D"/>
    <w:rsid w:val="00955946"/>
    <w:rsid w:val="00955D50"/>
    <w:rsid w:val="00955FD2"/>
    <w:rsid w:val="00956061"/>
    <w:rsid w:val="009561EC"/>
    <w:rsid w:val="0095624F"/>
    <w:rsid w:val="00956350"/>
    <w:rsid w:val="00956378"/>
    <w:rsid w:val="00956C62"/>
    <w:rsid w:val="00956C64"/>
    <w:rsid w:val="00956F7D"/>
    <w:rsid w:val="009571D8"/>
    <w:rsid w:val="009572C9"/>
    <w:rsid w:val="009572E0"/>
    <w:rsid w:val="0095746A"/>
    <w:rsid w:val="009575B9"/>
    <w:rsid w:val="009577A9"/>
    <w:rsid w:val="0095784B"/>
    <w:rsid w:val="00957886"/>
    <w:rsid w:val="0095790E"/>
    <w:rsid w:val="009579AC"/>
    <w:rsid w:val="00957CA9"/>
    <w:rsid w:val="00957CC0"/>
    <w:rsid w:val="00957DBE"/>
    <w:rsid w:val="009600C6"/>
    <w:rsid w:val="00960451"/>
    <w:rsid w:val="00960604"/>
    <w:rsid w:val="00960609"/>
    <w:rsid w:val="00960631"/>
    <w:rsid w:val="0096064E"/>
    <w:rsid w:val="00960715"/>
    <w:rsid w:val="00960763"/>
    <w:rsid w:val="00960865"/>
    <w:rsid w:val="00960ADE"/>
    <w:rsid w:val="00960C04"/>
    <w:rsid w:val="00960D53"/>
    <w:rsid w:val="00960EAC"/>
    <w:rsid w:val="009611CA"/>
    <w:rsid w:val="00961433"/>
    <w:rsid w:val="00961833"/>
    <w:rsid w:val="009619FF"/>
    <w:rsid w:val="00961CF4"/>
    <w:rsid w:val="00961E23"/>
    <w:rsid w:val="0096237F"/>
    <w:rsid w:val="00962533"/>
    <w:rsid w:val="00962697"/>
    <w:rsid w:val="00962966"/>
    <w:rsid w:val="00963134"/>
    <w:rsid w:val="0096322E"/>
    <w:rsid w:val="00963414"/>
    <w:rsid w:val="00963462"/>
    <w:rsid w:val="009634F8"/>
    <w:rsid w:val="0096355A"/>
    <w:rsid w:val="00963624"/>
    <w:rsid w:val="009638B4"/>
    <w:rsid w:val="00963ABC"/>
    <w:rsid w:val="00964129"/>
    <w:rsid w:val="0096413B"/>
    <w:rsid w:val="0096497B"/>
    <w:rsid w:val="00964C1D"/>
    <w:rsid w:val="00964EDD"/>
    <w:rsid w:val="0096522C"/>
    <w:rsid w:val="00965449"/>
    <w:rsid w:val="009656B9"/>
    <w:rsid w:val="00965A36"/>
    <w:rsid w:val="00965A69"/>
    <w:rsid w:val="00965A6D"/>
    <w:rsid w:val="00965B49"/>
    <w:rsid w:val="00965C31"/>
    <w:rsid w:val="00965DA5"/>
    <w:rsid w:val="0096643F"/>
    <w:rsid w:val="009664D0"/>
    <w:rsid w:val="009668EB"/>
    <w:rsid w:val="009668F2"/>
    <w:rsid w:val="00966ABE"/>
    <w:rsid w:val="00966DF6"/>
    <w:rsid w:val="009671AB"/>
    <w:rsid w:val="00967520"/>
    <w:rsid w:val="00967681"/>
    <w:rsid w:val="009677BA"/>
    <w:rsid w:val="009678A7"/>
    <w:rsid w:val="0096795B"/>
    <w:rsid w:val="009679A5"/>
    <w:rsid w:val="00967DC9"/>
    <w:rsid w:val="00967F57"/>
    <w:rsid w:val="009700F0"/>
    <w:rsid w:val="00970222"/>
    <w:rsid w:val="00970392"/>
    <w:rsid w:val="0097050A"/>
    <w:rsid w:val="00970531"/>
    <w:rsid w:val="00970770"/>
    <w:rsid w:val="00970A7D"/>
    <w:rsid w:val="00970CFD"/>
    <w:rsid w:val="009712A8"/>
    <w:rsid w:val="009712C4"/>
    <w:rsid w:val="00971881"/>
    <w:rsid w:val="00971B76"/>
    <w:rsid w:val="00971CF5"/>
    <w:rsid w:val="0097232F"/>
    <w:rsid w:val="0097259B"/>
    <w:rsid w:val="009728DF"/>
    <w:rsid w:val="00972A01"/>
    <w:rsid w:val="00972B9B"/>
    <w:rsid w:val="0097343C"/>
    <w:rsid w:val="00973764"/>
    <w:rsid w:val="00973DB3"/>
    <w:rsid w:val="00973E90"/>
    <w:rsid w:val="00973F02"/>
    <w:rsid w:val="00973F71"/>
    <w:rsid w:val="0097424B"/>
    <w:rsid w:val="0097441A"/>
    <w:rsid w:val="00974554"/>
    <w:rsid w:val="00974A8D"/>
    <w:rsid w:val="00974BEB"/>
    <w:rsid w:val="00974E34"/>
    <w:rsid w:val="00975188"/>
    <w:rsid w:val="009754E9"/>
    <w:rsid w:val="00975603"/>
    <w:rsid w:val="00975A73"/>
    <w:rsid w:val="00975AE2"/>
    <w:rsid w:val="00975F31"/>
    <w:rsid w:val="00976017"/>
    <w:rsid w:val="009761A0"/>
    <w:rsid w:val="0097624B"/>
    <w:rsid w:val="009762E1"/>
    <w:rsid w:val="0097634C"/>
    <w:rsid w:val="0097661C"/>
    <w:rsid w:val="00976903"/>
    <w:rsid w:val="00976B93"/>
    <w:rsid w:val="00976F23"/>
    <w:rsid w:val="00977063"/>
    <w:rsid w:val="009771F7"/>
    <w:rsid w:val="00977AB4"/>
    <w:rsid w:val="00977FA9"/>
    <w:rsid w:val="00977FE8"/>
    <w:rsid w:val="00980109"/>
    <w:rsid w:val="009801E0"/>
    <w:rsid w:val="0098078D"/>
    <w:rsid w:val="00980A87"/>
    <w:rsid w:val="00980AFE"/>
    <w:rsid w:val="009810F9"/>
    <w:rsid w:val="009814EA"/>
    <w:rsid w:val="00981584"/>
    <w:rsid w:val="009816FC"/>
    <w:rsid w:val="009819E7"/>
    <w:rsid w:val="00981DBA"/>
    <w:rsid w:val="00981E5E"/>
    <w:rsid w:val="00981E92"/>
    <w:rsid w:val="00981F6F"/>
    <w:rsid w:val="0098219E"/>
    <w:rsid w:val="009824A2"/>
    <w:rsid w:val="009825FC"/>
    <w:rsid w:val="00982652"/>
    <w:rsid w:val="009829D2"/>
    <w:rsid w:val="00982DBF"/>
    <w:rsid w:val="00983050"/>
    <w:rsid w:val="009831A9"/>
    <w:rsid w:val="009831E1"/>
    <w:rsid w:val="00983250"/>
    <w:rsid w:val="0098331F"/>
    <w:rsid w:val="009835C3"/>
    <w:rsid w:val="0098378F"/>
    <w:rsid w:val="00983969"/>
    <w:rsid w:val="00983E1A"/>
    <w:rsid w:val="00983E99"/>
    <w:rsid w:val="00984270"/>
    <w:rsid w:val="009843DE"/>
    <w:rsid w:val="00984799"/>
    <w:rsid w:val="0098524F"/>
    <w:rsid w:val="00985520"/>
    <w:rsid w:val="00985625"/>
    <w:rsid w:val="00985C07"/>
    <w:rsid w:val="0098608F"/>
    <w:rsid w:val="0098616A"/>
    <w:rsid w:val="00986186"/>
    <w:rsid w:val="009862D4"/>
    <w:rsid w:val="009866EC"/>
    <w:rsid w:val="009867CE"/>
    <w:rsid w:val="00986A25"/>
    <w:rsid w:val="00986E01"/>
    <w:rsid w:val="00986FE3"/>
    <w:rsid w:val="00987006"/>
    <w:rsid w:val="00987743"/>
    <w:rsid w:val="009878F0"/>
    <w:rsid w:val="009879B1"/>
    <w:rsid w:val="00987E6D"/>
    <w:rsid w:val="00987F3F"/>
    <w:rsid w:val="0099009E"/>
    <w:rsid w:val="009900BC"/>
    <w:rsid w:val="009900C4"/>
    <w:rsid w:val="009906AE"/>
    <w:rsid w:val="009907A5"/>
    <w:rsid w:val="009907FF"/>
    <w:rsid w:val="00990AD9"/>
    <w:rsid w:val="00991771"/>
    <w:rsid w:val="009918C7"/>
    <w:rsid w:val="0099190C"/>
    <w:rsid w:val="00991DAA"/>
    <w:rsid w:val="00991F9C"/>
    <w:rsid w:val="00991FB9"/>
    <w:rsid w:val="009923D6"/>
    <w:rsid w:val="00992461"/>
    <w:rsid w:val="00992636"/>
    <w:rsid w:val="009927E1"/>
    <w:rsid w:val="0099291A"/>
    <w:rsid w:val="00992AF1"/>
    <w:rsid w:val="00992BBF"/>
    <w:rsid w:val="00992C99"/>
    <w:rsid w:val="00992D2D"/>
    <w:rsid w:val="00992DA9"/>
    <w:rsid w:val="00992DBF"/>
    <w:rsid w:val="0099329F"/>
    <w:rsid w:val="009934B1"/>
    <w:rsid w:val="00993DBC"/>
    <w:rsid w:val="00994282"/>
    <w:rsid w:val="009945F5"/>
    <w:rsid w:val="00994627"/>
    <w:rsid w:val="00994C60"/>
    <w:rsid w:val="00994EA2"/>
    <w:rsid w:val="00995096"/>
    <w:rsid w:val="0099530A"/>
    <w:rsid w:val="00995ABA"/>
    <w:rsid w:val="00995DED"/>
    <w:rsid w:val="00995F2D"/>
    <w:rsid w:val="00995F52"/>
    <w:rsid w:val="009960E0"/>
    <w:rsid w:val="009962C4"/>
    <w:rsid w:val="00996412"/>
    <w:rsid w:val="009966F6"/>
    <w:rsid w:val="00996728"/>
    <w:rsid w:val="0099678A"/>
    <w:rsid w:val="00996A3B"/>
    <w:rsid w:val="00996B05"/>
    <w:rsid w:val="00996B44"/>
    <w:rsid w:val="00997156"/>
    <w:rsid w:val="00997505"/>
    <w:rsid w:val="00997B34"/>
    <w:rsid w:val="00997CB1"/>
    <w:rsid w:val="00997CD6"/>
    <w:rsid w:val="00997D41"/>
    <w:rsid w:val="009A007C"/>
    <w:rsid w:val="009A04B8"/>
    <w:rsid w:val="009A0503"/>
    <w:rsid w:val="009A09DC"/>
    <w:rsid w:val="009A0E35"/>
    <w:rsid w:val="009A1692"/>
    <w:rsid w:val="009A17F6"/>
    <w:rsid w:val="009A1B94"/>
    <w:rsid w:val="009A1BD3"/>
    <w:rsid w:val="009A1E5D"/>
    <w:rsid w:val="009A1E6E"/>
    <w:rsid w:val="009A22F9"/>
    <w:rsid w:val="009A2364"/>
    <w:rsid w:val="009A2961"/>
    <w:rsid w:val="009A2AF4"/>
    <w:rsid w:val="009A2E9D"/>
    <w:rsid w:val="009A316B"/>
    <w:rsid w:val="009A3526"/>
    <w:rsid w:val="009A35F6"/>
    <w:rsid w:val="009A360F"/>
    <w:rsid w:val="009A3626"/>
    <w:rsid w:val="009A38A3"/>
    <w:rsid w:val="009A3AED"/>
    <w:rsid w:val="009A3C7F"/>
    <w:rsid w:val="009A4353"/>
    <w:rsid w:val="009A4786"/>
    <w:rsid w:val="009A4D39"/>
    <w:rsid w:val="009A4DB5"/>
    <w:rsid w:val="009A4F2F"/>
    <w:rsid w:val="009A50F7"/>
    <w:rsid w:val="009A55C0"/>
    <w:rsid w:val="009A5736"/>
    <w:rsid w:val="009A5DD1"/>
    <w:rsid w:val="009A5E7D"/>
    <w:rsid w:val="009A5F71"/>
    <w:rsid w:val="009A6007"/>
    <w:rsid w:val="009A629B"/>
    <w:rsid w:val="009A6349"/>
    <w:rsid w:val="009A64F9"/>
    <w:rsid w:val="009A671E"/>
    <w:rsid w:val="009A67CE"/>
    <w:rsid w:val="009A68F3"/>
    <w:rsid w:val="009A6F28"/>
    <w:rsid w:val="009A6F31"/>
    <w:rsid w:val="009A7126"/>
    <w:rsid w:val="009A7C33"/>
    <w:rsid w:val="009A7E98"/>
    <w:rsid w:val="009A7F43"/>
    <w:rsid w:val="009B021C"/>
    <w:rsid w:val="009B064E"/>
    <w:rsid w:val="009B0D81"/>
    <w:rsid w:val="009B0F54"/>
    <w:rsid w:val="009B17DC"/>
    <w:rsid w:val="009B181A"/>
    <w:rsid w:val="009B1BEF"/>
    <w:rsid w:val="009B1D2A"/>
    <w:rsid w:val="009B1DBD"/>
    <w:rsid w:val="009B2179"/>
    <w:rsid w:val="009B2556"/>
    <w:rsid w:val="009B26C8"/>
    <w:rsid w:val="009B2A59"/>
    <w:rsid w:val="009B2E35"/>
    <w:rsid w:val="009B2FC2"/>
    <w:rsid w:val="009B3B35"/>
    <w:rsid w:val="009B3C8F"/>
    <w:rsid w:val="009B3C9D"/>
    <w:rsid w:val="009B3CF3"/>
    <w:rsid w:val="009B4059"/>
    <w:rsid w:val="009B46B9"/>
    <w:rsid w:val="009B4752"/>
    <w:rsid w:val="009B5019"/>
    <w:rsid w:val="009B52B9"/>
    <w:rsid w:val="009B553C"/>
    <w:rsid w:val="009B5584"/>
    <w:rsid w:val="009B5E43"/>
    <w:rsid w:val="009B5E52"/>
    <w:rsid w:val="009B609E"/>
    <w:rsid w:val="009B6368"/>
    <w:rsid w:val="009B652F"/>
    <w:rsid w:val="009B656B"/>
    <w:rsid w:val="009B6745"/>
    <w:rsid w:val="009B67D5"/>
    <w:rsid w:val="009B6B51"/>
    <w:rsid w:val="009B6B7D"/>
    <w:rsid w:val="009B6BCE"/>
    <w:rsid w:val="009B6C97"/>
    <w:rsid w:val="009B6D3B"/>
    <w:rsid w:val="009B6DB1"/>
    <w:rsid w:val="009B7243"/>
    <w:rsid w:val="009B7413"/>
    <w:rsid w:val="009B74BD"/>
    <w:rsid w:val="009B78F8"/>
    <w:rsid w:val="009B7B7A"/>
    <w:rsid w:val="009B7BD3"/>
    <w:rsid w:val="009B7D22"/>
    <w:rsid w:val="009B7DC5"/>
    <w:rsid w:val="009B7F6C"/>
    <w:rsid w:val="009B7FEE"/>
    <w:rsid w:val="009C0059"/>
    <w:rsid w:val="009C01B4"/>
    <w:rsid w:val="009C0A65"/>
    <w:rsid w:val="009C0D35"/>
    <w:rsid w:val="009C10A9"/>
    <w:rsid w:val="009C1485"/>
    <w:rsid w:val="009C15AB"/>
    <w:rsid w:val="009C176D"/>
    <w:rsid w:val="009C193E"/>
    <w:rsid w:val="009C1F1A"/>
    <w:rsid w:val="009C229D"/>
    <w:rsid w:val="009C23BD"/>
    <w:rsid w:val="009C249D"/>
    <w:rsid w:val="009C28F9"/>
    <w:rsid w:val="009C2A03"/>
    <w:rsid w:val="009C2A14"/>
    <w:rsid w:val="009C2B3B"/>
    <w:rsid w:val="009C2DA7"/>
    <w:rsid w:val="009C2E7D"/>
    <w:rsid w:val="009C312E"/>
    <w:rsid w:val="009C318E"/>
    <w:rsid w:val="009C340F"/>
    <w:rsid w:val="009C3520"/>
    <w:rsid w:val="009C3592"/>
    <w:rsid w:val="009C3B8B"/>
    <w:rsid w:val="009C3C1B"/>
    <w:rsid w:val="009C439E"/>
    <w:rsid w:val="009C4B09"/>
    <w:rsid w:val="009C508F"/>
    <w:rsid w:val="009C52CE"/>
    <w:rsid w:val="009C5554"/>
    <w:rsid w:val="009C58A1"/>
    <w:rsid w:val="009C59D0"/>
    <w:rsid w:val="009C60F0"/>
    <w:rsid w:val="009C612F"/>
    <w:rsid w:val="009C6181"/>
    <w:rsid w:val="009C64AA"/>
    <w:rsid w:val="009C6A0C"/>
    <w:rsid w:val="009C6ECC"/>
    <w:rsid w:val="009C6EE9"/>
    <w:rsid w:val="009C7325"/>
    <w:rsid w:val="009C7339"/>
    <w:rsid w:val="009C765A"/>
    <w:rsid w:val="009C76F4"/>
    <w:rsid w:val="009C7CC7"/>
    <w:rsid w:val="009D01A6"/>
    <w:rsid w:val="009D01B1"/>
    <w:rsid w:val="009D01D3"/>
    <w:rsid w:val="009D0358"/>
    <w:rsid w:val="009D063F"/>
    <w:rsid w:val="009D0997"/>
    <w:rsid w:val="009D09FF"/>
    <w:rsid w:val="009D0AB7"/>
    <w:rsid w:val="009D0B31"/>
    <w:rsid w:val="009D0B32"/>
    <w:rsid w:val="009D0EA5"/>
    <w:rsid w:val="009D0EC6"/>
    <w:rsid w:val="009D0FEC"/>
    <w:rsid w:val="009D10B9"/>
    <w:rsid w:val="009D1138"/>
    <w:rsid w:val="009D114A"/>
    <w:rsid w:val="009D1839"/>
    <w:rsid w:val="009D1BA8"/>
    <w:rsid w:val="009D2183"/>
    <w:rsid w:val="009D26D3"/>
    <w:rsid w:val="009D2BDD"/>
    <w:rsid w:val="009D2F7A"/>
    <w:rsid w:val="009D2FB5"/>
    <w:rsid w:val="009D3045"/>
    <w:rsid w:val="009D3613"/>
    <w:rsid w:val="009D3985"/>
    <w:rsid w:val="009D3A36"/>
    <w:rsid w:val="009D3BD6"/>
    <w:rsid w:val="009D42E0"/>
    <w:rsid w:val="009D4400"/>
    <w:rsid w:val="009D44F6"/>
    <w:rsid w:val="009D4611"/>
    <w:rsid w:val="009D46B4"/>
    <w:rsid w:val="009D4A0D"/>
    <w:rsid w:val="009D4BAE"/>
    <w:rsid w:val="009D4CD7"/>
    <w:rsid w:val="009D4D03"/>
    <w:rsid w:val="009D4E9B"/>
    <w:rsid w:val="009D50DB"/>
    <w:rsid w:val="009D55B5"/>
    <w:rsid w:val="009D55FB"/>
    <w:rsid w:val="009D56D3"/>
    <w:rsid w:val="009D585A"/>
    <w:rsid w:val="009D59B9"/>
    <w:rsid w:val="009D5CFC"/>
    <w:rsid w:val="009D5E42"/>
    <w:rsid w:val="009D5E69"/>
    <w:rsid w:val="009D5E76"/>
    <w:rsid w:val="009D5E7D"/>
    <w:rsid w:val="009D60D6"/>
    <w:rsid w:val="009D6258"/>
    <w:rsid w:val="009D6522"/>
    <w:rsid w:val="009D6888"/>
    <w:rsid w:val="009D6C0B"/>
    <w:rsid w:val="009D7126"/>
    <w:rsid w:val="009D72B5"/>
    <w:rsid w:val="009D7694"/>
    <w:rsid w:val="009D7A9D"/>
    <w:rsid w:val="009D7D77"/>
    <w:rsid w:val="009D7E2E"/>
    <w:rsid w:val="009D7ED7"/>
    <w:rsid w:val="009E0442"/>
    <w:rsid w:val="009E078B"/>
    <w:rsid w:val="009E0A4A"/>
    <w:rsid w:val="009E0BDE"/>
    <w:rsid w:val="009E0C00"/>
    <w:rsid w:val="009E0CC2"/>
    <w:rsid w:val="009E1057"/>
    <w:rsid w:val="009E1214"/>
    <w:rsid w:val="009E1288"/>
    <w:rsid w:val="009E194A"/>
    <w:rsid w:val="009E1A76"/>
    <w:rsid w:val="009E1C2D"/>
    <w:rsid w:val="009E2038"/>
    <w:rsid w:val="009E2071"/>
    <w:rsid w:val="009E2567"/>
    <w:rsid w:val="009E2674"/>
    <w:rsid w:val="009E2702"/>
    <w:rsid w:val="009E2724"/>
    <w:rsid w:val="009E2851"/>
    <w:rsid w:val="009E2A0A"/>
    <w:rsid w:val="009E2AFC"/>
    <w:rsid w:val="009E2BD8"/>
    <w:rsid w:val="009E30CD"/>
    <w:rsid w:val="009E32C6"/>
    <w:rsid w:val="009E3496"/>
    <w:rsid w:val="009E3690"/>
    <w:rsid w:val="009E39BD"/>
    <w:rsid w:val="009E3A31"/>
    <w:rsid w:val="009E3B53"/>
    <w:rsid w:val="009E4761"/>
    <w:rsid w:val="009E4793"/>
    <w:rsid w:val="009E4F38"/>
    <w:rsid w:val="009E501A"/>
    <w:rsid w:val="009E5122"/>
    <w:rsid w:val="009E523E"/>
    <w:rsid w:val="009E5254"/>
    <w:rsid w:val="009E61CC"/>
    <w:rsid w:val="009E63AC"/>
    <w:rsid w:val="009E641F"/>
    <w:rsid w:val="009E6469"/>
    <w:rsid w:val="009E6506"/>
    <w:rsid w:val="009E6933"/>
    <w:rsid w:val="009E6973"/>
    <w:rsid w:val="009E6B2D"/>
    <w:rsid w:val="009E6C0D"/>
    <w:rsid w:val="009E71D1"/>
    <w:rsid w:val="009E731E"/>
    <w:rsid w:val="009E734B"/>
    <w:rsid w:val="009E73FC"/>
    <w:rsid w:val="009E7575"/>
    <w:rsid w:val="009E75F5"/>
    <w:rsid w:val="009E7741"/>
    <w:rsid w:val="009F0031"/>
    <w:rsid w:val="009F05FA"/>
    <w:rsid w:val="009F0693"/>
    <w:rsid w:val="009F096C"/>
    <w:rsid w:val="009F0C5E"/>
    <w:rsid w:val="009F1462"/>
    <w:rsid w:val="009F1E4C"/>
    <w:rsid w:val="009F1E6D"/>
    <w:rsid w:val="009F1EB6"/>
    <w:rsid w:val="009F2146"/>
    <w:rsid w:val="009F26DC"/>
    <w:rsid w:val="009F2739"/>
    <w:rsid w:val="009F2AF8"/>
    <w:rsid w:val="009F2C4F"/>
    <w:rsid w:val="009F2DE5"/>
    <w:rsid w:val="009F30C0"/>
    <w:rsid w:val="009F31C3"/>
    <w:rsid w:val="009F337A"/>
    <w:rsid w:val="009F3401"/>
    <w:rsid w:val="009F35EA"/>
    <w:rsid w:val="009F3A84"/>
    <w:rsid w:val="009F41B2"/>
    <w:rsid w:val="009F44A6"/>
    <w:rsid w:val="009F44FC"/>
    <w:rsid w:val="009F4BCE"/>
    <w:rsid w:val="009F4CD3"/>
    <w:rsid w:val="009F4E44"/>
    <w:rsid w:val="009F4F3B"/>
    <w:rsid w:val="009F5446"/>
    <w:rsid w:val="009F586B"/>
    <w:rsid w:val="009F5C56"/>
    <w:rsid w:val="009F61A0"/>
    <w:rsid w:val="009F61DF"/>
    <w:rsid w:val="009F6215"/>
    <w:rsid w:val="009F6309"/>
    <w:rsid w:val="009F6415"/>
    <w:rsid w:val="009F6433"/>
    <w:rsid w:val="009F6FEE"/>
    <w:rsid w:val="009F7058"/>
    <w:rsid w:val="009F79BE"/>
    <w:rsid w:val="009F7A27"/>
    <w:rsid w:val="00A000C5"/>
    <w:rsid w:val="00A005B6"/>
    <w:rsid w:val="00A00654"/>
    <w:rsid w:val="00A00981"/>
    <w:rsid w:val="00A009C5"/>
    <w:rsid w:val="00A00A8F"/>
    <w:rsid w:val="00A00D63"/>
    <w:rsid w:val="00A00EE0"/>
    <w:rsid w:val="00A0146F"/>
    <w:rsid w:val="00A01B38"/>
    <w:rsid w:val="00A022D0"/>
    <w:rsid w:val="00A024BB"/>
    <w:rsid w:val="00A0263E"/>
    <w:rsid w:val="00A02930"/>
    <w:rsid w:val="00A0296F"/>
    <w:rsid w:val="00A0298B"/>
    <w:rsid w:val="00A02A8F"/>
    <w:rsid w:val="00A02CE0"/>
    <w:rsid w:val="00A02DE9"/>
    <w:rsid w:val="00A03058"/>
    <w:rsid w:val="00A03A84"/>
    <w:rsid w:val="00A03AC5"/>
    <w:rsid w:val="00A03BEC"/>
    <w:rsid w:val="00A03D27"/>
    <w:rsid w:val="00A03FE5"/>
    <w:rsid w:val="00A04192"/>
    <w:rsid w:val="00A0429D"/>
    <w:rsid w:val="00A04512"/>
    <w:rsid w:val="00A045A8"/>
    <w:rsid w:val="00A046C9"/>
    <w:rsid w:val="00A04923"/>
    <w:rsid w:val="00A049DD"/>
    <w:rsid w:val="00A04B91"/>
    <w:rsid w:val="00A05087"/>
    <w:rsid w:val="00A0567E"/>
    <w:rsid w:val="00A05798"/>
    <w:rsid w:val="00A0591B"/>
    <w:rsid w:val="00A05A5E"/>
    <w:rsid w:val="00A05E7E"/>
    <w:rsid w:val="00A06104"/>
    <w:rsid w:val="00A0611A"/>
    <w:rsid w:val="00A0648E"/>
    <w:rsid w:val="00A06CD4"/>
    <w:rsid w:val="00A071B5"/>
    <w:rsid w:val="00A071D0"/>
    <w:rsid w:val="00A07330"/>
    <w:rsid w:val="00A075B7"/>
    <w:rsid w:val="00A07781"/>
    <w:rsid w:val="00A07B9B"/>
    <w:rsid w:val="00A07DB6"/>
    <w:rsid w:val="00A07E36"/>
    <w:rsid w:val="00A10029"/>
    <w:rsid w:val="00A1030A"/>
    <w:rsid w:val="00A103FF"/>
    <w:rsid w:val="00A1062D"/>
    <w:rsid w:val="00A106FC"/>
    <w:rsid w:val="00A10820"/>
    <w:rsid w:val="00A10A6C"/>
    <w:rsid w:val="00A10F6B"/>
    <w:rsid w:val="00A10F8B"/>
    <w:rsid w:val="00A11160"/>
    <w:rsid w:val="00A111F4"/>
    <w:rsid w:val="00A11205"/>
    <w:rsid w:val="00A1145F"/>
    <w:rsid w:val="00A1168D"/>
    <w:rsid w:val="00A118B5"/>
    <w:rsid w:val="00A120CC"/>
    <w:rsid w:val="00A1230D"/>
    <w:rsid w:val="00A13263"/>
    <w:rsid w:val="00A1360A"/>
    <w:rsid w:val="00A136A5"/>
    <w:rsid w:val="00A14089"/>
    <w:rsid w:val="00A141A7"/>
    <w:rsid w:val="00A1445A"/>
    <w:rsid w:val="00A147F8"/>
    <w:rsid w:val="00A14A91"/>
    <w:rsid w:val="00A14CBA"/>
    <w:rsid w:val="00A14DCA"/>
    <w:rsid w:val="00A152F6"/>
    <w:rsid w:val="00A15468"/>
    <w:rsid w:val="00A15B2A"/>
    <w:rsid w:val="00A16478"/>
    <w:rsid w:val="00A1680F"/>
    <w:rsid w:val="00A16DBA"/>
    <w:rsid w:val="00A172C4"/>
    <w:rsid w:val="00A173D7"/>
    <w:rsid w:val="00A1743D"/>
    <w:rsid w:val="00A174A7"/>
    <w:rsid w:val="00A17611"/>
    <w:rsid w:val="00A17645"/>
    <w:rsid w:val="00A1764F"/>
    <w:rsid w:val="00A176C2"/>
    <w:rsid w:val="00A17830"/>
    <w:rsid w:val="00A17AC4"/>
    <w:rsid w:val="00A20298"/>
    <w:rsid w:val="00A2065B"/>
    <w:rsid w:val="00A20AAA"/>
    <w:rsid w:val="00A20BC7"/>
    <w:rsid w:val="00A20C51"/>
    <w:rsid w:val="00A20C58"/>
    <w:rsid w:val="00A20D9E"/>
    <w:rsid w:val="00A20DAC"/>
    <w:rsid w:val="00A210DB"/>
    <w:rsid w:val="00A214AB"/>
    <w:rsid w:val="00A214C7"/>
    <w:rsid w:val="00A2159B"/>
    <w:rsid w:val="00A2162E"/>
    <w:rsid w:val="00A216DB"/>
    <w:rsid w:val="00A2192B"/>
    <w:rsid w:val="00A21987"/>
    <w:rsid w:val="00A21990"/>
    <w:rsid w:val="00A21EB3"/>
    <w:rsid w:val="00A22314"/>
    <w:rsid w:val="00A2283B"/>
    <w:rsid w:val="00A228D4"/>
    <w:rsid w:val="00A22AEA"/>
    <w:rsid w:val="00A22F6D"/>
    <w:rsid w:val="00A23042"/>
    <w:rsid w:val="00A2326D"/>
    <w:rsid w:val="00A233B7"/>
    <w:rsid w:val="00A235A6"/>
    <w:rsid w:val="00A235FD"/>
    <w:rsid w:val="00A23A9B"/>
    <w:rsid w:val="00A23B65"/>
    <w:rsid w:val="00A23E21"/>
    <w:rsid w:val="00A23EBE"/>
    <w:rsid w:val="00A2406D"/>
    <w:rsid w:val="00A2410C"/>
    <w:rsid w:val="00A24333"/>
    <w:rsid w:val="00A244CC"/>
    <w:rsid w:val="00A2492E"/>
    <w:rsid w:val="00A24BA5"/>
    <w:rsid w:val="00A24EFD"/>
    <w:rsid w:val="00A25006"/>
    <w:rsid w:val="00A2516B"/>
    <w:rsid w:val="00A25216"/>
    <w:rsid w:val="00A25988"/>
    <w:rsid w:val="00A25D97"/>
    <w:rsid w:val="00A25F74"/>
    <w:rsid w:val="00A260C3"/>
    <w:rsid w:val="00A26545"/>
    <w:rsid w:val="00A265EA"/>
    <w:rsid w:val="00A266E8"/>
    <w:rsid w:val="00A267C3"/>
    <w:rsid w:val="00A269A4"/>
    <w:rsid w:val="00A26B93"/>
    <w:rsid w:val="00A26ECE"/>
    <w:rsid w:val="00A27284"/>
    <w:rsid w:val="00A27368"/>
    <w:rsid w:val="00A27531"/>
    <w:rsid w:val="00A27A3E"/>
    <w:rsid w:val="00A27AC1"/>
    <w:rsid w:val="00A27F21"/>
    <w:rsid w:val="00A3019C"/>
    <w:rsid w:val="00A30482"/>
    <w:rsid w:val="00A306AA"/>
    <w:rsid w:val="00A30C05"/>
    <w:rsid w:val="00A30CF7"/>
    <w:rsid w:val="00A30D97"/>
    <w:rsid w:val="00A30D9C"/>
    <w:rsid w:val="00A30FE6"/>
    <w:rsid w:val="00A3116C"/>
    <w:rsid w:val="00A31382"/>
    <w:rsid w:val="00A31966"/>
    <w:rsid w:val="00A319AA"/>
    <w:rsid w:val="00A31C57"/>
    <w:rsid w:val="00A31EE8"/>
    <w:rsid w:val="00A32084"/>
    <w:rsid w:val="00A3225E"/>
    <w:rsid w:val="00A32268"/>
    <w:rsid w:val="00A3246A"/>
    <w:rsid w:val="00A325C6"/>
    <w:rsid w:val="00A327DA"/>
    <w:rsid w:val="00A32857"/>
    <w:rsid w:val="00A32B0C"/>
    <w:rsid w:val="00A32C77"/>
    <w:rsid w:val="00A32FA0"/>
    <w:rsid w:val="00A330E3"/>
    <w:rsid w:val="00A33351"/>
    <w:rsid w:val="00A33889"/>
    <w:rsid w:val="00A33A27"/>
    <w:rsid w:val="00A33A7B"/>
    <w:rsid w:val="00A33CF6"/>
    <w:rsid w:val="00A33D00"/>
    <w:rsid w:val="00A33DC9"/>
    <w:rsid w:val="00A33E7A"/>
    <w:rsid w:val="00A33FDC"/>
    <w:rsid w:val="00A3417B"/>
    <w:rsid w:val="00A3422C"/>
    <w:rsid w:val="00A34DA3"/>
    <w:rsid w:val="00A34EB3"/>
    <w:rsid w:val="00A35645"/>
    <w:rsid w:val="00A35742"/>
    <w:rsid w:val="00A35799"/>
    <w:rsid w:val="00A357B6"/>
    <w:rsid w:val="00A35CEC"/>
    <w:rsid w:val="00A35DE6"/>
    <w:rsid w:val="00A35ECE"/>
    <w:rsid w:val="00A3656F"/>
    <w:rsid w:val="00A36585"/>
    <w:rsid w:val="00A365A4"/>
    <w:rsid w:val="00A36679"/>
    <w:rsid w:val="00A368A8"/>
    <w:rsid w:val="00A36C09"/>
    <w:rsid w:val="00A36D0C"/>
    <w:rsid w:val="00A374F7"/>
    <w:rsid w:val="00A3769D"/>
    <w:rsid w:val="00A378D5"/>
    <w:rsid w:val="00A37BD9"/>
    <w:rsid w:val="00A40B9E"/>
    <w:rsid w:val="00A40CF6"/>
    <w:rsid w:val="00A40FF6"/>
    <w:rsid w:val="00A41203"/>
    <w:rsid w:val="00A41363"/>
    <w:rsid w:val="00A414B1"/>
    <w:rsid w:val="00A415B0"/>
    <w:rsid w:val="00A416D3"/>
    <w:rsid w:val="00A417A0"/>
    <w:rsid w:val="00A41950"/>
    <w:rsid w:val="00A41D79"/>
    <w:rsid w:val="00A41E4D"/>
    <w:rsid w:val="00A42422"/>
    <w:rsid w:val="00A426E9"/>
    <w:rsid w:val="00A42B5D"/>
    <w:rsid w:val="00A42D67"/>
    <w:rsid w:val="00A4315D"/>
    <w:rsid w:val="00A431DF"/>
    <w:rsid w:val="00A4368C"/>
    <w:rsid w:val="00A43928"/>
    <w:rsid w:val="00A43E11"/>
    <w:rsid w:val="00A441DD"/>
    <w:rsid w:val="00A44695"/>
    <w:rsid w:val="00A44A3D"/>
    <w:rsid w:val="00A44A70"/>
    <w:rsid w:val="00A44ABD"/>
    <w:rsid w:val="00A44C36"/>
    <w:rsid w:val="00A44CB8"/>
    <w:rsid w:val="00A44E22"/>
    <w:rsid w:val="00A4549C"/>
    <w:rsid w:val="00A45AA2"/>
    <w:rsid w:val="00A45D06"/>
    <w:rsid w:val="00A460C4"/>
    <w:rsid w:val="00A46250"/>
    <w:rsid w:val="00A4687F"/>
    <w:rsid w:val="00A46891"/>
    <w:rsid w:val="00A469EC"/>
    <w:rsid w:val="00A46B95"/>
    <w:rsid w:val="00A46DC6"/>
    <w:rsid w:val="00A46F1F"/>
    <w:rsid w:val="00A4708C"/>
    <w:rsid w:val="00A47103"/>
    <w:rsid w:val="00A474C9"/>
    <w:rsid w:val="00A4774B"/>
    <w:rsid w:val="00A479AF"/>
    <w:rsid w:val="00A47A17"/>
    <w:rsid w:val="00A47ADE"/>
    <w:rsid w:val="00A47B38"/>
    <w:rsid w:val="00A47CB4"/>
    <w:rsid w:val="00A50215"/>
    <w:rsid w:val="00A5056B"/>
    <w:rsid w:val="00A50600"/>
    <w:rsid w:val="00A50681"/>
    <w:rsid w:val="00A506D1"/>
    <w:rsid w:val="00A50D65"/>
    <w:rsid w:val="00A50DAD"/>
    <w:rsid w:val="00A51125"/>
    <w:rsid w:val="00A513BC"/>
    <w:rsid w:val="00A51410"/>
    <w:rsid w:val="00A51BB9"/>
    <w:rsid w:val="00A51D4A"/>
    <w:rsid w:val="00A51DC1"/>
    <w:rsid w:val="00A521CE"/>
    <w:rsid w:val="00A5227C"/>
    <w:rsid w:val="00A52440"/>
    <w:rsid w:val="00A5247F"/>
    <w:rsid w:val="00A52A75"/>
    <w:rsid w:val="00A52AC9"/>
    <w:rsid w:val="00A52D83"/>
    <w:rsid w:val="00A5310C"/>
    <w:rsid w:val="00A531FA"/>
    <w:rsid w:val="00A5349F"/>
    <w:rsid w:val="00A5359C"/>
    <w:rsid w:val="00A53D19"/>
    <w:rsid w:val="00A53E82"/>
    <w:rsid w:val="00A53FE6"/>
    <w:rsid w:val="00A541B0"/>
    <w:rsid w:val="00A54342"/>
    <w:rsid w:val="00A543F9"/>
    <w:rsid w:val="00A549B3"/>
    <w:rsid w:val="00A54AAC"/>
    <w:rsid w:val="00A54B4E"/>
    <w:rsid w:val="00A54BB0"/>
    <w:rsid w:val="00A554D8"/>
    <w:rsid w:val="00A557CB"/>
    <w:rsid w:val="00A55A7D"/>
    <w:rsid w:val="00A55D50"/>
    <w:rsid w:val="00A56027"/>
    <w:rsid w:val="00A5619B"/>
    <w:rsid w:val="00A5633A"/>
    <w:rsid w:val="00A56AFB"/>
    <w:rsid w:val="00A56FDD"/>
    <w:rsid w:val="00A56FF3"/>
    <w:rsid w:val="00A570EE"/>
    <w:rsid w:val="00A57183"/>
    <w:rsid w:val="00A57448"/>
    <w:rsid w:val="00A579ED"/>
    <w:rsid w:val="00A57BAC"/>
    <w:rsid w:val="00A57C7E"/>
    <w:rsid w:val="00A57D3C"/>
    <w:rsid w:val="00A57E08"/>
    <w:rsid w:val="00A60244"/>
    <w:rsid w:val="00A60386"/>
    <w:rsid w:val="00A60497"/>
    <w:rsid w:val="00A60618"/>
    <w:rsid w:val="00A60720"/>
    <w:rsid w:val="00A608A8"/>
    <w:rsid w:val="00A613CD"/>
    <w:rsid w:val="00A61559"/>
    <w:rsid w:val="00A6183B"/>
    <w:rsid w:val="00A61CF4"/>
    <w:rsid w:val="00A62007"/>
    <w:rsid w:val="00A6212B"/>
    <w:rsid w:val="00A62223"/>
    <w:rsid w:val="00A62598"/>
    <w:rsid w:val="00A625CE"/>
    <w:rsid w:val="00A6293C"/>
    <w:rsid w:val="00A62BC2"/>
    <w:rsid w:val="00A62D20"/>
    <w:rsid w:val="00A62E2D"/>
    <w:rsid w:val="00A63096"/>
    <w:rsid w:val="00A630CF"/>
    <w:rsid w:val="00A630E6"/>
    <w:rsid w:val="00A631BA"/>
    <w:rsid w:val="00A631CB"/>
    <w:rsid w:val="00A6334E"/>
    <w:rsid w:val="00A635AF"/>
    <w:rsid w:val="00A6386F"/>
    <w:rsid w:val="00A639A5"/>
    <w:rsid w:val="00A63A76"/>
    <w:rsid w:val="00A64182"/>
    <w:rsid w:val="00A644ED"/>
    <w:rsid w:val="00A64529"/>
    <w:rsid w:val="00A6460A"/>
    <w:rsid w:val="00A648C8"/>
    <w:rsid w:val="00A648D9"/>
    <w:rsid w:val="00A64B74"/>
    <w:rsid w:val="00A64BBB"/>
    <w:rsid w:val="00A64DF0"/>
    <w:rsid w:val="00A64E4F"/>
    <w:rsid w:val="00A650C8"/>
    <w:rsid w:val="00A652BC"/>
    <w:rsid w:val="00A654F3"/>
    <w:rsid w:val="00A6563D"/>
    <w:rsid w:val="00A65A75"/>
    <w:rsid w:val="00A65AA0"/>
    <w:rsid w:val="00A65D80"/>
    <w:rsid w:val="00A65E17"/>
    <w:rsid w:val="00A65EE7"/>
    <w:rsid w:val="00A6637D"/>
    <w:rsid w:val="00A66729"/>
    <w:rsid w:val="00A66933"/>
    <w:rsid w:val="00A66A65"/>
    <w:rsid w:val="00A66DA9"/>
    <w:rsid w:val="00A66E6E"/>
    <w:rsid w:val="00A670A3"/>
    <w:rsid w:val="00A67284"/>
    <w:rsid w:val="00A674FE"/>
    <w:rsid w:val="00A675C1"/>
    <w:rsid w:val="00A67604"/>
    <w:rsid w:val="00A676A4"/>
    <w:rsid w:val="00A679B0"/>
    <w:rsid w:val="00A70191"/>
    <w:rsid w:val="00A7036B"/>
    <w:rsid w:val="00A703A8"/>
    <w:rsid w:val="00A70492"/>
    <w:rsid w:val="00A70692"/>
    <w:rsid w:val="00A708E5"/>
    <w:rsid w:val="00A70C3E"/>
    <w:rsid w:val="00A71057"/>
    <w:rsid w:val="00A711D2"/>
    <w:rsid w:val="00A718C1"/>
    <w:rsid w:val="00A71FBE"/>
    <w:rsid w:val="00A720D5"/>
    <w:rsid w:val="00A728BF"/>
    <w:rsid w:val="00A72C2E"/>
    <w:rsid w:val="00A72D2B"/>
    <w:rsid w:val="00A72D77"/>
    <w:rsid w:val="00A7321A"/>
    <w:rsid w:val="00A732A1"/>
    <w:rsid w:val="00A7343E"/>
    <w:rsid w:val="00A73597"/>
    <w:rsid w:val="00A7399A"/>
    <w:rsid w:val="00A73B7E"/>
    <w:rsid w:val="00A73D92"/>
    <w:rsid w:val="00A73DB1"/>
    <w:rsid w:val="00A73E15"/>
    <w:rsid w:val="00A74314"/>
    <w:rsid w:val="00A743FD"/>
    <w:rsid w:val="00A744A4"/>
    <w:rsid w:val="00A7495F"/>
    <w:rsid w:val="00A74A22"/>
    <w:rsid w:val="00A74F61"/>
    <w:rsid w:val="00A7575C"/>
    <w:rsid w:val="00A75859"/>
    <w:rsid w:val="00A75B40"/>
    <w:rsid w:val="00A75C27"/>
    <w:rsid w:val="00A75D5F"/>
    <w:rsid w:val="00A75D91"/>
    <w:rsid w:val="00A75F16"/>
    <w:rsid w:val="00A75F70"/>
    <w:rsid w:val="00A76031"/>
    <w:rsid w:val="00A761D3"/>
    <w:rsid w:val="00A76365"/>
    <w:rsid w:val="00A76749"/>
    <w:rsid w:val="00A7681D"/>
    <w:rsid w:val="00A7692A"/>
    <w:rsid w:val="00A77158"/>
    <w:rsid w:val="00A77171"/>
    <w:rsid w:val="00A77225"/>
    <w:rsid w:val="00A77243"/>
    <w:rsid w:val="00A774B0"/>
    <w:rsid w:val="00A77765"/>
    <w:rsid w:val="00A77FEB"/>
    <w:rsid w:val="00A80245"/>
    <w:rsid w:val="00A80399"/>
    <w:rsid w:val="00A803CF"/>
    <w:rsid w:val="00A8048F"/>
    <w:rsid w:val="00A80666"/>
    <w:rsid w:val="00A808C7"/>
    <w:rsid w:val="00A80B17"/>
    <w:rsid w:val="00A80BCC"/>
    <w:rsid w:val="00A815AD"/>
    <w:rsid w:val="00A81926"/>
    <w:rsid w:val="00A82461"/>
    <w:rsid w:val="00A825E7"/>
    <w:rsid w:val="00A826D0"/>
    <w:rsid w:val="00A82813"/>
    <w:rsid w:val="00A8281E"/>
    <w:rsid w:val="00A82901"/>
    <w:rsid w:val="00A82E31"/>
    <w:rsid w:val="00A82EF4"/>
    <w:rsid w:val="00A8311F"/>
    <w:rsid w:val="00A831B2"/>
    <w:rsid w:val="00A83B14"/>
    <w:rsid w:val="00A83B25"/>
    <w:rsid w:val="00A83CA8"/>
    <w:rsid w:val="00A83D34"/>
    <w:rsid w:val="00A83D5C"/>
    <w:rsid w:val="00A83EF1"/>
    <w:rsid w:val="00A83F94"/>
    <w:rsid w:val="00A841EA"/>
    <w:rsid w:val="00A8465E"/>
    <w:rsid w:val="00A84671"/>
    <w:rsid w:val="00A8467E"/>
    <w:rsid w:val="00A84734"/>
    <w:rsid w:val="00A849BB"/>
    <w:rsid w:val="00A84A25"/>
    <w:rsid w:val="00A84A4F"/>
    <w:rsid w:val="00A84B1E"/>
    <w:rsid w:val="00A84C44"/>
    <w:rsid w:val="00A84F9E"/>
    <w:rsid w:val="00A850B5"/>
    <w:rsid w:val="00A852BF"/>
    <w:rsid w:val="00A8535C"/>
    <w:rsid w:val="00A855E0"/>
    <w:rsid w:val="00A855E4"/>
    <w:rsid w:val="00A85729"/>
    <w:rsid w:val="00A8587D"/>
    <w:rsid w:val="00A859B7"/>
    <w:rsid w:val="00A85A9B"/>
    <w:rsid w:val="00A85D44"/>
    <w:rsid w:val="00A85F37"/>
    <w:rsid w:val="00A8616B"/>
    <w:rsid w:val="00A8619D"/>
    <w:rsid w:val="00A86DAD"/>
    <w:rsid w:val="00A86E97"/>
    <w:rsid w:val="00A8746D"/>
    <w:rsid w:val="00A874F0"/>
    <w:rsid w:val="00A878E4"/>
    <w:rsid w:val="00A87AD0"/>
    <w:rsid w:val="00A900A1"/>
    <w:rsid w:val="00A90219"/>
    <w:rsid w:val="00A90451"/>
    <w:rsid w:val="00A90768"/>
    <w:rsid w:val="00A9092C"/>
    <w:rsid w:val="00A90974"/>
    <w:rsid w:val="00A90D21"/>
    <w:rsid w:val="00A91197"/>
    <w:rsid w:val="00A91395"/>
    <w:rsid w:val="00A913ED"/>
    <w:rsid w:val="00A916F7"/>
    <w:rsid w:val="00A91988"/>
    <w:rsid w:val="00A91A63"/>
    <w:rsid w:val="00A91B9E"/>
    <w:rsid w:val="00A91C2C"/>
    <w:rsid w:val="00A91E33"/>
    <w:rsid w:val="00A91FE2"/>
    <w:rsid w:val="00A92172"/>
    <w:rsid w:val="00A9261F"/>
    <w:rsid w:val="00A9264F"/>
    <w:rsid w:val="00A927D3"/>
    <w:rsid w:val="00A928BA"/>
    <w:rsid w:val="00A92A2C"/>
    <w:rsid w:val="00A92E10"/>
    <w:rsid w:val="00A93366"/>
    <w:rsid w:val="00A93C1F"/>
    <w:rsid w:val="00A941DD"/>
    <w:rsid w:val="00A944E7"/>
    <w:rsid w:val="00A9474B"/>
    <w:rsid w:val="00A94777"/>
    <w:rsid w:val="00A94864"/>
    <w:rsid w:val="00A9491A"/>
    <w:rsid w:val="00A94D67"/>
    <w:rsid w:val="00A94D7D"/>
    <w:rsid w:val="00A94EEB"/>
    <w:rsid w:val="00A9559E"/>
    <w:rsid w:val="00A95B1D"/>
    <w:rsid w:val="00A95DBF"/>
    <w:rsid w:val="00A966BE"/>
    <w:rsid w:val="00A96A44"/>
    <w:rsid w:val="00A96B8D"/>
    <w:rsid w:val="00A96CEE"/>
    <w:rsid w:val="00A9714C"/>
    <w:rsid w:val="00A971EB"/>
    <w:rsid w:val="00A977F2"/>
    <w:rsid w:val="00A97A1F"/>
    <w:rsid w:val="00A97D9D"/>
    <w:rsid w:val="00A97E01"/>
    <w:rsid w:val="00A97EBB"/>
    <w:rsid w:val="00AA0066"/>
    <w:rsid w:val="00AA0220"/>
    <w:rsid w:val="00AA0337"/>
    <w:rsid w:val="00AA0588"/>
    <w:rsid w:val="00AA0D00"/>
    <w:rsid w:val="00AA0DCD"/>
    <w:rsid w:val="00AA0F2F"/>
    <w:rsid w:val="00AA0F41"/>
    <w:rsid w:val="00AA1195"/>
    <w:rsid w:val="00AA1509"/>
    <w:rsid w:val="00AA1A27"/>
    <w:rsid w:val="00AA1C31"/>
    <w:rsid w:val="00AA1E1D"/>
    <w:rsid w:val="00AA1F78"/>
    <w:rsid w:val="00AA2263"/>
    <w:rsid w:val="00AA22E8"/>
    <w:rsid w:val="00AA2A4F"/>
    <w:rsid w:val="00AA2CB0"/>
    <w:rsid w:val="00AA3143"/>
    <w:rsid w:val="00AA3322"/>
    <w:rsid w:val="00AA35FD"/>
    <w:rsid w:val="00AA38E5"/>
    <w:rsid w:val="00AA3D04"/>
    <w:rsid w:val="00AA3D3D"/>
    <w:rsid w:val="00AA3F42"/>
    <w:rsid w:val="00AA4653"/>
    <w:rsid w:val="00AA4764"/>
    <w:rsid w:val="00AA4AED"/>
    <w:rsid w:val="00AA4F4F"/>
    <w:rsid w:val="00AA4FCA"/>
    <w:rsid w:val="00AA5074"/>
    <w:rsid w:val="00AA5141"/>
    <w:rsid w:val="00AA54C0"/>
    <w:rsid w:val="00AA58E4"/>
    <w:rsid w:val="00AA5A08"/>
    <w:rsid w:val="00AA5DD2"/>
    <w:rsid w:val="00AA618C"/>
    <w:rsid w:val="00AA62D2"/>
    <w:rsid w:val="00AA6609"/>
    <w:rsid w:val="00AA706B"/>
    <w:rsid w:val="00AA71A9"/>
    <w:rsid w:val="00AA7796"/>
    <w:rsid w:val="00AA77DF"/>
    <w:rsid w:val="00AA7C4B"/>
    <w:rsid w:val="00AA7C80"/>
    <w:rsid w:val="00AB0083"/>
    <w:rsid w:val="00AB0158"/>
    <w:rsid w:val="00AB03FD"/>
    <w:rsid w:val="00AB0443"/>
    <w:rsid w:val="00AB08B7"/>
    <w:rsid w:val="00AB09FB"/>
    <w:rsid w:val="00AB108D"/>
    <w:rsid w:val="00AB1151"/>
    <w:rsid w:val="00AB136D"/>
    <w:rsid w:val="00AB14C2"/>
    <w:rsid w:val="00AB1DF7"/>
    <w:rsid w:val="00AB1E03"/>
    <w:rsid w:val="00AB2444"/>
    <w:rsid w:val="00AB275E"/>
    <w:rsid w:val="00AB2F55"/>
    <w:rsid w:val="00AB36A1"/>
    <w:rsid w:val="00AB3856"/>
    <w:rsid w:val="00AB3A86"/>
    <w:rsid w:val="00AB3DD6"/>
    <w:rsid w:val="00AB3E8A"/>
    <w:rsid w:val="00AB4039"/>
    <w:rsid w:val="00AB457C"/>
    <w:rsid w:val="00AB49DA"/>
    <w:rsid w:val="00AB4F04"/>
    <w:rsid w:val="00AB5160"/>
    <w:rsid w:val="00AB549A"/>
    <w:rsid w:val="00AB5F0D"/>
    <w:rsid w:val="00AB60DB"/>
    <w:rsid w:val="00AB62A8"/>
    <w:rsid w:val="00AB63B2"/>
    <w:rsid w:val="00AB6A55"/>
    <w:rsid w:val="00AB6A92"/>
    <w:rsid w:val="00AB6B01"/>
    <w:rsid w:val="00AB6FFD"/>
    <w:rsid w:val="00AB706E"/>
    <w:rsid w:val="00AB747A"/>
    <w:rsid w:val="00AB77E1"/>
    <w:rsid w:val="00AB786D"/>
    <w:rsid w:val="00AB7CA1"/>
    <w:rsid w:val="00AC0168"/>
    <w:rsid w:val="00AC025C"/>
    <w:rsid w:val="00AC07BD"/>
    <w:rsid w:val="00AC07C6"/>
    <w:rsid w:val="00AC08EC"/>
    <w:rsid w:val="00AC0EBF"/>
    <w:rsid w:val="00AC16DD"/>
    <w:rsid w:val="00AC1D31"/>
    <w:rsid w:val="00AC1D6D"/>
    <w:rsid w:val="00AC1F95"/>
    <w:rsid w:val="00AC24B7"/>
    <w:rsid w:val="00AC2931"/>
    <w:rsid w:val="00AC2BB7"/>
    <w:rsid w:val="00AC2C0D"/>
    <w:rsid w:val="00AC36C5"/>
    <w:rsid w:val="00AC4159"/>
    <w:rsid w:val="00AC416D"/>
    <w:rsid w:val="00AC481E"/>
    <w:rsid w:val="00AC487F"/>
    <w:rsid w:val="00AC4B36"/>
    <w:rsid w:val="00AC4D48"/>
    <w:rsid w:val="00AC4E22"/>
    <w:rsid w:val="00AC52CC"/>
    <w:rsid w:val="00AC52EE"/>
    <w:rsid w:val="00AC5620"/>
    <w:rsid w:val="00AC56CA"/>
    <w:rsid w:val="00AC5833"/>
    <w:rsid w:val="00AC58DE"/>
    <w:rsid w:val="00AC5957"/>
    <w:rsid w:val="00AC5B2F"/>
    <w:rsid w:val="00AC5B55"/>
    <w:rsid w:val="00AC60AC"/>
    <w:rsid w:val="00AC6323"/>
    <w:rsid w:val="00AC657E"/>
    <w:rsid w:val="00AC682B"/>
    <w:rsid w:val="00AC6A91"/>
    <w:rsid w:val="00AC6B73"/>
    <w:rsid w:val="00AC6CDC"/>
    <w:rsid w:val="00AC70F1"/>
    <w:rsid w:val="00AC7270"/>
    <w:rsid w:val="00AC732D"/>
    <w:rsid w:val="00AC73A2"/>
    <w:rsid w:val="00AC7418"/>
    <w:rsid w:val="00AC75C2"/>
    <w:rsid w:val="00AC76C7"/>
    <w:rsid w:val="00AC7707"/>
    <w:rsid w:val="00AC7C4D"/>
    <w:rsid w:val="00AD0354"/>
    <w:rsid w:val="00AD0410"/>
    <w:rsid w:val="00AD0493"/>
    <w:rsid w:val="00AD07E1"/>
    <w:rsid w:val="00AD0841"/>
    <w:rsid w:val="00AD0897"/>
    <w:rsid w:val="00AD0CBF"/>
    <w:rsid w:val="00AD0D99"/>
    <w:rsid w:val="00AD1626"/>
    <w:rsid w:val="00AD16DA"/>
    <w:rsid w:val="00AD1722"/>
    <w:rsid w:val="00AD187C"/>
    <w:rsid w:val="00AD19FC"/>
    <w:rsid w:val="00AD1BF3"/>
    <w:rsid w:val="00AD2242"/>
    <w:rsid w:val="00AD2260"/>
    <w:rsid w:val="00AD2335"/>
    <w:rsid w:val="00AD239D"/>
    <w:rsid w:val="00AD25C3"/>
    <w:rsid w:val="00AD29C9"/>
    <w:rsid w:val="00AD2B54"/>
    <w:rsid w:val="00AD2B68"/>
    <w:rsid w:val="00AD30EA"/>
    <w:rsid w:val="00AD31C8"/>
    <w:rsid w:val="00AD3322"/>
    <w:rsid w:val="00AD35BC"/>
    <w:rsid w:val="00AD386B"/>
    <w:rsid w:val="00AD39E3"/>
    <w:rsid w:val="00AD3B7F"/>
    <w:rsid w:val="00AD3BCF"/>
    <w:rsid w:val="00AD3D70"/>
    <w:rsid w:val="00AD3D71"/>
    <w:rsid w:val="00AD3E06"/>
    <w:rsid w:val="00AD3EDC"/>
    <w:rsid w:val="00AD404C"/>
    <w:rsid w:val="00AD40E3"/>
    <w:rsid w:val="00AD41CA"/>
    <w:rsid w:val="00AD454B"/>
    <w:rsid w:val="00AD46F0"/>
    <w:rsid w:val="00AD476A"/>
    <w:rsid w:val="00AD4781"/>
    <w:rsid w:val="00AD47A7"/>
    <w:rsid w:val="00AD47B6"/>
    <w:rsid w:val="00AD4BBC"/>
    <w:rsid w:val="00AD4D03"/>
    <w:rsid w:val="00AD4E59"/>
    <w:rsid w:val="00AD4F23"/>
    <w:rsid w:val="00AD4FB8"/>
    <w:rsid w:val="00AD51B8"/>
    <w:rsid w:val="00AD53AD"/>
    <w:rsid w:val="00AD5618"/>
    <w:rsid w:val="00AD5851"/>
    <w:rsid w:val="00AD5B14"/>
    <w:rsid w:val="00AD5C29"/>
    <w:rsid w:val="00AD5D58"/>
    <w:rsid w:val="00AD615E"/>
    <w:rsid w:val="00AD627F"/>
    <w:rsid w:val="00AD64BB"/>
    <w:rsid w:val="00AD68F4"/>
    <w:rsid w:val="00AD6A71"/>
    <w:rsid w:val="00AD6E14"/>
    <w:rsid w:val="00AD7F0D"/>
    <w:rsid w:val="00AE0407"/>
    <w:rsid w:val="00AE041A"/>
    <w:rsid w:val="00AE07D6"/>
    <w:rsid w:val="00AE09F6"/>
    <w:rsid w:val="00AE0AF3"/>
    <w:rsid w:val="00AE0C06"/>
    <w:rsid w:val="00AE0C63"/>
    <w:rsid w:val="00AE113E"/>
    <w:rsid w:val="00AE1529"/>
    <w:rsid w:val="00AE1550"/>
    <w:rsid w:val="00AE157E"/>
    <w:rsid w:val="00AE16E6"/>
    <w:rsid w:val="00AE1875"/>
    <w:rsid w:val="00AE18F7"/>
    <w:rsid w:val="00AE1B78"/>
    <w:rsid w:val="00AE2175"/>
    <w:rsid w:val="00AE229B"/>
    <w:rsid w:val="00AE2967"/>
    <w:rsid w:val="00AE2D1D"/>
    <w:rsid w:val="00AE2D59"/>
    <w:rsid w:val="00AE2DA1"/>
    <w:rsid w:val="00AE309B"/>
    <w:rsid w:val="00AE3272"/>
    <w:rsid w:val="00AE3309"/>
    <w:rsid w:val="00AE332E"/>
    <w:rsid w:val="00AE3913"/>
    <w:rsid w:val="00AE3B82"/>
    <w:rsid w:val="00AE3F53"/>
    <w:rsid w:val="00AE3FAC"/>
    <w:rsid w:val="00AE42FC"/>
    <w:rsid w:val="00AE45DE"/>
    <w:rsid w:val="00AE45F7"/>
    <w:rsid w:val="00AE4CB4"/>
    <w:rsid w:val="00AE4CC1"/>
    <w:rsid w:val="00AE4E4D"/>
    <w:rsid w:val="00AE5504"/>
    <w:rsid w:val="00AE5B43"/>
    <w:rsid w:val="00AE5FB6"/>
    <w:rsid w:val="00AE62D3"/>
    <w:rsid w:val="00AE6451"/>
    <w:rsid w:val="00AE6558"/>
    <w:rsid w:val="00AE6780"/>
    <w:rsid w:val="00AE682C"/>
    <w:rsid w:val="00AE692F"/>
    <w:rsid w:val="00AE6B22"/>
    <w:rsid w:val="00AE7260"/>
    <w:rsid w:val="00AE78EE"/>
    <w:rsid w:val="00AE7A04"/>
    <w:rsid w:val="00AE7C56"/>
    <w:rsid w:val="00AF028D"/>
    <w:rsid w:val="00AF0368"/>
    <w:rsid w:val="00AF058C"/>
    <w:rsid w:val="00AF06D1"/>
    <w:rsid w:val="00AF0888"/>
    <w:rsid w:val="00AF0CFD"/>
    <w:rsid w:val="00AF0FE3"/>
    <w:rsid w:val="00AF17F7"/>
    <w:rsid w:val="00AF19E5"/>
    <w:rsid w:val="00AF1F03"/>
    <w:rsid w:val="00AF20E9"/>
    <w:rsid w:val="00AF21BB"/>
    <w:rsid w:val="00AF2213"/>
    <w:rsid w:val="00AF229F"/>
    <w:rsid w:val="00AF22DB"/>
    <w:rsid w:val="00AF22EB"/>
    <w:rsid w:val="00AF23A7"/>
    <w:rsid w:val="00AF2413"/>
    <w:rsid w:val="00AF2AF0"/>
    <w:rsid w:val="00AF2B88"/>
    <w:rsid w:val="00AF2BEB"/>
    <w:rsid w:val="00AF2F00"/>
    <w:rsid w:val="00AF2F10"/>
    <w:rsid w:val="00AF3221"/>
    <w:rsid w:val="00AF32E5"/>
    <w:rsid w:val="00AF3580"/>
    <w:rsid w:val="00AF3668"/>
    <w:rsid w:val="00AF36DE"/>
    <w:rsid w:val="00AF3B7B"/>
    <w:rsid w:val="00AF41CC"/>
    <w:rsid w:val="00AF4252"/>
    <w:rsid w:val="00AF47C2"/>
    <w:rsid w:val="00AF487E"/>
    <w:rsid w:val="00AF494E"/>
    <w:rsid w:val="00AF4970"/>
    <w:rsid w:val="00AF4A80"/>
    <w:rsid w:val="00AF4B33"/>
    <w:rsid w:val="00AF4E02"/>
    <w:rsid w:val="00AF5010"/>
    <w:rsid w:val="00AF560F"/>
    <w:rsid w:val="00AF5DA1"/>
    <w:rsid w:val="00AF643A"/>
    <w:rsid w:val="00AF656B"/>
    <w:rsid w:val="00AF6706"/>
    <w:rsid w:val="00AF6D93"/>
    <w:rsid w:val="00AF6DA6"/>
    <w:rsid w:val="00AF6F2F"/>
    <w:rsid w:val="00AF7097"/>
    <w:rsid w:val="00AF7524"/>
    <w:rsid w:val="00AF760E"/>
    <w:rsid w:val="00AF76E5"/>
    <w:rsid w:val="00AF76EB"/>
    <w:rsid w:val="00AF7902"/>
    <w:rsid w:val="00AF7C0D"/>
    <w:rsid w:val="00AF7CAE"/>
    <w:rsid w:val="00AF7EE3"/>
    <w:rsid w:val="00B00010"/>
    <w:rsid w:val="00B00631"/>
    <w:rsid w:val="00B0067A"/>
    <w:rsid w:val="00B00809"/>
    <w:rsid w:val="00B00999"/>
    <w:rsid w:val="00B009C1"/>
    <w:rsid w:val="00B009C9"/>
    <w:rsid w:val="00B00D8A"/>
    <w:rsid w:val="00B01037"/>
    <w:rsid w:val="00B01065"/>
    <w:rsid w:val="00B01089"/>
    <w:rsid w:val="00B01269"/>
    <w:rsid w:val="00B012D0"/>
    <w:rsid w:val="00B015A1"/>
    <w:rsid w:val="00B019B3"/>
    <w:rsid w:val="00B01AC8"/>
    <w:rsid w:val="00B02026"/>
    <w:rsid w:val="00B0261D"/>
    <w:rsid w:val="00B02A76"/>
    <w:rsid w:val="00B02C94"/>
    <w:rsid w:val="00B02E01"/>
    <w:rsid w:val="00B02F81"/>
    <w:rsid w:val="00B033F4"/>
    <w:rsid w:val="00B0366F"/>
    <w:rsid w:val="00B03894"/>
    <w:rsid w:val="00B03897"/>
    <w:rsid w:val="00B03EEF"/>
    <w:rsid w:val="00B04157"/>
    <w:rsid w:val="00B046EC"/>
    <w:rsid w:val="00B04725"/>
    <w:rsid w:val="00B04A27"/>
    <w:rsid w:val="00B04AC2"/>
    <w:rsid w:val="00B04EB2"/>
    <w:rsid w:val="00B050F4"/>
    <w:rsid w:val="00B05674"/>
    <w:rsid w:val="00B056AC"/>
    <w:rsid w:val="00B057C1"/>
    <w:rsid w:val="00B057E6"/>
    <w:rsid w:val="00B05B7B"/>
    <w:rsid w:val="00B05B90"/>
    <w:rsid w:val="00B0603E"/>
    <w:rsid w:val="00B064C5"/>
    <w:rsid w:val="00B065F4"/>
    <w:rsid w:val="00B06852"/>
    <w:rsid w:val="00B06878"/>
    <w:rsid w:val="00B06B99"/>
    <w:rsid w:val="00B06F5E"/>
    <w:rsid w:val="00B07017"/>
    <w:rsid w:val="00B07101"/>
    <w:rsid w:val="00B072BE"/>
    <w:rsid w:val="00B07535"/>
    <w:rsid w:val="00B076DD"/>
    <w:rsid w:val="00B077A4"/>
    <w:rsid w:val="00B077B6"/>
    <w:rsid w:val="00B07C28"/>
    <w:rsid w:val="00B07CE9"/>
    <w:rsid w:val="00B07DD1"/>
    <w:rsid w:val="00B101E7"/>
    <w:rsid w:val="00B10B1B"/>
    <w:rsid w:val="00B10CB6"/>
    <w:rsid w:val="00B10DD7"/>
    <w:rsid w:val="00B10F16"/>
    <w:rsid w:val="00B110DF"/>
    <w:rsid w:val="00B1129A"/>
    <w:rsid w:val="00B11518"/>
    <w:rsid w:val="00B11585"/>
    <w:rsid w:val="00B1175C"/>
    <w:rsid w:val="00B1199B"/>
    <w:rsid w:val="00B11A69"/>
    <w:rsid w:val="00B11C81"/>
    <w:rsid w:val="00B11D7E"/>
    <w:rsid w:val="00B120A0"/>
    <w:rsid w:val="00B12120"/>
    <w:rsid w:val="00B12C4F"/>
    <w:rsid w:val="00B12F87"/>
    <w:rsid w:val="00B13312"/>
    <w:rsid w:val="00B1345D"/>
    <w:rsid w:val="00B138FF"/>
    <w:rsid w:val="00B1392D"/>
    <w:rsid w:val="00B13969"/>
    <w:rsid w:val="00B13B01"/>
    <w:rsid w:val="00B13C3A"/>
    <w:rsid w:val="00B13F45"/>
    <w:rsid w:val="00B14054"/>
    <w:rsid w:val="00B14243"/>
    <w:rsid w:val="00B14838"/>
    <w:rsid w:val="00B148CB"/>
    <w:rsid w:val="00B14A98"/>
    <w:rsid w:val="00B14D55"/>
    <w:rsid w:val="00B1502F"/>
    <w:rsid w:val="00B15051"/>
    <w:rsid w:val="00B15127"/>
    <w:rsid w:val="00B156B7"/>
    <w:rsid w:val="00B15770"/>
    <w:rsid w:val="00B158F7"/>
    <w:rsid w:val="00B15D79"/>
    <w:rsid w:val="00B15E7E"/>
    <w:rsid w:val="00B16044"/>
    <w:rsid w:val="00B16096"/>
    <w:rsid w:val="00B165D6"/>
    <w:rsid w:val="00B167C8"/>
    <w:rsid w:val="00B16A29"/>
    <w:rsid w:val="00B16B96"/>
    <w:rsid w:val="00B16ED5"/>
    <w:rsid w:val="00B17646"/>
    <w:rsid w:val="00B17671"/>
    <w:rsid w:val="00B177F3"/>
    <w:rsid w:val="00B17966"/>
    <w:rsid w:val="00B17A23"/>
    <w:rsid w:val="00B17CA6"/>
    <w:rsid w:val="00B20277"/>
    <w:rsid w:val="00B206F1"/>
    <w:rsid w:val="00B207C4"/>
    <w:rsid w:val="00B20A13"/>
    <w:rsid w:val="00B20FB7"/>
    <w:rsid w:val="00B21098"/>
    <w:rsid w:val="00B21BF6"/>
    <w:rsid w:val="00B21C1E"/>
    <w:rsid w:val="00B22272"/>
    <w:rsid w:val="00B2228D"/>
    <w:rsid w:val="00B222EA"/>
    <w:rsid w:val="00B223C3"/>
    <w:rsid w:val="00B225C3"/>
    <w:rsid w:val="00B2263D"/>
    <w:rsid w:val="00B22A9C"/>
    <w:rsid w:val="00B22AB6"/>
    <w:rsid w:val="00B22E4B"/>
    <w:rsid w:val="00B22F48"/>
    <w:rsid w:val="00B2300E"/>
    <w:rsid w:val="00B23432"/>
    <w:rsid w:val="00B239AA"/>
    <w:rsid w:val="00B2444F"/>
    <w:rsid w:val="00B2476F"/>
    <w:rsid w:val="00B24AF3"/>
    <w:rsid w:val="00B253E9"/>
    <w:rsid w:val="00B2559F"/>
    <w:rsid w:val="00B255B3"/>
    <w:rsid w:val="00B25B8A"/>
    <w:rsid w:val="00B25D36"/>
    <w:rsid w:val="00B25E6E"/>
    <w:rsid w:val="00B2634F"/>
    <w:rsid w:val="00B2637B"/>
    <w:rsid w:val="00B26573"/>
    <w:rsid w:val="00B26770"/>
    <w:rsid w:val="00B2695F"/>
    <w:rsid w:val="00B26A00"/>
    <w:rsid w:val="00B26A86"/>
    <w:rsid w:val="00B27042"/>
    <w:rsid w:val="00B27043"/>
    <w:rsid w:val="00B27360"/>
    <w:rsid w:val="00B27788"/>
    <w:rsid w:val="00B2797A"/>
    <w:rsid w:val="00B27A41"/>
    <w:rsid w:val="00B27A61"/>
    <w:rsid w:val="00B27C64"/>
    <w:rsid w:val="00B27DCB"/>
    <w:rsid w:val="00B27F99"/>
    <w:rsid w:val="00B30037"/>
    <w:rsid w:val="00B3011B"/>
    <w:rsid w:val="00B30252"/>
    <w:rsid w:val="00B302B9"/>
    <w:rsid w:val="00B31254"/>
    <w:rsid w:val="00B3168D"/>
    <w:rsid w:val="00B31707"/>
    <w:rsid w:val="00B31861"/>
    <w:rsid w:val="00B31D8E"/>
    <w:rsid w:val="00B320BF"/>
    <w:rsid w:val="00B3224E"/>
    <w:rsid w:val="00B32B0C"/>
    <w:rsid w:val="00B32BAF"/>
    <w:rsid w:val="00B32BDF"/>
    <w:rsid w:val="00B32E9A"/>
    <w:rsid w:val="00B32F14"/>
    <w:rsid w:val="00B3316E"/>
    <w:rsid w:val="00B333B9"/>
    <w:rsid w:val="00B334D0"/>
    <w:rsid w:val="00B334F3"/>
    <w:rsid w:val="00B33733"/>
    <w:rsid w:val="00B3396D"/>
    <w:rsid w:val="00B33A71"/>
    <w:rsid w:val="00B33A8C"/>
    <w:rsid w:val="00B33BFB"/>
    <w:rsid w:val="00B33CB1"/>
    <w:rsid w:val="00B34072"/>
    <w:rsid w:val="00B34077"/>
    <w:rsid w:val="00B340B8"/>
    <w:rsid w:val="00B34238"/>
    <w:rsid w:val="00B342D2"/>
    <w:rsid w:val="00B345AC"/>
    <w:rsid w:val="00B34829"/>
    <w:rsid w:val="00B349FA"/>
    <w:rsid w:val="00B34A44"/>
    <w:rsid w:val="00B34D8C"/>
    <w:rsid w:val="00B35042"/>
    <w:rsid w:val="00B350AB"/>
    <w:rsid w:val="00B35301"/>
    <w:rsid w:val="00B35517"/>
    <w:rsid w:val="00B3557B"/>
    <w:rsid w:val="00B355D4"/>
    <w:rsid w:val="00B35704"/>
    <w:rsid w:val="00B357A0"/>
    <w:rsid w:val="00B35C61"/>
    <w:rsid w:val="00B35CDF"/>
    <w:rsid w:val="00B36121"/>
    <w:rsid w:val="00B36224"/>
    <w:rsid w:val="00B366DC"/>
    <w:rsid w:val="00B36BD1"/>
    <w:rsid w:val="00B36CDD"/>
    <w:rsid w:val="00B36D1E"/>
    <w:rsid w:val="00B36DB6"/>
    <w:rsid w:val="00B3711F"/>
    <w:rsid w:val="00B3732E"/>
    <w:rsid w:val="00B37663"/>
    <w:rsid w:val="00B376E4"/>
    <w:rsid w:val="00B37C8A"/>
    <w:rsid w:val="00B37EC6"/>
    <w:rsid w:val="00B4013E"/>
    <w:rsid w:val="00B40393"/>
    <w:rsid w:val="00B40437"/>
    <w:rsid w:val="00B407C6"/>
    <w:rsid w:val="00B408EE"/>
    <w:rsid w:val="00B40921"/>
    <w:rsid w:val="00B40925"/>
    <w:rsid w:val="00B40A26"/>
    <w:rsid w:val="00B40D81"/>
    <w:rsid w:val="00B40E88"/>
    <w:rsid w:val="00B41599"/>
    <w:rsid w:val="00B415B5"/>
    <w:rsid w:val="00B4177C"/>
    <w:rsid w:val="00B41B8B"/>
    <w:rsid w:val="00B41C48"/>
    <w:rsid w:val="00B41CC7"/>
    <w:rsid w:val="00B41D9E"/>
    <w:rsid w:val="00B41FC9"/>
    <w:rsid w:val="00B42137"/>
    <w:rsid w:val="00B42242"/>
    <w:rsid w:val="00B42470"/>
    <w:rsid w:val="00B429A8"/>
    <w:rsid w:val="00B42AA9"/>
    <w:rsid w:val="00B42D9D"/>
    <w:rsid w:val="00B42DB8"/>
    <w:rsid w:val="00B42F08"/>
    <w:rsid w:val="00B42FEE"/>
    <w:rsid w:val="00B4337D"/>
    <w:rsid w:val="00B436C9"/>
    <w:rsid w:val="00B43E74"/>
    <w:rsid w:val="00B43E80"/>
    <w:rsid w:val="00B43E9E"/>
    <w:rsid w:val="00B43F7C"/>
    <w:rsid w:val="00B43FC3"/>
    <w:rsid w:val="00B442AC"/>
    <w:rsid w:val="00B44312"/>
    <w:rsid w:val="00B44403"/>
    <w:rsid w:val="00B44A33"/>
    <w:rsid w:val="00B44C1C"/>
    <w:rsid w:val="00B44F84"/>
    <w:rsid w:val="00B45075"/>
    <w:rsid w:val="00B45136"/>
    <w:rsid w:val="00B458C3"/>
    <w:rsid w:val="00B45965"/>
    <w:rsid w:val="00B45B7E"/>
    <w:rsid w:val="00B46059"/>
    <w:rsid w:val="00B461F7"/>
    <w:rsid w:val="00B46243"/>
    <w:rsid w:val="00B46667"/>
    <w:rsid w:val="00B46751"/>
    <w:rsid w:val="00B469C4"/>
    <w:rsid w:val="00B46B2F"/>
    <w:rsid w:val="00B46FC1"/>
    <w:rsid w:val="00B47078"/>
    <w:rsid w:val="00B47111"/>
    <w:rsid w:val="00B47416"/>
    <w:rsid w:val="00B4773D"/>
    <w:rsid w:val="00B47844"/>
    <w:rsid w:val="00B47D28"/>
    <w:rsid w:val="00B5027A"/>
    <w:rsid w:val="00B50281"/>
    <w:rsid w:val="00B50783"/>
    <w:rsid w:val="00B51394"/>
    <w:rsid w:val="00B513B0"/>
    <w:rsid w:val="00B51536"/>
    <w:rsid w:val="00B5171F"/>
    <w:rsid w:val="00B51BDD"/>
    <w:rsid w:val="00B5219B"/>
    <w:rsid w:val="00B52623"/>
    <w:rsid w:val="00B5279E"/>
    <w:rsid w:val="00B52EC2"/>
    <w:rsid w:val="00B52FBE"/>
    <w:rsid w:val="00B53104"/>
    <w:rsid w:val="00B535B0"/>
    <w:rsid w:val="00B537CE"/>
    <w:rsid w:val="00B539D0"/>
    <w:rsid w:val="00B53AA3"/>
    <w:rsid w:val="00B53D2C"/>
    <w:rsid w:val="00B53D45"/>
    <w:rsid w:val="00B53E31"/>
    <w:rsid w:val="00B53FE8"/>
    <w:rsid w:val="00B54215"/>
    <w:rsid w:val="00B545DD"/>
    <w:rsid w:val="00B54683"/>
    <w:rsid w:val="00B546A1"/>
    <w:rsid w:val="00B5471F"/>
    <w:rsid w:val="00B548A7"/>
    <w:rsid w:val="00B54E30"/>
    <w:rsid w:val="00B54EF3"/>
    <w:rsid w:val="00B5508D"/>
    <w:rsid w:val="00B554E0"/>
    <w:rsid w:val="00B559FE"/>
    <w:rsid w:val="00B55B1E"/>
    <w:rsid w:val="00B55CCB"/>
    <w:rsid w:val="00B55E60"/>
    <w:rsid w:val="00B560D8"/>
    <w:rsid w:val="00B5640E"/>
    <w:rsid w:val="00B564C6"/>
    <w:rsid w:val="00B565F2"/>
    <w:rsid w:val="00B56715"/>
    <w:rsid w:val="00B567A7"/>
    <w:rsid w:val="00B567C7"/>
    <w:rsid w:val="00B56A84"/>
    <w:rsid w:val="00B56B9B"/>
    <w:rsid w:val="00B56BE6"/>
    <w:rsid w:val="00B56C81"/>
    <w:rsid w:val="00B574E9"/>
    <w:rsid w:val="00B57513"/>
    <w:rsid w:val="00B5778E"/>
    <w:rsid w:val="00B57CDC"/>
    <w:rsid w:val="00B57E4C"/>
    <w:rsid w:val="00B57FD5"/>
    <w:rsid w:val="00B6011E"/>
    <w:rsid w:val="00B605EF"/>
    <w:rsid w:val="00B6066D"/>
    <w:rsid w:val="00B60B0E"/>
    <w:rsid w:val="00B60BD8"/>
    <w:rsid w:val="00B61023"/>
    <w:rsid w:val="00B61258"/>
    <w:rsid w:val="00B6148B"/>
    <w:rsid w:val="00B61A62"/>
    <w:rsid w:val="00B61BB1"/>
    <w:rsid w:val="00B61BE0"/>
    <w:rsid w:val="00B61CE7"/>
    <w:rsid w:val="00B620AF"/>
    <w:rsid w:val="00B62158"/>
    <w:rsid w:val="00B627B1"/>
    <w:rsid w:val="00B62922"/>
    <w:rsid w:val="00B62952"/>
    <w:rsid w:val="00B6295A"/>
    <w:rsid w:val="00B62B4D"/>
    <w:rsid w:val="00B62EF3"/>
    <w:rsid w:val="00B630C0"/>
    <w:rsid w:val="00B63152"/>
    <w:rsid w:val="00B63529"/>
    <w:rsid w:val="00B6370F"/>
    <w:rsid w:val="00B63770"/>
    <w:rsid w:val="00B63B93"/>
    <w:rsid w:val="00B63C56"/>
    <w:rsid w:val="00B63D25"/>
    <w:rsid w:val="00B63D2E"/>
    <w:rsid w:val="00B63F28"/>
    <w:rsid w:val="00B645FE"/>
    <w:rsid w:val="00B64C30"/>
    <w:rsid w:val="00B64F24"/>
    <w:rsid w:val="00B655DD"/>
    <w:rsid w:val="00B65696"/>
    <w:rsid w:val="00B657D2"/>
    <w:rsid w:val="00B65A12"/>
    <w:rsid w:val="00B660B2"/>
    <w:rsid w:val="00B6611A"/>
    <w:rsid w:val="00B6647A"/>
    <w:rsid w:val="00B66870"/>
    <w:rsid w:val="00B66A27"/>
    <w:rsid w:val="00B66EB9"/>
    <w:rsid w:val="00B66EBF"/>
    <w:rsid w:val="00B66FD3"/>
    <w:rsid w:val="00B67148"/>
    <w:rsid w:val="00B67443"/>
    <w:rsid w:val="00B67534"/>
    <w:rsid w:val="00B67B29"/>
    <w:rsid w:val="00B67C3B"/>
    <w:rsid w:val="00B67FAF"/>
    <w:rsid w:val="00B7030B"/>
    <w:rsid w:val="00B70757"/>
    <w:rsid w:val="00B70977"/>
    <w:rsid w:val="00B71583"/>
    <w:rsid w:val="00B7178E"/>
    <w:rsid w:val="00B717FF"/>
    <w:rsid w:val="00B71986"/>
    <w:rsid w:val="00B71A1D"/>
    <w:rsid w:val="00B71F2C"/>
    <w:rsid w:val="00B71F88"/>
    <w:rsid w:val="00B72126"/>
    <w:rsid w:val="00B72352"/>
    <w:rsid w:val="00B72755"/>
    <w:rsid w:val="00B72CE0"/>
    <w:rsid w:val="00B72ECC"/>
    <w:rsid w:val="00B72F32"/>
    <w:rsid w:val="00B734ED"/>
    <w:rsid w:val="00B73530"/>
    <w:rsid w:val="00B735C4"/>
    <w:rsid w:val="00B7385B"/>
    <w:rsid w:val="00B73887"/>
    <w:rsid w:val="00B738EB"/>
    <w:rsid w:val="00B73BC5"/>
    <w:rsid w:val="00B73C6D"/>
    <w:rsid w:val="00B740B7"/>
    <w:rsid w:val="00B7438C"/>
    <w:rsid w:val="00B74537"/>
    <w:rsid w:val="00B747AB"/>
    <w:rsid w:val="00B74C16"/>
    <w:rsid w:val="00B74E7A"/>
    <w:rsid w:val="00B750D2"/>
    <w:rsid w:val="00B75886"/>
    <w:rsid w:val="00B7594B"/>
    <w:rsid w:val="00B759DF"/>
    <w:rsid w:val="00B75AA8"/>
    <w:rsid w:val="00B75BDF"/>
    <w:rsid w:val="00B75C34"/>
    <w:rsid w:val="00B75E6F"/>
    <w:rsid w:val="00B76364"/>
    <w:rsid w:val="00B7660C"/>
    <w:rsid w:val="00B76795"/>
    <w:rsid w:val="00B76E32"/>
    <w:rsid w:val="00B76FDB"/>
    <w:rsid w:val="00B76FEE"/>
    <w:rsid w:val="00B7767F"/>
    <w:rsid w:val="00B776AF"/>
    <w:rsid w:val="00B77737"/>
    <w:rsid w:val="00B8016C"/>
    <w:rsid w:val="00B80533"/>
    <w:rsid w:val="00B8091A"/>
    <w:rsid w:val="00B80B34"/>
    <w:rsid w:val="00B80F6F"/>
    <w:rsid w:val="00B8129B"/>
    <w:rsid w:val="00B81644"/>
    <w:rsid w:val="00B818A7"/>
    <w:rsid w:val="00B819C9"/>
    <w:rsid w:val="00B81AE8"/>
    <w:rsid w:val="00B81ED8"/>
    <w:rsid w:val="00B8222A"/>
    <w:rsid w:val="00B826D5"/>
    <w:rsid w:val="00B82769"/>
    <w:rsid w:val="00B82A3D"/>
    <w:rsid w:val="00B82A44"/>
    <w:rsid w:val="00B82DFA"/>
    <w:rsid w:val="00B830B7"/>
    <w:rsid w:val="00B83359"/>
    <w:rsid w:val="00B836A7"/>
    <w:rsid w:val="00B836B9"/>
    <w:rsid w:val="00B836DB"/>
    <w:rsid w:val="00B8374B"/>
    <w:rsid w:val="00B8378D"/>
    <w:rsid w:val="00B83B8D"/>
    <w:rsid w:val="00B83C5B"/>
    <w:rsid w:val="00B83FC1"/>
    <w:rsid w:val="00B842CF"/>
    <w:rsid w:val="00B8469D"/>
    <w:rsid w:val="00B849B2"/>
    <w:rsid w:val="00B84B1A"/>
    <w:rsid w:val="00B84C15"/>
    <w:rsid w:val="00B84D5E"/>
    <w:rsid w:val="00B8507A"/>
    <w:rsid w:val="00B850B5"/>
    <w:rsid w:val="00B8522C"/>
    <w:rsid w:val="00B852AD"/>
    <w:rsid w:val="00B85553"/>
    <w:rsid w:val="00B85879"/>
    <w:rsid w:val="00B85A6F"/>
    <w:rsid w:val="00B85D76"/>
    <w:rsid w:val="00B85E0B"/>
    <w:rsid w:val="00B861A1"/>
    <w:rsid w:val="00B86798"/>
    <w:rsid w:val="00B867C0"/>
    <w:rsid w:val="00B868B1"/>
    <w:rsid w:val="00B869AB"/>
    <w:rsid w:val="00B869FA"/>
    <w:rsid w:val="00B86A70"/>
    <w:rsid w:val="00B86AE0"/>
    <w:rsid w:val="00B86CDF"/>
    <w:rsid w:val="00B87268"/>
    <w:rsid w:val="00B879D8"/>
    <w:rsid w:val="00B87BD1"/>
    <w:rsid w:val="00B87DDA"/>
    <w:rsid w:val="00B90000"/>
    <w:rsid w:val="00B902BD"/>
    <w:rsid w:val="00B90605"/>
    <w:rsid w:val="00B908D3"/>
    <w:rsid w:val="00B90B0C"/>
    <w:rsid w:val="00B9110D"/>
    <w:rsid w:val="00B912B3"/>
    <w:rsid w:val="00B91791"/>
    <w:rsid w:val="00B91F3C"/>
    <w:rsid w:val="00B92022"/>
    <w:rsid w:val="00B92165"/>
    <w:rsid w:val="00B922A3"/>
    <w:rsid w:val="00B92500"/>
    <w:rsid w:val="00B92907"/>
    <w:rsid w:val="00B92C79"/>
    <w:rsid w:val="00B92CE7"/>
    <w:rsid w:val="00B9322A"/>
    <w:rsid w:val="00B93261"/>
    <w:rsid w:val="00B93342"/>
    <w:rsid w:val="00B93550"/>
    <w:rsid w:val="00B93551"/>
    <w:rsid w:val="00B93558"/>
    <w:rsid w:val="00B93B7F"/>
    <w:rsid w:val="00B94863"/>
    <w:rsid w:val="00B9489B"/>
    <w:rsid w:val="00B95181"/>
    <w:rsid w:val="00B95F62"/>
    <w:rsid w:val="00B9636B"/>
    <w:rsid w:val="00B9647E"/>
    <w:rsid w:val="00B96801"/>
    <w:rsid w:val="00B96B5D"/>
    <w:rsid w:val="00B96B9D"/>
    <w:rsid w:val="00B96D27"/>
    <w:rsid w:val="00B96EFD"/>
    <w:rsid w:val="00B96F62"/>
    <w:rsid w:val="00B970D3"/>
    <w:rsid w:val="00B97212"/>
    <w:rsid w:val="00B97258"/>
    <w:rsid w:val="00B973AD"/>
    <w:rsid w:val="00B97784"/>
    <w:rsid w:val="00B977E9"/>
    <w:rsid w:val="00B979BE"/>
    <w:rsid w:val="00B97B43"/>
    <w:rsid w:val="00B97C94"/>
    <w:rsid w:val="00B97F8C"/>
    <w:rsid w:val="00B97FDA"/>
    <w:rsid w:val="00BA01F3"/>
    <w:rsid w:val="00BA039A"/>
    <w:rsid w:val="00BA03E1"/>
    <w:rsid w:val="00BA04AF"/>
    <w:rsid w:val="00BA0844"/>
    <w:rsid w:val="00BA08FD"/>
    <w:rsid w:val="00BA0995"/>
    <w:rsid w:val="00BA120D"/>
    <w:rsid w:val="00BA123D"/>
    <w:rsid w:val="00BA1342"/>
    <w:rsid w:val="00BA15BF"/>
    <w:rsid w:val="00BA1D64"/>
    <w:rsid w:val="00BA1DCC"/>
    <w:rsid w:val="00BA2084"/>
    <w:rsid w:val="00BA2245"/>
    <w:rsid w:val="00BA2504"/>
    <w:rsid w:val="00BA2611"/>
    <w:rsid w:val="00BA27B0"/>
    <w:rsid w:val="00BA2BBF"/>
    <w:rsid w:val="00BA2BE4"/>
    <w:rsid w:val="00BA2D16"/>
    <w:rsid w:val="00BA3053"/>
    <w:rsid w:val="00BA33C3"/>
    <w:rsid w:val="00BA34C4"/>
    <w:rsid w:val="00BA3612"/>
    <w:rsid w:val="00BA3734"/>
    <w:rsid w:val="00BA375A"/>
    <w:rsid w:val="00BA3935"/>
    <w:rsid w:val="00BA3C98"/>
    <w:rsid w:val="00BA3E03"/>
    <w:rsid w:val="00BA3EA8"/>
    <w:rsid w:val="00BA3EC3"/>
    <w:rsid w:val="00BA3F3A"/>
    <w:rsid w:val="00BA401F"/>
    <w:rsid w:val="00BA4256"/>
    <w:rsid w:val="00BA43B4"/>
    <w:rsid w:val="00BA454C"/>
    <w:rsid w:val="00BA4583"/>
    <w:rsid w:val="00BA46F3"/>
    <w:rsid w:val="00BA4C9B"/>
    <w:rsid w:val="00BA4EA8"/>
    <w:rsid w:val="00BA5051"/>
    <w:rsid w:val="00BA5512"/>
    <w:rsid w:val="00BA60B7"/>
    <w:rsid w:val="00BA614F"/>
    <w:rsid w:val="00BA6278"/>
    <w:rsid w:val="00BA62F9"/>
    <w:rsid w:val="00BA62FA"/>
    <w:rsid w:val="00BA6377"/>
    <w:rsid w:val="00BA6707"/>
    <w:rsid w:val="00BA681A"/>
    <w:rsid w:val="00BA69F0"/>
    <w:rsid w:val="00BA6B41"/>
    <w:rsid w:val="00BA6DCC"/>
    <w:rsid w:val="00BA726D"/>
    <w:rsid w:val="00BA73F9"/>
    <w:rsid w:val="00BA78CE"/>
    <w:rsid w:val="00BA7942"/>
    <w:rsid w:val="00BA7F9E"/>
    <w:rsid w:val="00BB0CD4"/>
    <w:rsid w:val="00BB108B"/>
    <w:rsid w:val="00BB1589"/>
    <w:rsid w:val="00BB1789"/>
    <w:rsid w:val="00BB190D"/>
    <w:rsid w:val="00BB1937"/>
    <w:rsid w:val="00BB1DC8"/>
    <w:rsid w:val="00BB1EE0"/>
    <w:rsid w:val="00BB220B"/>
    <w:rsid w:val="00BB2845"/>
    <w:rsid w:val="00BB2AA0"/>
    <w:rsid w:val="00BB2EBC"/>
    <w:rsid w:val="00BB307B"/>
    <w:rsid w:val="00BB332F"/>
    <w:rsid w:val="00BB33BC"/>
    <w:rsid w:val="00BB35C7"/>
    <w:rsid w:val="00BB37B5"/>
    <w:rsid w:val="00BB3BC2"/>
    <w:rsid w:val="00BB3D4F"/>
    <w:rsid w:val="00BB3E54"/>
    <w:rsid w:val="00BB3EE9"/>
    <w:rsid w:val="00BB3F92"/>
    <w:rsid w:val="00BB40C0"/>
    <w:rsid w:val="00BB4733"/>
    <w:rsid w:val="00BB484B"/>
    <w:rsid w:val="00BB48D1"/>
    <w:rsid w:val="00BB4B53"/>
    <w:rsid w:val="00BB4BDB"/>
    <w:rsid w:val="00BB4BFA"/>
    <w:rsid w:val="00BB4FE3"/>
    <w:rsid w:val="00BB50A5"/>
    <w:rsid w:val="00BB5103"/>
    <w:rsid w:val="00BB51B6"/>
    <w:rsid w:val="00BB526C"/>
    <w:rsid w:val="00BB53F9"/>
    <w:rsid w:val="00BB55E5"/>
    <w:rsid w:val="00BB56EB"/>
    <w:rsid w:val="00BB5915"/>
    <w:rsid w:val="00BB59E1"/>
    <w:rsid w:val="00BB5A7D"/>
    <w:rsid w:val="00BB5C2F"/>
    <w:rsid w:val="00BB5D8A"/>
    <w:rsid w:val="00BB5EFF"/>
    <w:rsid w:val="00BB60FA"/>
    <w:rsid w:val="00BB6178"/>
    <w:rsid w:val="00BB63B8"/>
    <w:rsid w:val="00BB6576"/>
    <w:rsid w:val="00BB696E"/>
    <w:rsid w:val="00BB6B78"/>
    <w:rsid w:val="00BB7126"/>
    <w:rsid w:val="00BB7145"/>
    <w:rsid w:val="00BB751E"/>
    <w:rsid w:val="00BB781B"/>
    <w:rsid w:val="00BB7AEB"/>
    <w:rsid w:val="00BB7CA0"/>
    <w:rsid w:val="00BC0A6A"/>
    <w:rsid w:val="00BC0A90"/>
    <w:rsid w:val="00BC0EF2"/>
    <w:rsid w:val="00BC1252"/>
    <w:rsid w:val="00BC1507"/>
    <w:rsid w:val="00BC19A7"/>
    <w:rsid w:val="00BC1C14"/>
    <w:rsid w:val="00BC1F0D"/>
    <w:rsid w:val="00BC2189"/>
    <w:rsid w:val="00BC272A"/>
    <w:rsid w:val="00BC2AEE"/>
    <w:rsid w:val="00BC2B05"/>
    <w:rsid w:val="00BC2C7F"/>
    <w:rsid w:val="00BC2D7D"/>
    <w:rsid w:val="00BC2F64"/>
    <w:rsid w:val="00BC3345"/>
    <w:rsid w:val="00BC33CE"/>
    <w:rsid w:val="00BC38BF"/>
    <w:rsid w:val="00BC452A"/>
    <w:rsid w:val="00BC45A2"/>
    <w:rsid w:val="00BC46A7"/>
    <w:rsid w:val="00BC47E9"/>
    <w:rsid w:val="00BC4B29"/>
    <w:rsid w:val="00BC4DF7"/>
    <w:rsid w:val="00BC4E7E"/>
    <w:rsid w:val="00BC5451"/>
    <w:rsid w:val="00BC5FAD"/>
    <w:rsid w:val="00BC624A"/>
    <w:rsid w:val="00BC638D"/>
    <w:rsid w:val="00BC6508"/>
    <w:rsid w:val="00BC668B"/>
    <w:rsid w:val="00BC6742"/>
    <w:rsid w:val="00BC6744"/>
    <w:rsid w:val="00BC6966"/>
    <w:rsid w:val="00BC69FE"/>
    <w:rsid w:val="00BC6E28"/>
    <w:rsid w:val="00BC753C"/>
    <w:rsid w:val="00BC77D4"/>
    <w:rsid w:val="00BC7850"/>
    <w:rsid w:val="00BC7A3F"/>
    <w:rsid w:val="00BC7E85"/>
    <w:rsid w:val="00BD0177"/>
    <w:rsid w:val="00BD0437"/>
    <w:rsid w:val="00BD0808"/>
    <w:rsid w:val="00BD0AFD"/>
    <w:rsid w:val="00BD0BEE"/>
    <w:rsid w:val="00BD0CF9"/>
    <w:rsid w:val="00BD0D38"/>
    <w:rsid w:val="00BD0D87"/>
    <w:rsid w:val="00BD0F34"/>
    <w:rsid w:val="00BD11A2"/>
    <w:rsid w:val="00BD1214"/>
    <w:rsid w:val="00BD17AF"/>
    <w:rsid w:val="00BD1C1E"/>
    <w:rsid w:val="00BD1DD3"/>
    <w:rsid w:val="00BD1F1B"/>
    <w:rsid w:val="00BD2564"/>
    <w:rsid w:val="00BD27DA"/>
    <w:rsid w:val="00BD27F4"/>
    <w:rsid w:val="00BD297F"/>
    <w:rsid w:val="00BD2FA7"/>
    <w:rsid w:val="00BD3AF5"/>
    <w:rsid w:val="00BD3DA2"/>
    <w:rsid w:val="00BD3DB4"/>
    <w:rsid w:val="00BD40CF"/>
    <w:rsid w:val="00BD4358"/>
    <w:rsid w:val="00BD4519"/>
    <w:rsid w:val="00BD480D"/>
    <w:rsid w:val="00BD49BB"/>
    <w:rsid w:val="00BD4B51"/>
    <w:rsid w:val="00BD5210"/>
    <w:rsid w:val="00BD5252"/>
    <w:rsid w:val="00BD55D5"/>
    <w:rsid w:val="00BD55EA"/>
    <w:rsid w:val="00BD5F36"/>
    <w:rsid w:val="00BD61D9"/>
    <w:rsid w:val="00BD6266"/>
    <w:rsid w:val="00BD63EB"/>
    <w:rsid w:val="00BD6490"/>
    <w:rsid w:val="00BD680A"/>
    <w:rsid w:val="00BD6D69"/>
    <w:rsid w:val="00BD6FEC"/>
    <w:rsid w:val="00BD743F"/>
    <w:rsid w:val="00BD76B4"/>
    <w:rsid w:val="00BD78A3"/>
    <w:rsid w:val="00BD7B71"/>
    <w:rsid w:val="00BD7B83"/>
    <w:rsid w:val="00BD7CFE"/>
    <w:rsid w:val="00BD7E4F"/>
    <w:rsid w:val="00BE02A4"/>
    <w:rsid w:val="00BE02EC"/>
    <w:rsid w:val="00BE0449"/>
    <w:rsid w:val="00BE0581"/>
    <w:rsid w:val="00BE0809"/>
    <w:rsid w:val="00BE0EF1"/>
    <w:rsid w:val="00BE12BD"/>
    <w:rsid w:val="00BE1499"/>
    <w:rsid w:val="00BE18DE"/>
    <w:rsid w:val="00BE1914"/>
    <w:rsid w:val="00BE1C5F"/>
    <w:rsid w:val="00BE22A9"/>
    <w:rsid w:val="00BE2397"/>
    <w:rsid w:val="00BE262B"/>
    <w:rsid w:val="00BE26D2"/>
    <w:rsid w:val="00BE2B71"/>
    <w:rsid w:val="00BE2BC1"/>
    <w:rsid w:val="00BE2DE3"/>
    <w:rsid w:val="00BE2F16"/>
    <w:rsid w:val="00BE2F59"/>
    <w:rsid w:val="00BE3347"/>
    <w:rsid w:val="00BE3C28"/>
    <w:rsid w:val="00BE3F0F"/>
    <w:rsid w:val="00BE4057"/>
    <w:rsid w:val="00BE4223"/>
    <w:rsid w:val="00BE501A"/>
    <w:rsid w:val="00BE540C"/>
    <w:rsid w:val="00BE56B1"/>
    <w:rsid w:val="00BE5A4A"/>
    <w:rsid w:val="00BE5A94"/>
    <w:rsid w:val="00BE5B9A"/>
    <w:rsid w:val="00BE5D44"/>
    <w:rsid w:val="00BE5F1E"/>
    <w:rsid w:val="00BE62C7"/>
    <w:rsid w:val="00BE639D"/>
    <w:rsid w:val="00BE6AE4"/>
    <w:rsid w:val="00BE6BEB"/>
    <w:rsid w:val="00BE6C37"/>
    <w:rsid w:val="00BE6D71"/>
    <w:rsid w:val="00BE6E31"/>
    <w:rsid w:val="00BE6F8B"/>
    <w:rsid w:val="00BE7253"/>
    <w:rsid w:val="00BE7580"/>
    <w:rsid w:val="00BE7733"/>
    <w:rsid w:val="00BE774F"/>
    <w:rsid w:val="00BE7929"/>
    <w:rsid w:val="00BE7978"/>
    <w:rsid w:val="00BE7BD0"/>
    <w:rsid w:val="00BE7FA7"/>
    <w:rsid w:val="00BF02C8"/>
    <w:rsid w:val="00BF03C6"/>
    <w:rsid w:val="00BF0607"/>
    <w:rsid w:val="00BF0654"/>
    <w:rsid w:val="00BF0788"/>
    <w:rsid w:val="00BF082F"/>
    <w:rsid w:val="00BF090A"/>
    <w:rsid w:val="00BF0A56"/>
    <w:rsid w:val="00BF0B83"/>
    <w:rsid w:val="00BF0F46"/>
    <w:rsid w:val="00BF0F50"/>
    <w:rsid w:val="00BF112A"/>
    <w:rsid w:val="00BF131A"/>
    <w:rsid w:val="00BF1504"/>
    <w:rsid w:val="00BF1611"/>
    <w:rsid w:val="00BF1758"/>
    <w:rsid w:val="00BF1BFE"/>
    <w:rsid w:val="00BF1CD1"/>
    <w:rsid w:val="00BF1D1A"/>
    <w:rsid w:val="00BF303A"/>
    <w:rsid w:val="00BF3266"/>
    <w:rsid w:val="00BF3983"/>
    <w:rsid w:val="00BF3A93"/>
    <w:rsid w:val="00BF407D"/>
    <w:rsid w:val="00BF43E0"/>
    <w:rsid w:val="00BF4E12"/>
    <w:rsid w:val="00BF50C3"/>
    <w:rsid w:val="00BF510E"/>
    <w:rsid w:val="00BF5216"/>
    <w:rsid w:val="00BF52A1"/>
    <w:rsid w:val="00BF5489"/>
    <w:rsid w:val="00BF550E"/>
    <w:rsid w:val="00BF56B2"/>
    <w:rsid w:val="00BF590D"/>
    <w:rsid w:val="00BF5B4F"/>
    <w:rsid w:val="00BF5EEA"/>
    <w:rsid w:val="00BF5F9B"/>
    <w:rsid w:val="00BF649D"/>
    <w:rsid w:val="00BF65A5"/>
    <w:rsid w:val="00BF65C3"/>
    <w:rsid w:val="00BF66B4"/>
    <w:rsid w:val="00BF6B5B"/>
    <w:rsid w:val="00BF6D31"/>
    <w:rsid w:val="00BF6F6F"/>
    <w:rsid w:val="00BF6FAC"/>
    <w:rsid w:val="00BF743B"/>
    <w:rsid w:val="00BF74B6"/>
    <w:rsid w:val="00BF759D"/>
    <w:rsid w:val="00BF7B98"/>
    <w:rsid w:val="00BF7BB6"/>
    <w:rsid w:val="00C000CD"/>
    <w:rsid w:val="00C0018E"/>
    <w:rsid w:val="00C002B8"/>
    <w:rsid w:val="00C00531"/>
    <w:rsid w:val="00C00834"/>
    <w:rsid w:val="00C009B5"/>
    <w:rsid w:val="00C00C53"/>
    <w:rsid w:val="00C010A8"/>
    <w:rsid w:val="00C01A24"/>
    <w:rsid w:val="00C01A7D"/>
    <w:rsid w:val="00C01C47"/>
    <w:rsid w:val="00C02056"/>
    <w:rsid w:val="00C021A2"/>
    <w:rsid w:val="00C0271F"/>
    <w:rsid w:val="00C02A27"/>
    <w:rsid w:val="00C030FF"/>
    <w:rsid w:val="00C0317C"/>
    <w:rsid w:val="00C032DE"/>
    <w:rsid w:val="00C032DF"/>
    <w:rsid w:val="00C0372C"/>
    <w:rsid w:val="00C038D4"/>
    <w:rsid w:val="00C03AF1"/>
    <w:rsid w:val="00C03B8D"/>
    <w:rsid w:val="00C03C0A"/>
    <w:rsid w:val="00C03DCF"/>
    <w:rsid w:val="00C03DE3"/>
    <w:rsid w:val="00C03ECA"/>
    <w:rsid w:val="00C03EF5"/>
    <w:rsid w:val="00C0417A"/>
    <w:rsid w:val="00C041B2"/>
    <w:rsid w:val="00C04458"/>
    <w:rsid w:val="00C04487"/>
    <w:rsid w:val="00C04529"/>
    <w:rsid w:val="00C047CE"/>
    <w:rsid w:val="00C04B40"/>
    <w:rsid w:val="00C04DA3"/>
    <w:rsid w:val="00C05559"/>
    <w:rsid w:val="00C05C01"/>
    <w:rsid w:val="00C05C9E"/>
    <w:rsid w:val="00C05D46"/>
    <w:rsid w:val="00C05F4C"/>
    <w:rsid w:val="00C062AF"/>
    <w:rsid w:val="00C063E0"/>
    <w:rsid w:val="00C0669D"/>
    <w:rsid w:val="00C067DF"/>
    <w:rsid w:val="00C06B93"/>
    <w:rsid w:val="00C06C9F"/>
    <w:rsid w:val="00C06F97"/>
    <w:rsid w:val="00C0761C"/>
    <w:rsid w:val="00C0796A"/>
    <w:rsid w:val="00C07A5E"/>
    <w:rsid w:val="00C07E6B"/>
    <w:rsid w:val="00C100B3"/>
    <w:rsid w:val="00C104AF"/>
    <w:rsid w:val="00C1060B"/>
    <w:rsid w:val="00C10926"/>
    <w:rsid w:val="00C10A63"/>
    <w:rsid w:val="00C10E7A"/>
    <w:rsid w:val="00C10F0D"/>
    <w:rsid w:val="00C110C5"/>
    <w:rsid w:val="00C113A0"/>
    <w:rsid w:val="00C1156B"/>
    <w:rsid w:val="00C115B4"/>
    <w:rsid w:val="00C11987"/>
    <w:rsid w:val="00C11B3B"/>
    <w:rsid w:val="00C11BC1"/>
    <w:rsid w:val="00C11D1B"/>
    <w:rsid w:val="00C11D48"/>
    <w:rsid w:val="00C11D74"/>
    <w:rsid w:val="00C11F04"/>
    <w:rsid w:val="00C11FC2"/>
    <w:rsid w:val="00C124CC"/>
    <w:rsid w:val="00C124E1"/>
    <w:rsid w:val="00C126BA"/>
    <w:rsid w:val="00C127C0"/>
    <w:rsid w:val="00C12AB5"/>
    <w:rsid w:val="00C12B1B"/>
    <w:rsid w:val="00C12C43"/>
    <w:rsid w:val="00C12EED"/>
    <w:rsid w:val="00C12F61"/>
    <w:rsid w:val="00C12F88"/>
    <w:rsid w:val="00C1310A"/>
    <w:rsid w:val="00C134E8"/>
    <w:rsid w:val="00C13D10"/>
    <w:rsid w:val="00C13D72"/>
    <w:rsid w:val="00C13E60"/>
    <w:rsid w:val="00C1412F"/>
    <w:rsid w:val="00C144F0"/>
    <w:rsid w:val="00C14558"/>
    <w:rsid w:val="00C14ACA"/>
    <w:rsid w:val="00C14C67"/>
    <w:rsid w:val="00C14E1C"/>
    <w:rsid w:val="00C14E99"/>
    <w:rsid w:val="00C14F98"/>
    <w:rsid w:val="00C15041"/>
    <w:rsid w:val="00C15076"/>
    <w:rsid w:val="00C15185"/>
    <w:rsid w:val="00C153B5"/>
    <w:rsid w:val="00C1569E"/>
    <w:rsid w:val="00C15A76"/>
    <w:rsid w:val="00C15AA9"/>
    <w:rsid w:val="00C15ECC"/>
    <w:rsid w:val="00C15F22"/>
    <w:rsid w:val="00C1614C"/>
    <w:rsid w:val="00C1633D"/>
    <w:rsid w:val="00C166EC"/>
    <w:rsid w:val="00C16816"/>
    <w:rsid w:val="00C17202"/>
    <w:rsid w:val="00C17212"/>
    <w:rsid w:val="00C1732D"/>
    <w:rsid w:val="00C17462"/>
    <w:rsid w:val="00C17554"/>
    <w:rsid w:val="00C1789C"/>
    <w:rsid w:val="00C178E2"/>
    <w:rsid w:val="00C17D01"/>
    <w:rsid w:val="00C203A0"/>
    <w:rsid w:val="00C203A4"/>
    <w:rsid w:val="00C204C7"/>
    <w:rsid w:val="00C206E7"/>
    <w:rsid w:val="00C2097F"/>
    <w:rsid w:val="00C20CA2"/>
    <w:rsid w:val="00C20CC7"/>
    <w:rsid w:val="00C20D7E"/>
    <w:rsid w:val="00C20DEE"/>
    <w:rsid w:val="00C20DF8"/>
    <w:rsid w:val="00C21090"/>
    <w:rsid w:val="00C2122C"/>
    <w:rsid w:val="00C213C0"/>
    <w:rsid w:val="00C21573"/>
    <w:rsid w:val="00C21962"/>
    <w:rsid w:val="00C21D0A"/>
    <w:rsid w:val="00C21F6B"/>
    <w:rsid w:val="00C220A1"/>
    <w:rsid w:val="00C2219B"/>
    <w:rsid w:val="00C2236F"/>
    <w:rsid w:val="00C22399"/>
    <w:rsid w:val="00C228E9"/>
    <w:rsid w:val="00C22AB8"/>
    <w:rsid w:val="00C22B53"/>
    <w:rsid w:val="00C22BBE"/>
    <w:rsid w:val="00C22E5F"/>
    <w:rsid w:val="00C23167"/>
    <w:rsid w:val="00C232AB"/>
    <w:rsid w:val="00C23496"/>
    <w:rsid w:val="00C237DB"/>
    <w:rsid w:val="00C23B46"/>
    <w:rsid w:val="00C23BDC"/>
    <w:rsid w:val="00C23C32"/>
    <w:rsid w:val="00C23D91"/>
    <w:rsid w:val="00C23D93"/>
    <w:rsid w:val="00C23F01"/>
    <w:rsid w:val="00C23F59"/>
    <w:rsid w:val="00C240D5"/>
    <w:rsid w:val="00C24507"/>
    <w:rsid w:val="00C24A2F"/>
    <w:rsid w:val="00C24ACB"/>
    <w:rsid w:val="00C24C68"/>
    <w:rsid w:val="00C24D65"/>
    <w:rsid w:val="00C24DC1"/>
    <w:rsid w:val="00C25222"/>
    <w:rsid w:val="00C2539E"/>
    <w:rsid w:val="00C25440"/>
    <w:rsid w:val="00C25510"/>
    <w:rsid w:val="00C255E4"/>
    <w:rsid w:val="00C258CB"/>
    <w:rsid w:val="00C25B21"/>
    <w:rsid w:val="00C25D35"/>
    <w:rsid w:val="00C25E53"/>
    <w:rsid w:val="00C25E6D"/>
    <w:rsid w:val="00C25F48"/>
    <w:rsid w:val="00C26309"/>
    <w:rsid w:val="00C26422"/>
    <w:rsid w:val="00C26670"/>
    <w:rsid w:val="00C26711"/>
    <w:rsid w:val="00C2691E"/>
    <w:rsid w:val="00C269FF"/>
    <w:rsid w:val="00C26BAC"/>
    <w:rsid w:val="00C26E06"/>
    <w:rsid w:val="00C26F90"/>
    <w:rsid w:val="00C271AC"/>
    <w:rsid w:val="00C273F7"/>
    <w:rsid w:val="00C276C1"/>
    <w:rsid w:val="00C27A2C"/>
    <w:rsid w:val="00C27A47"/>
    <w:rsid w:val="00C27AF5"/>
    <w:rsid w:val="00C27E90"/>
    <w:rsid w:val="00C3052A"/>
    <w:rsid w:val="00C305E9"/>
    <w:rsid w:val="00C30608"/>
    <w:rsid w:val="00C3092C"/>
    <w:rsid w:val="00C30B82"/>
    <w:rsid w:val="00C310E0"/>
    <w:rsid w:val="00C31107"/>
    <w:rsid w:val="00C311E9"/>
    <w:rsid w:val="00C3139F"/>
    <w:rsid w:val="00C31543"/>
    <w:rsid w:val="00C315BE"/>
    <w:rsid w:val="00C31B2D"/>
    <w:rsid w:val="00C31B4B"/>
    <w:rsid w:val="00C31B8E"/>
    <w:rsid w:val="00C31C6C"/>
    <w:rsid w:val="00C31CD8"/>
    <w:rsid w:val="00C326B8"/>
    <w:rsid w:val="00C32CE3"/>
    <w:rsid w:val="00C3339F"/>
    <w:rsid w:val="00C33A87"/>
    <w:rsid w:val="00C33D4B"/>
    <w:rsid w:val="00C33E72"/>
    <w:rsid w:val="00C33F3A"/>
    <w:rsid w:val="00C33F53"/>
    <w:rsid w:val="00C340AA"/>
    <w:rsid w:val="00C3420E"/>
    <w:rsid w:val="00C344E9"/>
    <w:rsid w:val="00C346BE"/>
    <w:rsid w:val="00C3472C"/>
    <w:rsid w:val="00C34B81"/>
    <w:rsid w:val="00C34CB1"/>
    <w:rsid w:val="00C35188"/>
    <w:rsid w:val="00C35494"/>
    <w:rsid w:val="00C35517"/>
    <w:rsid w:val="00C35534"/>
    <w:rsid w:val="00C35696"/>
    <w:rsid w:val="00C356AD"/>
    <w:rsid w:val="00C356B3"/>
    <w:rsid w:val="00C35973"/>
    <w:rsid w:val="00C35A94"/>
    <w:rsid w:val="00C35B40"/>
    <w:rsid w:val="00C35F24"/>
    <w:rsid w:val="00C362F6"/>
    <w:rsid w:val="00C36B8C"/>
    <w:rsid w:val="00C37DE0"/>
    <w:rsid w:val="00C37ED0"/>
    <w:rsid w:val="00C37F15"/>
    <w:rsid w:val="00C402B8"/>
    <w:rsid w:val="00C406A5"/>
    <w:rsid w:val="00C406A6"/>
    <w:rsid w:val="00C408EF"/>
    <w:rsid w:val="00C409E9"/>
    <w:rsid w:val="00C40A75"/>
    <w:rsid w:val="00C40AEA"/>
    <w:rsid w:val="00C40C94"/>
    <w:rsid w:val="00C41183"/>
    <w:rsid w:val="00C4139C"/>
    <w:rsid w:val="00C4148A"/>
    <w:rsid w:val="00C4164B"/>
    <w:rsid w:val="00C4169D"/>
    <w:rsid w:val="00C41D2A"/>
    <w:rsid w:val="00C4227B"/>
    <w:rsid w:val="00C422E8"/>
    <w:rsid w:val="00C42523"/>
    <w:rsid w:val="00C4261B"/>
    <w:rsid w:val="00C4272D"/>
    <w:rsid w:val="00C42A17"/>
    <w:rsid w:val="00C42A30"/>
    <w:rsid w:val="00C42CFA"/>
    <w:rsid w:val="00C42E0F"/>
    <w:rsid w:val="00C430CE"/>
    <w:rsid w:val="00C431CB"/>
    <w:rsid w:val="00C4349A"/>
    <w:rsid w:val="00C434F9"/>
    <w:rsid w:val="00C435BD"/>
    <w:rsid w:val="00C435F8"/>
    <w:rsid w:val="00C43760"/>
    <w:rsid w:val="00C43BBB"/>
    <w:rsid w:val="00C44726"/>
    <w:rsid w:val="00C4479A"/>
    <w:rsid w:val="00C447AB"/>
    <w:rsid w:val="00C44ACE"/>
    <w:rsid w:val="00C44D18"/>
    <w:rsid w:val="00C450C5"/>
    <w:rsid w:val="00C45C22"/>
    <w:rsid w:val="00C45CB4"/>
    <w:rsid w:val="00C45F82"/>
    <w:rsid w:val="00C45FA8"/>
    <w:rsid w:val="00C46210"/>
    <w:rsid w:val="00C46337"/>
    <w:rsid w:val="00C463F5"/>
    <w:rsid w:val="00C466C0"/>
    <w:rsid w:val="00C46AAB"/>
    <w:rsid w:val="00C472C9"/>
    <w:rsid w:val="00C4750E"/>
    <w:rsid w:val="00C4782D"/>
    <w:rsid w:val="00C479A3"/>
    <w:rsid w:val="00C47A0D"/>
    <w:rsid w:val="00C47B58"/>
    <w:rsid w:val="00C47BA8"/>
    <w:rsid w:val="00C47BD8"/>
    <w:rsid w:val="00C47C9D"/>
    <w:rsid w:val="00C47DA5"/>
    <w:rsid w:val="00C50085"/>
    <w:rsid w:val="00C50143"/>
    <w:rsid w:val="00C50551"/>
    <w:rsid w:val="00C50774"/>
    <w:rsid w:val="00C50BDF"/>
    <w:rsid w:val="00C50C65"/>
    <w:rsid w:val="00C50C82"/>
    <w:rsid w:val="00C50E75"/>
    <w:rsid w:val="00C51049"/>
    <w:rsid w:val="00C5110F"/>
    <w:rsid w:val="00C5118F"/>
    <w:rsid w:val="00C51F52"/>
    <w:rsid w:val="00C5291C"/>
    <w:rsid w:val="00C529BA"/>
    <w:rsid w:val="00C53090"/>
    <w:rsid w:val="00C5314D"/>
    <w:rsid w:val="00C534A8"/>
    <w:rsid w:val="00C53500"/>
    <w:rsid w:val="00C537FB"/>
    <w:rsid w:val="00C53963"/>
    <w:rsid w:val="00C53C22"/>
    <w:rsid w:val="00C53DA5"/>
    <w:rsid w:val="00C54077"/>
    <w:rsid w:val="00C54187"/>
    <w:rsid w:val="00C54321"/>
    <w:rsid w:val="00C543DE"/>
    <w:rsid w:val="00C548DD"/>
    <w:rsid w:val="00C54AF5"/>
    <w:rsid w:val="00C5550A"/>
    <w:rsid w:val="00C55807"/>
    <w:rsid w:val="00C5586E"/>
    <w:rsid w:val="00C55C58"/>
    <w:rsid w:val="00C55C6A"/>
    <w:rsid w:val="00C55CF6"/>
    <w:rsid w:val="00C55D17"/>
    <w:rsid w:val="00C55E29"/>
    <w:rsid w:val="00C55FAC"/>
    <w:rsid w:val="00C5621C"/>
    <w:rsid w:val="00C563B9"/>
    <w:rsid w:val="00C565BE"/>
    <w:rsid w:val="00C566C3"/>
    <w:rsid w:val="00C569A0"/>
    <w:rsid w:val="00C56A69"/>
    <w:rsid w:val="00C56FF4"/>
    <w:rsid w:val="00C575CF"/>
    <w:rsid w:val="00C576A1"/>
    <w:rsid w:val="00C577AD"/>
    <w:rsid w:val="00C577DB"/>
    <w:rsid w:val="00C577F1"/>
    <w:rsid w:val="00C57AEA"/>
    <w:rsid w:val="00C57E09"/>
    <w:rsid w:val="00C57EBC"/>
    <w:rsid w:val="00C57F4D"/>
    <w:rsid w:val="00C602B1"/>
    <w:rsid w:val="00C60380"/>
    <w:rsid w:val="00C60608"/>
    <w:rsid w:val="00C60889"/>
    <w:rsid w:val="00C6098B"/>
    <w:rsid w:val="00C60B16"/>
    <w:rsid w:val="00C60BDB"/>
    <w:rsid w:val="00C60E11"/>
    <w:rsid w:val="00C612E4"/>
    <w:rsid w:val="00C613F0"/>
    <w:rsid w:val="00C616E9"/>
    <w:rsid w:val="00C61B8C"/>
    <w:rsid w:val="00C61D48"/>
    <w:rsid w:val="00C62238"/>
    <w:rsid w:val="00C623AA"/>
    <w:rsid w:val="00C623AC"/>
    <w:rsid w:val="00C625A9"/>
    <w:rsid w:val="00C626A0"/>
    <w:rsid w:val="00C626EC"/>
    <w:rsid w:val="00C62A23"/>
    <w:rsid w:val="00C62A9E"/>
    <w:rsid w:val="00C62B8F"/>
    <w:rsid w:val="00C62FB5"/>
    <w:rsid w:val="00C630E3"/>
    <w:rsid w:val="00C63322"/>
    <w:rsid w:val="00C63857"/>
    <w:rsid w:val="00C63A95"/>
    <w:rsid w:val="00C63EEC"/>
    <w:rsid w:val="00C6471C"/>
    <w:rsid w:val="00C647D8"/>
    <w:rsid w:val="00C6483C"/>
    <w:rsid w:val="00C649ED"/>
    <w:rsid w:val="00C64B44"/>
    <w:rsid w:val="00C64C34"/>
    <w:rsid w:val="00C64DC3"/>
    <w:rsid w:val="00C64ECC"/>
    <w:rsid w:val="00C64FE5"/>
    <w:rsid w:val="00C65518"/>
    <w:rsid w:val="00C65895"/>
    <w:rsid w:val="00C65957"/>
    <w:rsid w:val="00C65CBD"/>
    <w:rsid w:val="00C65D21"/>
    <w:rsid w:val="00C65D70"/>
    <w:rsid w:val="00C665C6"/>
    <w:rsid w:val="00C669B0"/>
    <w:rsid w:val="00C66A27"/>
    <w:rsid w:val="00C66AF8"/>
    <w:rsid w:val="00C66BFA"/>
    <w:rsid w:val="00C66FD6"/>
    <w:rsid w:val="00C672FB"/>
    <w:rsid w:val="00C675BB"/>
    <w:rsid w:val="00C67A2F"/>
    <w:rsid w:val="00C70020"/>
    <w:rsid w:val="00C700FA"/>
    <w:rsid w:val="00C70122"/>
    <w:rsid w:val="00C70533"/>
    <w:rsid w:val="00C70623"/>
    <w:rsid w:val="00C706D5"/>
    <w:rsid w:val="00C70B5B"/>
    <w:rsid w:val="00C70B75"/>
    <w:rsid w:val="00C70C38"/>
    <w:rsid w:val="00C70E9E"/>
    <w:rsid w:val="00C7111A"/>
    <w:rsid w:val="00C71456"/>
    <w:rsid w:val="00C71747"/>
    <w:rsid w:val="00C71C87"/>
    <w:rsid w:val="00C71CC8"/>
    <w:rsid w:val="00C71CF1"/>
    <w:rsid w:val="00C7236C"/>
    <w:rsid w:val="00C72565"/>
    <w:rsid w:val="00C731C7"/>
    <w:rsid w:val="00C731F4"/>
    <w:rsid w:val="00C73274"/>
    <w:rsid w:val="00C7360E"/>
    <w:rsid w:val="00C7376B"/>
    <w:rsid w:val="00C73AD6"/>
    <w:rsid w:val="00C73C39"/>
    <w:rsid w:val="00C73FBD"/>
    <w:rsid w:val="00C74038"/>
    <w:rsid w:val="00C74049"/>
    <w:rsid w:val="00C741C3"/>
    <w:rsid w:val="00C7423D"/>
    <w:rsid w:val="00C74348"/>
    <w:rsid w:val="00C743BC"/>
    <w:rsid w:val="00C7527C"/>
    <w:rsid w:val="00C75287"/>
    <w:rsid w:val="00C7554E"/>
    <w:rsid w:val="00C75751"/>
    <w:rsid w:val="00C75850"/>
    <w:rsid w:val="00C758C3"/>
    <w:rsid w:val="00C75CD0"/>
    <w:rsid w:val="00C75D5E"/>
    <w:rsid w:val="00C75FA6"/>
    <w:rsid w:val="00C7689A"/>
    <w:rsid w:val="00C76DB6"/>
    <w:rsid w:val="00C778A2"/>
    <w:rsid w:val="00C778E9"/>
    <w:rsid w:val="00C80525"/>
    <w:rsid w:val="00C8086A"/>
    <w:rsid w:val="00C80AEF"/>
    <w:rsid w:val="00C80C29"/>
    <w:rsid w:val="00C81057"/>
    <w:rsid w:val="00C81429"/>
    <w:rsid w:val="00C8148F"/>
    <w:rsid w:val="00C816D3"/>
    <w:rsid w:val="00C818C9"/>
    <w:rsid w:val="00C81978"/>
    <w:rsid w:val="00C81ABA"/>
    <w:rsid w:val="00C81D9D"/>
    <w:rsid w:val="00C82096"/>
    <w:rsid w:val="00C822E6"/>
    <w:rsid w:val="00C824A2"/>
    <w:rsid w:val="00C8296C"/>
    <w:rsid w:val="00C82E70"/>
    <w:rsid w:val="00C82F02"/>
    <w:rsid w:val="00C83193"/>
    <w:rsid w:val="00C8329C"/>
    <w:rsid w:val="00C8330D"/>
    <w:rsid w:val="00C83681"/>
    <w:rsid w:val="00C83899"/>
    <w:rsid w:val="00C83F73"/>
    <w:rsid w:val="00C83FAF"/>
    <w:rsid w:val="00C844AB"/>
    <w:rsid w:val="00C84CAC"/>
    <w:rsid w:val="00C84CE7"/>
    <w:rsid w:val="00C84F74"/>
    <w:rsid w:val="00C84FFA"/>
    <w:rsid w:val="00C85130"/>
    <w:rsid w:val="00C85694"/>
    <w:rsid w:val="00C85849"/>
    <w:rsid w:val="00C85DC6"/>
    <w:rsid w:val="00C85E0A"/>
    <w:rsid w:val="00C85E40"/>
    <w:rsid w:val="00C8601C"/>
    <w:rsid w:val="00C862DE"/>
    <w:rsid w:val="00C86517"/>
    <w:rsid w:val="00C86602"/>
    <w:rsid w:val="00C867A5"/>
    <w:rsid w:val="00C867EB"/>
    <w:rsid w:val="00C86A7C"/>
    <w:rsid w:val="00C86DAA"/>
    <w:rsid w:val="00C86F38"/>
    <w:rsid w:val="00C87669"/>
    <w:rsid w:val="00C87A53"/>
    <w:rsid w:val="00C87A68"/>
    <w:rsid w:val="00C87A74"/>
    <w:rsid w:val="00C87AF0"/>
    <w:rsid w:val="00C87B74"/>
    <w:rsid w:val="00C87BED"/>
    <w:rsid w:val="00C90375"/>
    <w:rsid w:val="00C905A7"/>
    <w:rsid w:val="00C90646"/>
    <w:rsid w:val="00C90802"/>
    <w:rsid w:val="00C90B38"/>
    <w:rsid w:val="00C90DB4"/>
    <w:rsid w:val="00C91313"/>
    <w:rsid w:val="00C91636"/>
    <w:rsid w:val="00C91AD1"/>
    <w:rsid w:val="00C91B88"/>
    <w:rsid w:val="00C91D35"/>
    <w:rsid w:val="00C9205E"/>
    <w:rsid w:val="00C92127"/>
    <w:rsid w:val="00C9228C"/>
    <w:rsid w:val="00C9230D"/>
    <w:rsid w:val="00C92699"/>
    <w:rsid w:val="00C92775"/>
    <w:rsid w:val="00C92995"/>
    <w:rsid w:val="00C92CCA"/>
    <w:rsid w:val="00C92CFF"/>
    <w:rsid w:val="00C930C3"/>
    <w:rsid w:val="00C93251"/>
    <w:rsid w:val="00C9330C"/>
    <w:rsid w:val="00C93460"/>
    <w:rsid w:val="00C9364C"/>
    <w:rsid w:val="00C9379C"/>
    <w:rsid w:val="00C93B70"/>
    <w:rsid w:val="00C940F7"/>
    <w:rsid w:val="00C94559"/>
    <w:rsid w:val="00C94564"/>
    <w:rsid w:val="00C945AB"/>
    <w:rsid w:val="00C947F4"/>
    <w:rsid w:val="00C94B48"/>
    <w:rsid w:val="00C94BFF"/>
    <w:rsid w:val="00C952F6"/>
    <w:rsid w:val="00C9575A"/>
    <w:rsid w:val="00C9597E"/>
    <w:rsid w:val="00C95A00"/>
    <w:rsid w:val="00C962B7"/>
    <w:rsid w:val="00C96622"/>
    <w:rsid w:val="00C967FE"/>
    <w:rsid w:val="00C96913"/>
    <w:rsid w:val="00C96916"/>
    <w:rsid w:val="00C96DB0"/>
    <w:rsid w:val="00C96DC4"/>
    <w:rsid w:val="00C97227"/>
    <w:rsid w:val="00C97A20"/>
    <w:rsid w:val="00C97D35"/>
    <w:rsid w:val="00C97D37"/>
    <w:rsid w:val="00CA026C"/>
    <w:rsid w:val="00CA0476"/>
    <w:rsid w:val="00CA06AD"/>
    <w:rsid w:val="00CA0D80"/>
    <w:rsid w:val="00CA1961"/>
    <w:rsid w:val="00CA1BEF"/>
    <w:rsid w:val="00CA1FA1"/>
    <w:rsid w:val="00CA2460"/>
    <w:rsid w:val="00CA26AA"/>
    <w:rsid w:val="00CA2767"/>
    <w:rsid w:val="00CA2B28"/>
    <w:rsid w:val="00CA2DB0"/>
    <w:rsid w:val="00CA2DFD"/>
    <w:rsid w:val="00CA32C5"/>
    <w:rsid w:val="00CA32DE"/>
    <w:rsid w:val="00CA3402"/>
    <w:rsid w:val="00CA3415"/>
    <w:rsid w:val="00CA35B3"/>
    <w:rsid w:val="00CA4008"/>
    <w:rsid w:val="00CA4245"/>
    <w:rsid w:val="00CA4569"/>
    <w:rsid w:val="00CA4763"/>
    <w:rsid w:val="00CA4885"/>
    <w:rsid w:val="00CA4BC8"/>
    <w:rsid w:val="00CA4E77"/>
    <w:rsid w:val="00CA4F93"/>
    <w:rsid w:val="00CA5060"/>
    <w:rsid w:val="00CA5489"/>
    <w:rsid w:val="00CA57F2"/>
    <w:rsid w:val="00CA5CC0"/>
    <w:rsid w:val="00CA5DAA"/>
    <w:rsid w:val="00CA5E2D"/>
    <w:rsid w:val="00CA60AF"/>
    <w:rsid w:val="00CA6358"/>
    <w:rsid w:val="00CA63D6"/>
    <w:rsid w:val="00CA65D2"/>
    <w:rsid w:val="00CA68BF"/>
    <w:rsid w:val="00CA6CC1"/>
    <w:rsid w:val="00CA6E8E"/>
    <w:rsid w:val="00CA6F84"/>
    <w:rsid w:val="00CA7722"/>
    <w:rsid w:val="00CA77AD"/>
    <w:rsid w:val="00CA7D3D"/>
    <w:rsid w:val="00CB0040"/>
    <w:rsid w:val="00CB0547"/>
    <w:rsid w:val="00CB05D5"/>
    <w:rsid w:val="00CB063F"/>
    <w:rsid w:val="00CB1122"/>
    <w:rsid w:val="00CB205D"/>
    <w:rsid w:val="00CB20A7"/>
    <w:rsid w:val="00CB212A"/>
    <w:rsid w:val="00CB2348"/>
    <w:rsid w:val="00CB23D6"/>
    <w:rsid w:val="00CB25BF"/>
    <w:rsid w:val="00CB260D"/>
    <w:rsid w:val="00CB2847"/>
    <w:rsid w:val="00CB2AA6"/>
    <w:rsid w:val="00CB2F88"/>
    <w:rsid w:val="00CB323F"/>
    <w:rsid w:val="00CB33AE"/>
    <w:rsid w:val="00CB34F0"/>
    <w:rsid w:val="00CB359C"/>
    <w:rsid w:val="00CB35C6"/>
    <w:rsid w:val="00CB35F1"/>
    <w:rsid w:val="00CB3803"/>
    <w:rsid w:val="00CB39DF"/>
    <w:rsid w:val="00CB3EE1"/>
    <w:rsid w:val="00CB3F97"/>
    <w:rsid w:val="00CB4366"/>
    <w:rsid w:val="00CB474C"/>
    <w:rsid w:val="00CB47B2"/>
    <w:rsid w:val="00CB48CB"/>
    <w:rsid w:val="00CB48D0"/>
    <w:rsid w:val="00CB4940"/>
    <w:rsid w:val="00CB4A73"/>
    <w:rsid w:val="00CB4B60"/>
    <w:rsid w:val="00CB4F98"/>
    <w:rsid w:val="00CB5467"/>
    <w:rsid w:val="00CB54C0"/>
    <w:rsid w:val="00CB558E"/>
    <w:rsid w:val="00CB56EE"/>
    <w:rsid w:val="00CB5927"/>
    <w:rsid w:val="00CB5FDA"/>
    <w:rsid w:val="00CB625B"/>
    <w:rsid w:val="00CB6348"/>
    <w:rsid w:val="00CB643C"/>
    <w:rsid w:val="00CB6842"/>
    <w:rsid w:val="00CB6C91"/>
    <w:rsid w:val="00CB6E8D"/>
    <w:rsid w:val="00CB6EDA"/>
    <w:rsid w:val="00CB7422"/>
    <w:rsid w:val="00CB77F4"/>
    <w:rsid w:val="00CB783E"/>
    <w:rsid w:val="00CB794B"/>
    <w:rsid w:val="00CB7A63"/>
    <w:rsid w:val="00CB7EAD"/>
    <w:rsid w:val="00CC00F2"/>
    <w:rsid w:val="00CC0540"/>
    <w:rsid w:val="00CC05DE"/>
    <w:rsid w:val="00CC0873"/>
    <w:rsid w:val="00CC0B4F"/>
    <w:rsid w:val="00CC0BA7"/>
    <w:rsid w:val="00CC0D0E"/>
    <w:rsid w:val="00CC0E42"/>
    <w:rsid w:val="00CC0F29"/>
    <w:rsid w:val="00CC0F66"/>
    <w:rsid w:val="00CC1035"/>
    <w:rsid w:val="00CC15AA"/>
    <w:rsid w:val="00CC19EF"/>
    <w:rsid w:val="00CC1A2A"/>
    <w:rsid w:val="00CC1B12"/>
    <w:rsid w:val="00CC1BFE"/>
    <w:rsid w:val="00CC1D10"/>
    <w:rsid w:val="00CC1FC0"/>
    <w:rsid w:val="00CC2079"/>
    <w:rsid w:val="00CC2187"/>
    <w:rsid w:val="00CC24DC"/>
    <w:rsid w:val="00CC252B"/>
    <w:rsid w:val="00CC2D42"/>
    <w:rsid w:val="00CC2F31"/>
    <w:rsid w:val="00CC330F"/>
    <w:rsid w:val="00CC3B5F"/>
    <w:rsid w:val="00CC3DCE"/>
    <w:rsid w:val="00CC3E0B"/>
    <w:rsid w:val="00CC45CA"/>
    <w:rsid w:val="00CC45E5"/>
    <w:rsid w:val="00CC48F5"/>
    <w:rsid w:val="00CC4B4D"/>
    <w:rsid w:val="00CC4BD4"/>
    <w:rsid w:val="00CC4DB8"/>
    <w:rsid w:val="00CC5007"/>
    <w:rsid w:val="00CC5257"/>
    <w:rsid w:val="00CC53D4"/>
    <w:rsid w:val="00CC55B6"/>
    <w:rsid w:val="00CC56E7"/>
    <w:rsid w:val="00CC5CA4"/>
    <w:rsid w:val="00CC6268"/>
    <w:rsid w:val="00CC6287"/>
    <w:rsid w:val="00CC6294"/>
    <w:rsid w:val="00CC6760"/>
    <w:rsid w:val="00CC6932"/>
    <w:rsid w:val="00CC6AED"/>
    <w:rsid w:val="00CC6B0E"/>
    <w:rsid w:val="00CC6C78"/>
    <w:rsid w:val="00CC6E3A"/>
    <w:rsid w:val="00CC7107"/>
    <w:rsid w:val="00CC7176"/>
    <w:rsid w:val="00CC722C"/>
    <w:rsid w:val="00CC72B9"/>
    <w:rsid w:val="00CC7485"/>
    <w:rsid w:val="00CC74A7"/>
    <w:rsid w:val="00CC75B8"/>
    <w:rsid w:val="00CC7683"/>
    <w:rsid w:val="00CC7806"/>
    <w:rsid w:val="00CC78AA"/>
    <w:rsid w:val="00CC7B85"/>
    <w:rsid w:val="00CC7BE4"/>
    <w:rsid w:val="00CC7E09"/>
    <w:rsid w:val="00CD078E"/>
    <w:rsid w:val="00CD0C2E"/>
    <w:rsid w:val="00CD0E00"/>
    <w:rsid w:val="00CD0E7C"/>
    <w:rsid w:val="00CD0EF3"/>
    <w:rsid w:val="00CD107E"/>
    <w:rsid w:val="00CD1482"/>
    <w:rsid w:val="00CD14DD"/>
    <w:rsid w:val="00CD1880"/>
    <w:rsid w:val="00CD1A7A"/>
    <w:rsid w:val="00CD1DA4"/>
    <w:rsid w:val="00CD1DBE"/>
    <w:rsid w:val="00CD1F05"/>
    <w:rsid w:val="00CD1F71"/>
    <w:rsid w:val="00CD202D"/>
    <w:rsid w:val="00CD23F1"/>
    <w:rsid w:val="00CD259B"/>
    <w:rsid w:val="00CD2635"/>
    <w:rsid w:val="00CD2D0A"/>
    <w:rsid w:val="00CD2D40"/>
    <w:rsid w:val="00CD32F6"/>
    <w:rsid w:val="00CD35D6"/>
    <w:rsid w:val="00CD38A0"/>
    <w:rsid w:val="00CD38FF"/>
    <w:rsid w:val="00CD4189"/>
    <w:rsid w:val="00CD4773"/>
    <w:rsid w:val="00CD4779"/>
    <w:rsid w:val="00CD4958"/>
    <w:rsid w:val="00CD4BF0"/>
    <w:rsid w:val="00CD4D55"/>
    <w:rsid w:val="00CD4E4E"/>
    <w:rsid w:val="00CD4F17"/>
    <w:rsid w:val="00CD53F2"/>
    <w:rsid w:val="00CD5557"/>
    <w:rsid w:val="00CD5AAD"/>
    <w:rsid w:val="00CD5B69"/>
    <w:rsid w:val="00CD5E6C"/>
    <w:rsid w:val="00CD5F9A"/>
    <w:rsid w:val="00CD60A6"/>
    <w:rsid w:val="00CD639A"/>
    <w:rsid w:val="00CD66AF"/>
    <w:rsid w:val="00CD6DBD"/>
    <w:rsid w:val="00CD731D"/>
    <w:rsid w:val="00CD76A7"/>
    <w:rsid w:val="00CD7874"/>
    <w:rsid w:val="00CD78CE"/>
    <w:rsid w:val="00CD7E23"/>
    <w:rsid w:val="00CE03A0"/>
    <w:rsid w:val="00CE0676"/>
    <w:rsid w:val="00CE085A"/>
    <w:rsid w:val="00CE0873"/>
    <w:rsid w:val="00CE0E2C"/>
    <w:rsid w:val="00CE1094"/>
    <w:rsid w:val="00CE1095"/>
    <w:rsid w:val="00CE124A"/>
    <w:rsid w:val="00CE1A8F"/>
    <w:rsid w:val="00CE1B67"/>
    <w:rsid w:val="00CE1CD9"/>
    <w:rsid w:val="00CE1DF4"/>
    <w:rsid w:val="00CE1F31"/>
    <w:rsid w:val="00CE1F6B"/>
    <w:rsid w:val="00CE2076"/>
    <w:rsid w:val="00CE2240"/>
    <w:rsid w:val="00CE23E8"/>
    <w:rsid w:val="00CE24D1"/>
    <w:rsid w:val="00CE2CD6"/>
    <w:rsid w:val="00CE2F58"/>
    <w:rsid w:val="00CE2FD4"/>
    <w:rsid w:val="00CE30C7"/>
    <w:rsid w:val="00CE325B"/>
    <w:rsid w:val="00CE3464"/>
    <w:rsid w:val="00CE3A0C"/>
    <w:rsid w:val="00CE3B5E"/>
    <w:rsid w:val="00CE3E98"/>
    <w:rsid w:val="00CE474B"/>
    <w:rsid w:val="00CE4859"/>
    <w:rsid w:val="00CE4BDE"/>
    <w:rsid w:val="00CE4EA2"/>
    <w:rsid w:val="00CE53C2"/>
    <w:rsid w:val="00CE5478"/>
    <w:rsid w:val="00CE58B0"/>
    <w:rsid w:val="00CE5BD9"/>
    <w:rsid w:val="00CE5C8E"/>
    <w:rsid w:val="00CE610B"/>
    <w:rsid w:val="00CE6195"/>
    <w:rsid w:val="00CE63A2"/>
    <w:rsid w:val="00CE66F9"/>
    <w:rsid w:val="00CE67D1"/>
    <w:rsid w:val="00CE67EE"/>
    <w:rsid w:val="00CE6AA9"/>
    <w:rsid w:val="00CE71C7"/>
    <w:rsid w:val="00CE7631"/>
    <w:rsid w:val="00CE78C0"/>
    <w:rsid w:val="00CE7935"/>
    <w:rsid w:val="00CE79D3"/>
    <w:rsid w:val="00CE7AD0"/>
    <w:rsid w:val="00CE7BD1"/>
    <w:rsid w:val="00CE7BF4"/>
    <w:rsid w:val="00CF0135"/>
    <w:rsid w:val="00CF0477"/>
    <w:rsid w:val="00CF04B9"/>
    <w:rsid w:val="00CF0576"/>
    <w:rsid w:val="00CF0835"/>
    <w:rsid w:val="00CF08C2"/>
    <w:rsid w:val="00CF13DB"/>
    <w:rsid w:val="00CF13FB"/>
    <w:rsid w:val="00CF16D4"/>
    <w:rsid w:val="00CF1B56"/>
    <w:rsid w:val="00CF1DB7"/>
    <w:rsid w:val="00CF1E52"/>
    <w:rsid w:val="00CF219E"/>
    <w:rsid w:val="00CF22EA"/>
    <w:rsid w:val="00CF2619"/>
    <w:rsid w:val="00CF262B"/>
    <w:rsid w:val="00CF262D"/>
    <w:rsid w:val="00CF2BBF"/>
    <w:rsid w:val="00CF2C65"/>
    <w:rsid w:val="00CF2E20"/>
    <w:rsid w:val="00CF2EED"/>
    <w:rsid w:val="00CF3137"/>
    <w:rsid w:val="00CF316D"/>
    <w:rsid w:val="00CF32F7"/>
    <w:rsid w:val="00CF32FB"/>
    <w:rsid w:val="00CF33A2"/>
    <w:rsid w:val="00CF3BF0"/>
    <w:rsid w:val="00CF3F96"/>
    <w:rsid w:val="00CF4636"/>
    <w:rsid w:val="00CF4D15"/>
    <w:rsid w:val="00CF4D63"/>
    <w:rsid w:val="00CF4DF1"/>
    <w:rsid w:val="00CF52D7"/>
    <w:rsid w:val="00CF53AA"/>
    <w:rsid w:val="00CF5946"/>
    <w:rsid w:val="00CF594E"/>
    <w:rsid w:val="00CF60FE"/>
    <w:rsid w:val="00CF63A6"/>
    <w:rsid w:val="00CF63EC"/>
    <w:rsid w:val="00CF64AA"/>
    <w:rsid w:val="00CF65A7"/>
    <w:rsid w:val="00CF68EB"/>
    <w:rsid w:val="00CF6A64"/>
    <w:rsid w:val="00CF6C2F"/>
    <w:rsid w:val="00CF6D79"/>
    <w:rsid w:val="00CF6DCB"/>
    <w:rsid w:val="00CF700C"/>
    <w:rsid w:val="00CF71D6"/>
    <w:rsid w:val="00CF7452"/>
    <w:rsid w:val="00CF7FDE"/>
    <w:rsid w:val="00D0066D"/>
    <w:rsid w:val="00D00676"/>
    <w:rsid w:val="00D00707"/>
    <w:rsid w:val="00D007A5"/>
    <w:rsid w:val="00D00AB5"/>
    <w:rsid w:val="00D00CB2"/>
    <w:rsid w:val="00D00F23"/>
    <w:rsid w:val="00D00F8F"/>
    <w:rsid w:val="00D0105B"/>
    <w:rsid w:val="00D02134"/>
    <w:rsid w:val="00D021F1"/>
    <w:rsid w:val="00D02319"/>
    <w:rsid w:val="00D023BD"/>
    <w:rsid w:val="00D02477"/>
    <w:rsid w:val="00D025E1"/>
    <w:rsid w:val="00D0269A"/>
    <w:rsid w:val="00D02A91"/>
    <w:rsid w:val="00D02E5D"/>
    <w:rsid w:val="00D02F17"/>
    <w:rsid w:val="00D031D9"/>
    <w:rsid w:val="00D033F2"/>
    <w:rsid w:val="00D03490"/>
    <w:rsid w:val="00D035F0"/>
    <w:rsid w:val="00D03657"/>
    <w:rsid w:val="00D03785"/>
    <w:rsid w:val="00D0379D"/>
    <w:rsid w:val="00D03878"/>
    <w:rsid w:val="00D03DB5"/>
    <w:rsid w:val="00D03DBE"/>
    <w:rsid w:val="00D03E1B"/>
    <w:rsid w:val="00D0421A"/>
    <w:rsid w:val="00D0431D"/>
    <w:rsid w:val="00D04321"/>
    <w:rsid w:val="00D04450"/>
    <w:rsid w:val="00D04952"/>
    <w:rsid w:val="00D04BF8"/>
    <w:rsid w:val="00D04CF0"/>
    <w:rsid w:val="00D04EB2"/>
    <w:rsid w:val="00D04F49"/>
    <w:rsid w:val="00D04F63"/>
    <w:rsid w:val="00D05233"/>
    <w:rsid w:val="00D0561C"/>
    <w:rsid w:val="00D0562C"/>
    <w:rsid w:val="00D0576C"/>
    <w:rsid w:val="00D058D4"/>
    <w:rsid w:val="00D05E66"/>
    <w:rsid w:val="00D05EEF"/>
    <w:rsid w:val="00D05F7F"/>
    <w:rsid w:val="00D063B1"/>
    <w:rsid w:val="00D0647C"/>
    <w:rsid w:val="00D06AC1"/>
    <w:rsid w:val="00D0709B"/>
    <w:rsid w:val="00D070C4"/>
    <w:rsid w:val="00D0752E"/>
    <w:rsid w:val="00D077B5"/>
    <w:rsid w:val="00D078F0"/>
    <w:rsid w:val="00D07976"/>
    <w:rsid w:val="00D10430"/>
    <w:rsid w:val="00D106A1"/>
    <w:rsid w:val="00D10739"/>
    <w:rsid w:val="00D107D7"/>
    <w:rsid w:val="00D1084C"/>
    <w:rsid w:val="00D108CF"/>
    <w:rsid w:val="00D10959"/>
    <w:rsid w:val="00D10CFA"/>
    <w:rsid w:val="00D10F54"/>
    <w:rsid w:val="00D1153C"/>
    <w:rsid w:val="00D115DC"/>
    <w:rsid w:val="00D118AC"/>
    <w:rsid w:val="00D11B6A"/>
    <w:rsid w:val="00D11BAC"/>
    <w:rsid w:val="00D120B9"/>
    <w:rsid w:val="00D1253D"/>
    <w:rsid w:val="00D128BA"/>
    <w:rsid w:val="00D1297D"/>
    <w:rsid w:val="00D12C2B"/>
    <w:rsid w:val="00D12EDF"/>
    <w:rsid w:val="00D12FC5"/>
    <w:rsid w:val="00D130DA"/>
    <w:rsid w:val="00D14015"/>
    <w:rsid w:val="00D142EA"/>
    <w:rsid w:val="00D1443C"/>
    <w:rsid w:val="00D145E2"/>
    <w:rsid w:val="00D14682"/>
    <w:rsid w:val="00D14CFF"/>
    <w:rsid w:val="00D14D02"/>
    <w:rsid w:val="00D14EB5"/>
    <w:rsid w:val="00D14EB8"/>
    <w:rsid w:val="00D1511D"/>
    <w:rsid w:val="00D15148"/>
    <w:rsid w:val="00D15202"/>
    <w:rsid w:val="00D1552D"/>
    <w:rsid w:val="00D1559B"/>
    <w:rsid w:val="00D1573D"/>
    <w:rsid w:val="00D15933"/>
    <w:rsid w:val="00D15B6C"/>
    <w:rsid w:val="00D15BF1"/>
    <w:rsid w:val="00D15D7B"/>
    <w:rsid w:val="00D1616C"/>
    <w:rsid w:val="00D1649D"/>
    <w:rsid w:val="00D165B1"/>
    <w:rsid w:val="00D16794"/>
    <w:rsid w:val="00D16DCB"/>
    <w:rsid w:val="00D1732E"/>
    <w:rsid w:val="00D1747F"/>
    <w:rsid w:val="00D176F0"/>
    <w:rsid w:val="00D1772A"/>
    <w:rsid w:val="00D17B3B"/>
    <w:rsid w:val="00D17C64"/>
    <w:rsid w:val="00D17D83"/>
    <w:rsid w:val="00D17DAF"/>
    <w:rsid w:val="00D17F2A"/>
    <w:rsid w:val="00D20430"/>
    <w:rsid w:val="00D2063C"/>
    <w:rsid w:val="00D2083D"/>
    <w:rsid w:val="00D20C7E"/>
    <w:rsid w:val="00D211C1"/>
    <w:rsid w:val="00D212BA"/>
    <w:rsid w:val="00D2177B"/>
    <w:rsid w:val="00D2181F"/>
    <w:rsid w:val="00D21849"/>
    <w:rsid w:val="00D21C25"/>
    <w:rsid w:val="00D21E88"/>
    <w:rsid w:val="00D223D1"/>
    <w:rsid w:val="00D224B4"/>
    <w:rsid w:val="00D22553"/>
    <w:rsid w:val="00D226F4"/>
    <w:rsid w:val="00D22C65"/>
    <w:rsid w:val="00D22D24"/>
    <w:rsid w:val="00D22FDE"/>
    <w:rsid w:val="00D232C1"/>
    <w:rsid w:val="00D23416"/>
    <w:rsid w:val="00D234B6"/>
    <w:rsid w:val="00D23691"/>
    <w:rsid w:val="00D2395F"/>
    <w:rsid w:val="00D23BF0"/>
    <w:rsid w:val="00D23E48"/>
    <w:rsid w:val="00D24376"/>
    <w:rsid w:val="00D24404"/>
    <w:rsid w:val="00D2444B"/>
    <w:rsid w:val="00D2475B"/>
    <w:rsid w:val="00D247F2"/>
    <w:rsid w:val="00D2488A"/>
    <w:rsid w:val="00D24A16"/>
    <w:rsid w:val="00D24AE5"/>
    <w:rsid w:val="00D24D2F"/>
    <w:rsid w:val="00D24DA6"/>
    <w:rsid w:val="00D24F5B"/>
    <w:rsid w:val="00D2561E"/>
    <w:rsid w:val="00D2598B"/>
    <w:rsid w:val="00D25F27"/>
    <w:rsid w:val="00D260C1"/>
    <w:rsid w:val="00D260ED"/>
    <w:rsid w:val="00D26198"/>
    <w:rsid w:val="00D26296"/>
    <w:rsid w:val="00D2647A"/>
    <w:rsid w:val="00D264BC"/>
    <w:rsid w:val="00D267C6"/>
    <w:rsid w:val="00D268E2"/>
    <w:rsid w:val="00D26992"/>
    <w:rsid w:val="00D26EB2"/>
    <w:rsid w:val="00D270CE"/>
    <w:rsid w:val="00D276D7"/>
    <w:rsid w:val="00D277F4"/>
    <w:rsid w:val="00D278C5"/>
    <w:rsid w:val="00D27B9A"/>
    <w:rsid w:val="00D27DEB"/>
    <w:rsid w:val="00D30379"/>
    <w:rsid w:val="00D30514"/>
    <w:rsid w:val="00D30B69"/>
    <w:rsid w:val="00D30D39"/>
    <w:rsid w:val="00D30E33"/>
    <w:rsid w:val="00D3118F"/>
    <w:rsid w:val="00D31250"/>
    <w:rsid w:val="00D31376"/>
    <w:rsid w:val="00D314C5"/>
    <w:rsid w:val="00D317A9"/>
    <w:rsid w:val="00D317DB"/>
    <w:rsid w:val="00D31A74"/>
    <w:rsid w:val="00D31FBF"/>
    <w:rsid w:val="00D321EB"/>
    <w:rsid w:val="00D323BD"/>
    <w:rsid w:val="00D32A69"/>
    <w:rsid w:val="00D32B95"/>
    <w:rsid w:val="00D32E46"/>
    <w:rsid w:val="00D32E54"/>
    <w:rsid w:val="00D32EBC"/>
    <w:rsid w:val="00D32F00"/>
    <w:rsid w:val="00D32FDB"/>
    <w:rsid w:val="00D33211"/>
    <w:rsid w:val="00D337F5"/>
    <w:rsid w:val="00D33967"/>
    <w:rsid w:val="00D33A3C"/>
    <w:rsid w:val="00D33B76"/>
    <w:rsid w:val="00D33B9A"/>
    <w:rsid w:val="00D33F4E"/>
    <w:rsid w:val="00D3402A"/>
    <w:rsid w:val="00D34059"/>
    <w:rsid w:val="00D343AA"/>
    <w:rsid w:val="00D344EB"/>
    <w:rsid w:val="00D3477C"/>
    <w:rsid w:val="00D34850"/>
    <w:rsid w:val="00D34EF7"/>
    <w:rsid w:val="00D35395"/>
    <w:rsid w:val="00D3542F"/>
    <w:rsid w:val="00D35436"/>
    <w:rsid w:val="00D3560D"/>
    <w:rsid w:val="00D35AC4"/>
    <w:rsid w:val="00D35C2B"/>
    <w:rsid w:val="00D35E25"/>
    <w:rsid w:val="00D35E54"/>
    <w:rsid w:val="00D35EC0"/>
    <w:rsid w:val="00D361E8"/>
    <w:rsid w:val="00D363A0"/>
    <w:rsid w:val="00D36449"/>
    <w:rsid w:val="00D3679E"/>
    <w:rsid w:val="00D367F4"/>
    <w:rsid w:val="00D36899"/>
    <w:rsid w:val="00D36A61"/>
    <w:rsid w:val="00D36AF8"/>
    <w:rsid w:val="00D375C7"/>
    <w:rsid w:val="00D37722"/>
    <w:rsid w:val="00D40422"/>
    <w:rsid w:val="00D40591"/>
    <w:rsid w:val="00D407A3"/>
    <w:rsid w:val="00D41430"/>
    <w:rsid w:val="00D414CD"/>
    <w:rsid w:val="00D41603"/>
    <w:rsid w:val="00D41C78"/>
    <w:rsid w:val="00D41D3A"/>
    <w:rsid w:val="00D41E39"/>
    <w:rsid w:val="00D41F05"/>
    <w:rsid w:val="00D41FFA"/>
    <w:rsid w:val="00D4224C"/>
    <w:rsid w:val="00D4253F"/>
    <w:rsid w:val="00D427C8"/>
    <w:rsid w:val="00D42BC0"/>
    <w:rsid w:val="00D42DCB"/>
    <w:rsid w:val="00D42DED"/>
    <w:rsid w:val="00D42E03"/>
    <w:rsid w:val="00D42FA7"/>
    <w:rsid w:val="00D431CF"/>
    <w:rsid w:val="00D4357B"/>
    <w:rsid w:val="00D4386D"/>
    <w:rsid w:val="00D43D34"/>
    <w:rsid w:val="00D43D3C"/>
    <w:rsid w:val="00D43DC2"/>
    <w:rsid w:val="00D43DD5"/>
    <w:rsid w:val="00D43FA0"/>
    <w:rsid w:val="00D442B6"/>
    <w:rsid w:val="00D443F2"/>
    <w:rsid w:val="00D44420"/>
    <w:rsid w:val="00D44555"/>
    <w:rsid w:val="00D447B7"/>
    <w:rsid w:val="00D44961"/>
    <w:rsid w:val="00D44B1B"/>
    <w:rsid w:val="00D44EF4"/>
    <w:rsid w:val="00D451FA"/>
    <w:rsid w:val="00D4565A"/>
    <w:rsid w:val="00D45950"/>
    <w:rsid w:val="00D459D7"/>
    <w:rsid w:val="00D45A45"/>
    <w:rsid w:val="00D45D25"/>
    <w:rsid w:val="00D45EB4"/>
    <w:rsid w:val="00D464CB"/>
    <w:rsid w:val="00D46537"/>
    <w:rsid w:val="00D46940"/>
    <w:rsid w:val="00D46BFC"/>
    <w:rsid w:val="00D47615"/>
    <w:rsid w:val="00D47A10"/>
    <w:rsid w:val="00D47C1E"/>
    <w:rsid w:val="00D47D56"/>
    <w:rsid w:val="00D47F47"/>
    <w:rsid w:val="00D50088"/>
    <w:rsid w:val="00D500D2"/>
    <w:rsid w:val="00D501E0"/>
    <w:rsid w:val="00D5025E"/>
    <w:rsid w:val="00D503EF"/>
    <w:rsid w:val="00D505A5"/>
    <w:rsid w:val="00D505B9"/>
    <w:rsid w:val="00D50689"/>
    <w:rsid w:val="00D50C15"/>
    <w:rsid w:val="00D50CE8"/>
    <w:rsid w:val="00D50EAC"/>
    <w:rsid w:val="00D510CD"/>
    <w:rsid w:val="00D5124B"/>
    <w:rsid w:val="00D519D7"/>
    <w:rsid w:val="00D521FC"/>
    <w:rsid w:val="00D524B1"/>
    <w:rsid w:val="00D527B2"/>
    <w:rsid w:val="00D52B11"/>
    <w:rsid w:val="00D52B48"/>
    <w:rsid w:val="00D52CE1"/>
    <w:rsid w:val="00D52E28"/>
    <w:rsid w:val="00D52E2F"/>
    <w:rsid w:val="00D52F64"/>
    <w:rsid w:val="00D52FC9"/>
    <w:rsid w:val="00D52FDF"/>
    <w:rsid w:val="00D53154"/>
    <w:rsid w:val="00D5347C"/>
    <w:rsid w:val="00D535A0"/>
    <w:rsid w:val="00D53881"/>
    <w:rsid w:val="00D53E21"/>
    <w:rsid w:val="00D53E54"/>
    <w:rsid w:val="00D53F87"/>
    <w:rsid w:val="00D547A2"/>
    <w:rsid w:val="00D54AFE"/>
    <w:rsid w:val="00D54C0C"/>
    <w:rsid w:val="00D54FDE"/>
    <w:rsid w:val="00D55039"/>
    <w:rsid w:val="00D55344"/>
    <w:rsid w:val="00D55350"/>
    <w:rsid w:val="00D55369"/>
    <w:rsid w:val="00D5551A"/>
    <w:rsid w:val="00D555C1"/>
    <w:rsid w:val="00D55616"/>
    <w:rsid w:val="00D55623"/>
    <w:rsid w:val="00D55B81"/>
    <w:rsid w:val="00D560B5"/>
    <w:rsid w:val="00D562D1"/>
    <w:rsid w:val="00D56705"/>
    <w:rsid w:val="00D57250"/>
    <w:rsid w:val="00D5748E"/>
    <w:rsid w:val="00D5753A"/>
    <w:rsid w:val="00D57899"/>
    <w:rsid w:val="00D57A4B"/>
    <w:rsid w:val="00D60327"/>
    <w:rsid w:val="00D6062C"/>
    <w:rsid w:val="00D609A4"/>
    <w:rsid w:val="00D609C5"/>
    <w:rsid w:val="00D609D7"/>
    <w:rsid w:val="00D60CD7"/>
    <w:rsid w:val="00D60EE7"/>
    <w:rsid w:val="00D61399"/>
    <w:rsid w:val="00D61727"/>
    <w:rsid w:val="00D61784"/>
    <w:rsid w:val="00D61795"/>
    <w:rsid w:val="00D6193C"/>
    <w:rsid w:val="00D61EA5"/>
    <w:rsid w:val="00D621D7"/>
    <w:rsid w:val="00D622FF"/>
    <w:rsid w:val="00D625C5"/>
    <w:rsid w:val="00D63250"/>
    <w:rsid w:val="00D632FF"/>
    <w:rsid w:val="00D634FB"/>
    <w:rsid w:val="00D639A3"/>
    <w:rsid w:val="00D639AD"/>
    <w:rsid w:val="00D63B60"/>
    <w:rsid w:val="00D63C90"/>
    <w:rsid w:val="00D63E5B"/>
    <w:rsid w:val="00D63EEC"/>
    <w:rsid w:val="00D64456"/>
    <w:rsid w:val="00D647B3"/>
    <w:rsid w:val="00D64E66"/>
    <w:rsid w:val="00D64F25"/>
    <w:rsid w:val="00D65270"/>
    <w:rsid w:val="00D65744"/>
    <w:rsid w:val="00D658D9"/>
    <w:rsid w:val="00D658FD"/>
    <w:rsid w:val="00D65A10"/>
    <w:rsid w:val="00D66175"/>
    <w:rsid w:val="00D66199"/>
    <w:rsid w:val="00D661AE"/>
    <w:rsid w:val="00D667B7"/>
    <w:rsid w:val="00D66C33"/>
    <w:rsid w:val="00D67877"/>
    <w:rsid w:val="00D67FC1"/>
    <w:rsid w:val="00D700E4"/>
    <w:rsid w:val="00D70190"/>
    <w:rsid w:val="00D701B1"/>
    <w:rsid w:val="00D704DB"/>
    <w:rsid w:val="00D70768"/>
    <w:rsid w:val="00D7077D"/>
    <w:rsid w:val="00D70A90"/>
    <w:rsid w:val="00D70B64"/>
    <w:rsid w:val="00D70C26"/>
    <w:rsid w:val="00D71695"/>
    <w:rsid w:val="00D71819"/>
    <w:rsid w:val="00D718C8"/>
    <w:rsid w:val="00D71ACD"/>
    <w:rsid w:val="00D71C26"/>
    <w:rsid w:val="00D71C53"/>
    <w:rsid w:val="00D71CA4"/>
    <w:rsid w:val="00D71CB7"/>
    <w:rsid w:val="00D71E67"/>
    <w:rsid w:val="00D71E74"/>
    <w:rsid w:val="00D71EC5"/>
    <w:rsid w:val="00D7209B"/>
    <w:rsid w:val="00D721D6"/>
    <w:rsid w:val="00D7256C"/>
    <w:rsid w:val="00D725B3"/>
    <w:rsid w:val="00D727DD"/>
    <w:rsid w:val="00D729F9"/>
    <w:rsid w:val="00D72AE9"/>
    <w:rsid w:val="00D72AFE"/>
    <w:rsid w:val="00D72BD3"/>
    <w:rsid w:val="00D72D4A"/>
    <w:rsid w:val="00D72D5B"/>
    <w:rsid w:val="00D72E4E"/>
    <w:rsid w:val="00D733F1"/>
    <w:rsid w:val="00D7345A"/>
    <w:rsid w:val="00D7362E"/>
    <w:rsid w:val="00D73673"/>
    <w:rsid w:val="00D73822"/>
    <w:rsid w:val="00D73AE5"/>
    <w:rsid w:val="00D73F86"/>
    <w:rsid w:val="00D74006"/>
    <w:rsid w:val="00D7426F"/>
    <w:rsid w:val="00D74278"/>
    <w:rsid w:val="00D74425"/>
    <w:rsid w:val="00D747A0"/>
    <w:rsid w:val="00D74800"/>
    <w:rsid w:val="00D74CBB"/>
    <w:rsid w:val="00D7536B"/>
    <w:rsid w:val="00D756CF"/>
    <w:rsid w:val="00D75923"/>
    <w:rsid w:val="00D759CB"/>
    <w:rsid w:val="00D75A5E"/>
    <w:rsid w:val="00D75AE2"/>
    <w:rsid w:val="00D75BCC"/>
    <w:rsid w:val="00D76169"/>
    <w:rsid w:val="00D7669E"/>
    <w:rsid w:val="00D76A80"/>
    <w:rsid w:val="00D76B04"/>
    <w:rsid w:val="00D76BC1"/>
    <w:rsid w:val="00D76CBC"/>
    <w:rsid w:val="00D76DF4"/>
    <w:rsid w:val="00D7765E"/>
    <w:rsid w:val="00D77D36"/>
    <w:rsid w:val="00D77F8A"/>
    <w:rsid w:val="00D8017B"/>
    <w:rsid w:val="00D80509"/>
    <w:rsid w:val="00D806BE"/>
    <w:rsid w:val="00D808AF"/>
    <w:rsid w:val="00D80ABC"/>
    <w:rsid w:val="00D80B85"/>
    <w:rsid w:val="00D80E8A"/>
    <w:rsid w:val="00D81076"/>
    <w:rsid w:val="00D8124B"/>
    <w:rsid w:val="00D8138B"/>
    <w:rsid w:val="00D81AED"/>
    <w:rsid w:val="00D81E36"/>
    <w:rsid w:val="00D81F14"/>
    <w:rsid w:val="00D81F6B"/>
    <w:rsid w:val="00D82295"/>
    <w:rsid w:val="00D82306"/>
    <w:rsid w:val="00D8387C"/>
    <w:rsid w:val="00D8391D"/>
    <w:rsid w:val="00D83A3C"/>
    <w:rsid w:val="00D83B78"/>
    <w:rsid w:val="00D83E37"/>
    <w:rsid w:val="00D83ECD"/>
    <w:rsid w:val="00D84467"/>
    <w:rsid w:val="00D84725"/>
    <w:rsid w:val="00D847DA"/>
    <w:rsid w:val="00D848D2"/>
    <w:rsid w:val="00D848EF"/>
    <w:rsid w:val="00D84A93"/>
    <w:rsid w:val="00D84B3F"/>
    <w:rsid w:val="00D84D00"/>
    <w:rsid w:val="00D84D52"/>
    <w:rsid w:val="00D84E9C"/>
    <w:rsid w:val="00D84EBC"/>
    <w:rsid w:val="00D850ED"/>
    <w:rsid w:val="00D855A5"/>
    <w:rsid w:val="00D855CB"/>
    <w:rsid w:val="00D85646"/>
    <w:rsid w:val="00D85706"/>
    <w:rsid w:val="00D858E9"/>
    <w:rsid w:val="00D859D1"/>
    <w:rsid w:val="00D85F94"/>
    <w:rsid w:val="00D8671A"/>
    <w:rsid w:val="00D868DE"/>
    <w:rsid w:val="00D8692B"/>
    <w:rsid w:val="00D86A65"/>
    <w:rsid w:val="00D86A93"/>
    <w:rsid w:val="00D86E40"/>
    <w:rsid w:val="00D8747B"/>
    <w:rsid w:val="00D87582"/>
    <w:rsid w:val="00D87921"/>
    <w:rsid w:val="00D87A91"/>
    <w:rsid w:val="00D87C23"/>
    <w:rsid w:val="00D901EA"/>
    <w:rsid w:val="00D90DDF"/>
    <w:rsid w:val="00D90ED9"/>
    <w:rsid w:val="00D90F29"/>
    <w:rsid w:val="00D91326"/>
    <w:rsid w:val="00D916EF"/>
    <w:rsid w:val="00D918ED"/>
    <w:rsid w:val="00D91C1B"/>
    <w:rsid w:val="00D91D65"/>
    <w:rsid w:val="00D924B0"/>
    <w:rsid w:val="00D9251D"/>
    <w:rsid w:val="00D92DE9"/>
    <w:rsid w:val="00D93107"/>
    <w:rsid w:val="00D9320A"/>
    <w:rsid w:val="00D932BF"/>
    <w:rsid w:val="00D93318"/>
    <w:rsid w:val="00D93545"/>
    <w:rsid w:val="00D93E37"/>
    <w:rsid w:val="00D94129"/>
    <w:rsid w:val="00D9437E"/>
    <w:rsid w:val="00D94EFF"/>
    <w:rsid w:val="00D9520E"/>
    <w:rsid w:val="00D95515"/>
    <w:rsid w:val="00D95611"/>
    <w:rsid w:val="00D9572F"/>
    <w:rsid w:val="00D95B0F"/>
    <w:rsid w:val="00D95C40"/>
    <w:rsid w:val="00D960DF"/>
    <w:rsid w:val="00D96182"/>
    <w:rsid w:val="00D96506"/>
    <w:rsid w:val="00D9650F"/>
    <w:rsid w:val="00D96516"/>
    <w:rsid w:val="00D9673D"/>
    <w:rsid w:val="00D96B15"/>
    <w:rsid w:val="00D9721B"/>
    <w:rsid w:val="00D9766B"/>
    <w:rsid w:val="00D97758"/>
    <w:rsid w:val="00D97DA6"/>
    <w:rsid w:val="00D97FAE"/>
    <w:rsid w:val="00DA00B0"/>
    <w:rsid w:val="00DA0704"/>
    <w:rsid w:val="00DA0AB5"/>
    <w:rsid w:val="00DA0ECC"/>
    <w:rsid w:val="00DA1066"/>
    <w:rsid w:val="00DA1593"/>
    <w:rsid w:val="00DA16B2"/>
    <w:rsid w:val="00DA17CE"/>
    <w:rsid w:val="00DA1BD6"/>
    <w:rsid w:val="00DA1C66"/>
    <w:rsid w:val="00DA1D95"/>
    <w:rsid w:val="00DA1DC0"/>
    <w:rsid w:val="00DA24D8"/>
    <w:rsid w:val="00DA2553"/>
    <w:rsid w:val="00DA28BD"/>
    <w:rsid w:val="00DA2A88"/>
    <w:rsid w:val="00DA2C3E"/>
    <w:rsid w:val="00DA2CD3"/>
    <w:rsid w:val="00DA2DDB"/>
    <w:rsid w:val="00DA2F94"/>
    <w:rsid w:val="00DA2FB7"/>
    <w:rsid w:val="00DA313E"/>
    <w:rsid w:val="00DA3351"/>
    <w:rsid w:val="00DA3437"/>
    <w:rsid w:val="00DA3481"/>
    <w:rsid w:val="00DA3580"/>
    <w:rsid w:val="00DA3F69"/>
    <w:rsid w:val="00DA3FCF"/>
    <w:rsid w:val="00DA4282"/>
    <w:rsid w:val="00DA4382"/>
    <w:rsid w:val="00DA4790"/>
    <w:rsid w:val="00DA490C"/>
    <w:rsid w:val="00DA4B6B"/>
    <w:rsid w:val="00DA57B7"/>
    <w:rsid w:val="00DA596F"/>
    <w:rsid w:val="00DA5F8C"/>
    <w:rsid w:val="00DA601C"/>
    <w:rsid w:val="00DA60A6"/>
    <w:rsid w:val="00DA61F2"/>
    <w:rsid w:val="00DA63B9"/>
    <w:rsid w:val="00DA6799"/>
    <w:rsid w:val="00DA69AB"/>
    <w:rsid w:val="00DA6BBF"/>
    <w:rsid w:val="00DA6BD3"/>
    <w:rsid w:val="00DA6FEB"/>
    <w:rsid w:val="00DA7299"/>
    <w:rsid w:val="00DA75F5"/>
    <w:rsid w:val="00DA76D6"/>
    <w:rsid w:val="00DA7984"/>
    <w:rsid w:val="00DA7B9F"/>
    <w:rsid w:val="00DA7C3E"/>
    <w:rsid w:val="00DA7E42"/>
    <w:rsid w:val="00DA7ED9"/>
    <w:rsid w:val="00DB02A5"/>
    <w:rsid w:val="00DB03E9"/>
    <w:rsid w:val="00DB0529"/>
    <w:rsid w:val="00DB06B0"/>
    <w:rsid w:val="00DB09A6"/>
    <w:rsid w:val="00DB0AFF"/>
    <w:rsid w:val="00DB0D3B"/>
    <w:rsid w:val="00DB10AF"/>
    <w:rsid w:val="00DB11B1"/>
    <w:rsid w:val="00DB1203"/>
    <w:rsid w:val="00DB12DA"/>
    <w:rsid w:val="00DB13E1"/>
    <w:rsid w:val="00DB1721"/>
    <w:rsid w:val="00DB17FB"/>
    <w:rsid w:val="00DB184F"/>
    <w:rsid w:val="00DB1B23"/>
    <w:rsid w:val="00DB20BB"/>
    <w:rsid w:val="00DB2301"/>
    <w:rsid w:val="00DB25A8"/>
    <w:rsid w:val="00DB28F7"/>
    <w:rsid w:val="00DB2D3B"/>
    <w:rsid w:val="00DB2D92"/>
    <w:rsid w:val="00DB3130"/>
    <w:rsid w:val="00DB3290"/>
    <w:rsid w:val="00DB35A9"/>
    <w:rsid w:val="00DB35AA"/>
    <w:rsid w:val="00DB3ACA"/>
    <w:rsid w:val="00DB3BC0"/>
    <w:rsid w:val="00DB41C4"/>
    <w:rsid w:val="00DB4506"/>
    <w:rsid w:val="00DB464A"/>
    <w:rsid w:val="00DB47C8"/>
    <w:rsid w:val="00DB47F8"/>
    <w:rsid w:val="00DB5096"/>
    <w:rsid w:val="00DB541D"/>
    <w:rsid w:val="00DB54BE"/>
    <w:rsid w:val="00DB5562"/>
    <w:rsid w:val="00DB57AB"/>
    <w:rsid w:val="00DB5990"/>
    <w:rsid w:val="00DB5F0D"/>
    <w:rsid w:val="00DB605E"/>
    <w:rsid w:val="00DB632B"/>
    <w:rsid w:val="00DB64CA"/>
    <w:rsid w:val="00DB65F7"/>
    <w:rsid w:val="00DB66EE"/>
    <w:rsid w:val="00DB6BDA"/>
    <w:rsid w:val="00DB6C24"/>
    <w:rsid w:val="00DB71EB"/>
    <w:rsid w:val="00DB7313"/>
    <w:rsid w:val="00DB7336"/>
    <w:rsid w:val="00DB736F"/>
    <w:rsid w:val="00DB73AA"/>
    <w:rsid w:val="00DB73E2"/>
    <w:rsid w:val="00DB7713"/>
    <w:rsid w:val="00DB77A1"/>
    <w:rsid w:val="00DB7972"/>
    <w:rsid w:val="00DB7A8A"/>
    <w:rsid w:val="00DB7E21"/>
    <w:rsid w:val="00DB7ECD"/>
    <w:rsid w:val="00DC0648"/>
    <w:rsid w:val="00DC071B"/>
    <w:rsid w:val="00DC0949"/>
    <w:rsid w:val="00DC0E7B"/>
    <w:rsid w:val="00DC0EFE"/>
    <w:rsid w:val="00DC1051"/>
    <w:rsid w:val="00DC111D"/>
    <w:rsid w:val="00DC1721"/>
    <w:rsid w:val="00DC2253"/>
    <w:rsid w:val="00DC2260"/>
    <w:rsid w:val="00DC286E"/>
    <w:rsid w:val="00DC2CFB"/>
    <w:rsid w:val="00DC2DD5"/>
    <w:rsid w:val="00DC2E46"/>
    <w:rsid w:val="00DC33AB"/>
    <w:rsid w:val="00DC3677"/>
    <w:rsid w:val="00DC371A"/>
    <w:rsid w:val="00DC375A"/>
    <w:rsid w:val="00DC39D5"/>
    <w:rsid w:val="00DC3E2C"/>
    <w:rsid w:val="00DC408B"/>
    <w:rsid w:val="00DC4373"/>
    <w:rsid w:val="00DC458B"/>
    <w:rsid w:val="00DC46D0"/>
    <w:rsid w:val="00DC4798"/>
    <w:rsid w:val="00DC4C96"/>
    <w:rsid w:val="00DC4D59"/>
    <w:rsid w:val="00DC4DA5"/>
    <w:rsid w:val="00DC4DC3"/>
    <w:rsid w:val="00DC5238"/>
    <w:rsid w:val="00DC5398"/>
    <w:rsid w:val="00DC5889"/>
    <w:rsid w:val="00DC5ABA"/>
    <w:rsid w:val="00DC5B73"/>
    <w:rsid w:val="00DC5BFA"/>
    <w:rsid w:val="00DC66A8"/>
    <w:rsid w:val="00DC6761"/>
    <w:rsid w:val="00DC6C75"/>
    <w:rsid w:val="00DC6D68"/>
    <w:rsid w:val="00DC6E1E"/>
    <w:rsid w:val="00DC71A1"/>
    <w:rsid w:val="00DC740C"/>
    <w:rsid w:val="00DC7806"/>
    <w:rsid w:val="00DC7A9E"/>
    <w:rsid w:val="00DD070F"/>
    <w:rsid w:val="00DD0B63"/>
    <w:rsid w:val="00DD0D15"/>
    <w:rsid w:val="00DD0F58"/>
    <w:rsid w:val="00DD0FD3"/>
    <w:rsid w:val="00DD12B6"/>
    <w:rsid w:val="00DD16BD"/>
    <w:rsid w:val="00DD1906"/>
    <w:rsid w:val="00DD1A40"/>
    <w:rsid w:val="00DD1B3A"/>
    <w:rsid w:val="00DD1B72"/>
    <w:rsid w:val="00DD1B8B"/>
    <w:rsid w:val="00DD1D4A"/>
    <w:rsid w:val="00DD1E1C"/>
    <w:rsid w:val="00DD1EC2"/>
    <w:rsid w:val="00DD1F19"/>
    <w:rsid w:val="00DD21A9"/>
    <w:rsid w:val="00DD21EB"/>
    <w:rsid w:val="00DD22B3"/>
    <w:rsid w:val="00DD248E"/>
    <w:rsid w:val="00DD24D3"/>
    <w:rsid w:val="00DD259E"/>
    <w:rsid w:val="00DD28DD"/>
    <w:rsid w:val="00DD2DE1"/>
    <w:rsid w:val="00DD2F3D"/>
    <w:rsid w:val="00DD3077"/>
    <w:rsid w:val="00DD3249"/>
    <w:rsid w:val="00DD3292"/>
    <w:rsid w:val="00DD329B"/>
    <w:rsid w:val="00DD3307"/>
    <w:rsid w:val="00DD33F0"/>
    <w:rsid w:val="00DD3B24"/>
    <w:rsid w:val="00DD3BA8"/>
    <w:rsid w:val="00DD43CD"/>
    <w:rsid w:val="00DD4677"/>
    <w:rsid w:val="00DD5024"/>
    <w:rsid w:val="00DD5055"/>
    <w:rsid w:val="00DD5106"/>
    <w:rsid w:val="00DD564B"/>
    <w:rsid w:val="00DD5716"/>
    <w:rsid w:val="00DD5760"/>
    <w:rsid w:val="00DD582B"/>
    <w:rsid w:val="00DD5AB1"/>
    <w:rsid w:val="00DD5C86"/>
    <w:rsid w:val="00DD5D1B"/>
    <w:rsid w:val="00DD5F40"/>
    <w:rsid w:val="00DD5F7B"/>
    <w:rsid w:val="00DD6886"/>
    <w:rsid w:val="00DD6B4D"/>
    <w:rsid w:val="00DD6BB5"/>
    <w:rsid w:val="00DD6ED3"/>
    <w:rsid w:val="00DD6F97"/>
    <w:rsid w:val="00DD7090"/>
    <w:rsid w:val="00DD7251"/>
    <w:rsid w:val="00DD7571"/>
    <w:rsid w:val="00DD76BB"/>
    <w:rsid w:val="00DD795F"/>
    <w:rsid w:val="00DD7EDF"/>
    <w:rsid w:val="00DD7FD1"/>
    <w:rsid w:val="00DE00CB"/>
    <w:rsid w:val="00DE0528"/>
    <w:rsid w:val="00DE09A7"/>
    <w:rsid w:val="00DE0C2E"/>
    <w:rsid w:val="00DE0DE6"/>
    <w:rsid w:val="00DE0EA0"/>
    <w:rsid w:val="00DE0F58"/>
    <w:rsid w:val="00DE13EF"/>
    <w:rsid w:val="00DE18C3"/>
    <w:rsid w:val="00DE2084"/>
    <w:rsid w:val="00DE2250"/>
    <w:rsid w:val="00DE226D"/>
    <w:rsid w:val="00DE25A9"/>
    <w:rsid w:val="00DE264D"/>
    <w:rsid w:val="00DE29A8"/>
    <w:rsid w:val="00DE2BDA"/>
    <w:rsid w:val="00DE308D"/>
    <w:rsid w:val="00DE30A5"/>
    <w:rsid w:val="00DE38CA"/>
    <w:rsid w:val="00DE3B0B"/>
    <w:rsid w:val="00DE4443"/>
    <w:rsid w:val="00DE4612"/>
    <w:rsid w:val="00DE4B6D"/>
    <w:rsid w:val="00DE4C3E"/>
    <w:rsid w:val="00DE5112"/>
    <w:rsid w:val="00DE5279"/>
    <w:rsid w:val="00DE5358"/>
    <w:rsid w:val="00DE5630"/>
    <w:rsid w:val="00DE5791"/>
    <w:rsid w:val="00DE5812"/>
    <w:rsid w:val="00DE5A40"/>
    <w:rsid w:val="00DE5CA5"/>
    <w:rsid w:val="00DE6051"/>
    <w:rsid w:val="00DE60B5"/>
    <w:rsid w:val="00DE60B7"/>
    <w:rsid w:val="00DE60D2"/>
    <w:rsid w:val="00DE6204"/>
    <w:rsid w:val="00DE6271"/>
    <w:rsid w:val="00DE62C1"/>
    <w:rsid w:val="00DE659C"/>
    <w:rsid w:val="00DE67F9"/>
    <w:rsid w:val="00DE68BB"/>
    <w:rsid w:val="00DE6CBA"/>
    <w:rsid w:val="00DE6FF7"/>
    <w:rsid w:val="00DE70A1"/>
    <w:rsid w:val="00DE76FD"/>
    <w:rsid w:val="00DE7B42"/>
    <w:rsid w:val="00DF0392"/>
    <w:rsid w:val="00DF03B9"/>
    <w:rsid w:val="00DF0419"/>
    <w:rsid w:val="00DF046C"/>
    <w:rsid w:val="00DF05F4"/>
    <w:rsid w:val="00DF068C"/>
    <w:rsid w:val="00DF0716"/>
    <w:rsid w:val="00DF07E3"/>
    <w:rsid w:val="00DF0927"/>
    <w:rsid w:val="00DF09D8"/>
    <w:rsid w:val="00DF0BB5"/>
    <w:rsid w:val="00DF0CD5"/>
    <w:rsid w:val="00DF1003"/>
    <w:rsid w:val="00DF120E"/>
    <w:rsid w:val="00DF12E1"/>
    <w:rsid w:val="00DF14C7"/>
    <w:rsid w:val="00DF15AF"/>
    <w:rsid w:val="00DF1814"/>
    <w:rsid w:val="00DF1A05"/>
    <w:rsid w:val="00DF1B9D"/>
    <w:rsid w:val="00DF1CB9"/>
    <w:rsid w:val="00DF1FFF"/>
    <w:rsid w:val="00DF216E"/>
    <w:rsid w:val="00DF2600"/>
    <w:rsid w:val="00DF2785"/>
    <w:rsid w:val="00DF279E"/>
    <w:rsid w:val="00DF27F6"/>
    <w:rsid w:val="00DF2C55"/>
    <w:rsid w:val="00DF306D"/>
    <w:rsid w:val="00DF319D"/>
    <w:rsid w:val="00DF3287"/>
    <w:rsid w:val="00DF333A"/>
    <w:rsid w:val="00DF33DE"/>
    <w:rsid w:val="00DF346F"/>
    <w:rsid w:val="00DF3497"/>
    <w:rsid w:val="00DF34E4"/>
    <w:rsid w:val="00DF3521"/>
    <w:rsid w:val="00DF39FD"/>
    <w:rsid w:val="00DF3A8E"/>
    <w:rsid w:val="00DF3D0B"/>
    <w:rsid w:val="00DF3FC9"/>
    <w:rsid w:val="00DF42EF"/>
    <w:rsid w:val="00DF4F24"/>
    <w:rsid w:val="00DF5005"/>
    <w:rsid w:val="00DF5401"/>
    <w:rsid w:val="00DF5550"/>
    <w:rsid w:val="00DF5685"/>
    <w:rsid w:val="00DF592E"/>
    <w:rsid w:val="00DF5DC1"/>
    <w:rsid w:val="00DF5E2E"/>
    <w:rsid w:val="00DF5FAE"/>
    <w:rsid w:val="00DF634D"/>
    <w:rsid w:val="00DF63A6"/>
    <w:rsid w:val="00DF6457"/>
    <w:rsid w:val="00DF65ED"/>
    <w:rsid w:val="00DF6668"/>
    <w:rsid w:val="00DF680B"/>
    <w:rsid w:val="00DF69C5"/>
    <w:rsid w:val="00DF6AAB"/>
    <w:rsid w:val="00DF6DBE"/>
    <w:rsid w:val="00DF6E98"/>
    <w:rsid w:val="00DF6EE4"/>
    <w:rsid w:val="00DF71D1"/>
    <w:rsid w:val="00DF729D"/>
    <w:rsid w:val="00DF7522"/>
    <w:rsid w:val="00DF7660"/>
    <w:rsid w:val="00DF782B"/>
    <w:rsid w:val="00DF7862"/>
    <w:rsid w:val="00DF7B73"/>
    <w:rsid w:val="00DF7C65"/>
    <w:rsid w:val="00DF7DC1"/>
    <w:rsid w:val="00DF7EDE"/>
    <w:rsid w:val="00DF7EF7"/>
    <w:rsid w:val="00E000EB"/>
    <w:rsid w:val="00E00217"/>
    <w:rsid w:val="00E00246"/>
    <w:rsid w:val="00E004AC"/>
    <w:rsid w:val="00E0070E"/>
    <w:rsid w:val="00E007EE"/>
    <w:rsid w:val="00E00B18"/>
    <w:rsid w:val="00E012BA"/>
    <w:rsid w:val="00E01362"/>
    <w:rsid w:val="00E0152B"/>
    <w:rsid w:val="00E01665"/>
    <w:rsid w:val="00E016D0"/>
    <w:rsid w:val="00E017FB"/>
    <w:rsid w:val="00E01A1A"/>
    <w:rsid w:val="00E01A2A"/>
    <w:rsid w:val="00E01CE6"/>
    <w:rsid w:val="00E01D57"/>
    <w:rsid w:val="00E0243F"/>
    <w:rsid w:val="00E0247A"/>
    <w:rsid w:val="00E025E0"/>
    <w:rsid w:val="00E02653"/>
    <w:rsid w:val="00E02762"/>
    <w:rsid w:val="00E02824"/>
    <w:rsid w:val="00E02A56"/>
    <w:rsid w:val="00E035CB"/>
    <w:rsid w:val="00E03955"/>
    <w:rsid w:val="00E03ADD"/>
    <w:rsid w:val="00E03AED"/>
    <w:rsid w:val="00E03B80"/>
    <w:rsid w:val="00E03CF9"/>
    <w:rsid w:val="00E03F67"/>
    <w:rsid w:val="00E03FFF"/>
    <w:rsid w:val="00E04133"/>
    <w:rsid w:val="00E042A0"/>
    <w:rsid w:val="00E0445F"/>
    <w:rsid w:val="00E04473"/>
    <w:rsid w:val="00E04491"/>
    <w:rsid w:val="00E04745"/>
    <w:rsid w:val="00E0476D"/>
    <w:rsid w:val="00E04A7B"/>
    <w:rsid w:val="00E0520F"/>
    <w:rsid w:val="00E052E2"/>
    <w:rsid w:val="00E052FF"/>
    <w:rsid w:val="00E054A2"/>
    <w:rsid w:val="00E054EB"/>
    <w:rsid w:val="00E05747"/>
    <w:rsid w:val="00E058A7"/>
    <w:rsid w:val="00E05DE8"/>
    <w:rsid w:val="00E05E92"/>
    <w:rsid w:val="00E06124"/>
    <w:rsid w:val="00E06435"/>
    <w:rsid w:val="00E064D9"/>
    <w:rsid w:val="00E066AE"/>
    <w:rsid w:val="00E06736"/>
    <w:rsid w:val="00E0686B"/>
    <w:rsid w:val="00E0691A"/>
    <w:rsid w:val="00E06D44"/>
    <w:rsid w:val="00E07035"/>
    <w:rsid w:val="00E07136"/>
    <w:rsid w:val="00E072AA"/>
    <w:rsid w:val="00E07665"/>
    <w:rsid w:val="00E076FA"/>
    <w:rsid w:val="00E07B4B"/>
    <w:rsid w:val="00E07CE8"/>
    <w:rsid w:val="00E07EFF"/>
    <w:rsid w:val="00E1003A"/>
    <w:rsid w:val="00E1046E"/>
    <w:rsid w:val="00E1051C"/>
    <w:rsid w:val="00E1097D"/>
    <w:rsid w:val="00E10DD8"/>
    <w:rsid w:val="00E10F83"/>
    <w:rsid w:val="00E10FB3"/>
    <w:rsid w:val="00E11022"/>
    <w:rsid w:val="00E11053"/>
    <w:rsid w:val="00E111A6"/>
    <w:rsid w:val="00E11523"/>
    <w:rsid w:val="00E115EE"/>
    <w:rsid w:val="00E116BB"/>
    <w:rsid w:val="00E117A5"/>
    <w:rsid w:val="00E11AFE"/>
    <w:rsid w:val="00E11F2A"/>
    <w:rsid w:val="00E11FEE"/>
    <w:rsid w:val="00E120A6"/>
    <w:rsid w:val="00E12126"/>
    <w:rsid w:val="00E126B8"/>
    <w:rsid w:val="00E12932"/>
    <w:rsid w:val="00E12BAA"/>
    <w:rsid w:val="00E12D9B"/>
    <w:rsid w:val="00E12DAC"/>
    <w:rsid w:val="00E130BD"/>
    <w:rsid w:val="00E130DA"/>
    <w:rsid w:val="00E133B5"/>
    <w:rsid w:val="00E13E60"/>
    <w:rsid w:val="00E140C4"/>
    <w:rsid w:val="00E1496D"/>
    <w:rsid w:val="00E14976"/>
    <w:rsid w:val="00E14AC7"/>
    <w:rsid w:val="00E14DA2"/>
    <w:rsid w:val="00E1505C"/>
    <w:rsid w:val="00E15354"/>
    <w:rsid w:val="00E15585"/>
    <w:rsid w:val="00E155F5"/>
    <w:rsid w:val="00E15A14"/>
    <w:rsid w:val="00E15DFF"/>
    <w:rsid w:val="00E15EF0"/>
    <w:rsid w:val="00E163C1"/>
    <w:rsid w:val="00E164D7"/>
    <w:rsid w:val="00E1658B"/>
    <w:rsid w:val="00E16C60"/>
    <w:rsid w:val="00E16FE5"/>
    <w:rsid w:val="00E17102"/>
    <w:rsid w:val="00E1715F"/>
    <w:rsid w:val="00E17545"/>
    <w:rsid w:val="00E179A8"/>
    <w:rsid w:val="00E17CCA"/>
    <w:rsid w:val="00E17E01"/>
    <w:rsid w:val="00E2001C"/>
    <w:rsid w:val="00E200A3"/>
    <w:rsid w:val="00E200FD"/>
    <w:rsid w:val="00E202B4"/>
    <w:rsid w:val="00E20335"/>
    <w:rsid w:val="00E20474"/>
    <w:rsid w:val="00E20488"/>
    <w:rsid w:val="00E2048D"/>
    <w:rsid w:val="00E20615"/>
    <w:rsid w:val="00E20B17"/>
    <w:rsid w:val="00E21025"/>
    <w:rsid w:val="00E21194"/>
    <w:rsid w:val="00E21299"/>
    <w:rsid w:val="00E21371"/>
    <w:rsid w:val="00E2147A"/>
    <w:rsid w:val="00E219F7"/>
    <w:rsid w:val="00E21C3B"/>
    <w:rsid w:val="00E220E9"/>
    <w:rsid w:val="00E22177"/>
    <w:rsid w:val="00E2285A"/>
    <w:rsid w:val="00E22AEE"/>
    <w:rsid w:val="00E22F8A"/>
    <w:rsid w:val="00E234D3"/>
    <w:rsid w:val="00E23711"/>
    <w:rsid w:val="00E23835"/>
    <w:rsid w:val="00E238E0"/>
    <w:rsid w:val="00E2409B"/>
    <w:rsid w:val="00E24719"/>
    <w:rsid w:val="00E24766"/>
    <w:rsid w:val="00E24ADB"/>
    <w:rsid w:val="00E24B07"/>
    <w:rsid w:val="00E254E2"/>
    <w:rsid w:val="00E259F6"/>
    <w:rsid w:val="00E26311"/>
    <w:rsid w:val="00E2637F"/>
    <w:rsid w:val="00E267D6"/>
    <w:rsid w:val="00E269ED"/>
    <w:rsid w:val="00E26A05"/>
    <w:rsid w:val="00E26D83"/>
    <w:rsid w:val="00E26EB1"/>
    <w:rsid w:val="00E26F6F"/>
    <w:rsid w:val="00E26FDE"/>
    <w:rsid w:val="00E272AC"/>
    <w:rsid w:val="00E273EA"/>
    <w:rsid w:val="00E27439"/>
    <w:rsid w:val="00E276DD"/>
    <w:rsid w:val="00E27D05"/>
    <w:rsid w:val="00E27DA8"/>
    <w:rsid w:val="00E300B6"/>
    <w:rsid w:val="00E304E0"/>
    <w:rsid w:val="00E3084C"/>
    <w:rsid w:val="00E30E43"/>
    <w:rsid w:val="00E31009"/>
    <w:rsid w:val="00E31062"/>
    <w:rsid w:val="00E3117F"/>
    <w:rsid w:val="00E312C5"/>
    <w:rsid w:val="00E313DF"/>
    <w:rsid w:val="00E319B1"/>
    <w:rsid w:val="00E31D95"/>
    <w:rsid w:val="00E324BC"/>
    <w:rsid w:val="00E32842"/>
    <w:rsid w:val="00E32CE6"/>
    <w:rsid w:val="00E32DC1"/>
    <w:rsid w:val="00E332AB"/>
    <w:rsid w:val="00E33AB9"/>
    <w:rsid w:val="00E33ACB"/>
    <w:rsid w:val="00E33B58"/>
    <w:rsid w:val="00E33D8F"/>
    <w:rsid w:val="00E3403A"/>
    <w:rsid w:val="00E34109"/>
    <w:rsid w:val="00E34443"/>
    <w:rsid w:val="00E34705"/>
    <w:rsid w:val="00E3491C"/>
    <w:rsid w:val="00E349D9"/>
    <w:rsid w:val="00E34A52"/>
    <w:rsid w:val="00E34ABA"/>
    <w:rsid w:val="00E34B78"/>
    <w:rsid w:val="00E3519E"/>
    <w:rsid w:val="00E3532D"/>
    <w:rsid w:val="00E35974"/>
    <w:rsid w:val="00E35BFD"/>
    <w:rsid w:val="00E35F55"/>
    <w:rsid w:val="00E35FB2"/>
    <w:rsid w:val="00E36370"/>
    <w:rsid w:val="00E3672D"/>
    <w:rsid w:val="00E36E0B"/>
    <w:rsid w:val="00E36E7A"/>
    <w:rsid w:val="00E36F23"/>
    <w:rsid w:val="00E3741E"/>
    <w:rsid w:val="00E37518"/>
    <w:rsid w:val="00E375E0"/>
    <w:rsid w:val="00E3785C"/>
    <w:rsid w:val="00E37879"/>
    <w:rsid w:val="00E37CF1"/>
    <w:rsid w:val="00E37EB0"/>
    <w:rsid w:val="00E37FA9"/>
    <w:rsid w:val="00E40278"/>
    <w:rsid w:val="00E4043C"/>
    <w:rsid w:val="00E4045E"/>
    <w:rsid w:val="00E4066D"/>
    <w:rsid w:val="00E4073C"/>
    <w:rsid w:val="00E40876"/>
    <w:rsid w:val="00E409F1"/>
    <w:rsid w:val="00E40CF7"/>
    <w:rsid w:val="00E41100"/>
    <w:rsid w:val="00E4165C"/>
    <w:rsid w:val="00E419D3"/>
    <w:rsid w:val="00E41CF2"/>
    <w:rsid w:val="00E41EB0"/>
    <w:rsid w:val="00E41F3D"/>
    <w:rsid w:val="00E421CF"/>
    <w:rsid w:val="00E423E5"/>
    <w:rsid w:val="00E4243C"/>
    <w:rsid w:val="00E42468"/>
    <w:rsid w:val="00E4273B"/>
    <w:rsid w:val="00E4295C"/>
    <w:rsid w:val="00E42974"/>
    <w:rsid w:val="00E42AE3"/>
    <w:rsid w:val="00E42B23"/>
    <w:rsid w:val="00E42CAC"/>
    <w:rsid w:val="00E42CF2"/>
    <w:rsid w:val="00E42FA6"/>
    <w:rsid w:val="00E42FAC"/>
    <w:rsid w:val="00E43B32"/>
    <w:rsid w:val="00E43BA2"/>
    <w:rsid w:val="00E43D16"/>
    <w:rsid w:val="00E43F5D"/>
    <w:rsid w:val="00E4418C"/>
    <w:rsid w:val="00E441D6"/>
    <w:rsid w:val="00E442FF"/>
    <w:rsid w:val="00E4430A"/>
    <w:rsid w:val="00E4492D"/>
    <w:rsid w:val="00E4492E"/>
    <w:rsid w:val="00E45533"/>
    <w:rsid w:val="00E4559D"/>
    <w:rsid w:val="00E45AFE"/>
    <w:rsid w:val="00E45B93"/>
    <w:rsid w:val="00E462B7"/>
    <w:rsid w:val="00E4630A"/>
    <w:rsid w:val="00E4639C"/>
    <w:rsid w:val="00E464AB"/>
    <w:rsid w:val="00E4655A"/>
    <w:rsid w:val="00E468A6"/>
    <w:rsid w:val="00E469C9"/>
    <w:rsid w:val="00E46B4F"/>
    <w:rsid w:val="00E46E5E"/>
    <w:rsid w:val="00E46EC0"/>
    <w:rsid w:val="00E47060"/>
    <w:rsid w:val="00E47254"/>
    <w:rsid w:val="00E472AD"/>
    <w:rsid w:val="00E4739F"/>
    <w:rsid w:val="00E47A9F"/>
    <w:rsid w:val="00E47C8D"/>
    <w:rsid w:val="00E47CBE"/>
    <w:rsid w:val="00E47DFC"/>
    <w:rsid w:val="00E47EA5"/>
    <w:rsid w:val="00E47F00"/>
    <w:rsid w:val="00E47F22"/>
    <w:rsid w:val="00E500C0"/>
    <w:rsid w:val="00E50C35"/>
    <w:rsid w:val="00E50CF8"/>
    <w:rsid w:val="00E50D22"/>
    <w:rsid w:val="00E50F68"/>
    <w:rsid w:val="00E5102A"/>
    <w:rsid w:val="00E51124"/>
    <w:rsid w:val="00E51979"/>
    <w:rsid w:val="00E51B05"/>
    <w:rsid w:val="00E51B57"/>
    <w:rsid w:val="00E51CCD"/>
    <w:rsid w:val="00E523DF"/>
    <w:rsid w:val="00E5245C"/>
    <w:rsid w:val="00E5248F"/>
    <w:rsid w:val="00E5263E"/>
    <w:rsid w:val="00E52818"/>
    <w:rsid w:val="00E5288C"/>
    <w:rsid w:val="00E528A6"/>
    <w:rsid w:val="00E52F1A"/>
    <w:rsid w:val="00E5319B"/>
    <w:rsid w:val="00E53321"/>
    <w:rsid w:val="00E534F1"/>
    <w:rsid w:val="00E53839"/>
    <w:rsid w:val="00E53DCC"/>
    <w:rsid w:val="00E53F30"/>
    <w:rsid w:val="00E5425F"/>
    <w:rsid w:val="00E5438C"/>
    <w:rsid w:val="00E54430"/>
    <w:rsid w:val="00E5476A"/>
    <w:rsid w:val="00E5510B"/>
    <w:rsid w:val="00E55303"/>
    <w:rsid w:val="00E55366"/>
    <w:rsid w:val="00E55477"/>
    <w:rsid w:val="00E55484"/>
    <w:rsid w:val="00E55561"/>
    <w:rsid w:val="00E55663"/>
    <w:rsid w:val="00E5571F"/>
    <w:rsid w:val="00E558E8"/>
    <w:rsid w:val="00E559FE"/>
    <w:rsid w:val="00E55EE6"/>
    <w:rsid w:val="00E55F2A"/>
    <w:rsid w:val="00E56073"/>
    <w:rsid w:val="00E5613E"/>
    <w:rsid w:val="00E56219"/>
    <w:rsid w:val="00E56904"/>
    <w:rsid w:val="00E5691C"/>
    <w:rsid w:val="00E56A1C"/>
    <w:rsid w:val="00E56E71"/>
    <w:rsid w:val="00E573EE"/>
    <w:rsid w:val="00E576C3"/>
    <w:rsid w:val="00E57A7F"/>
    <w:rsid w:val="00E57AEF"/>
    <w:rsid w:val="00E601D6"/>
    <w:rsid w:val="00E603A5"/>
    <w:rsid w:val="00E6056D"/>
    <w:rsid w:val="00E60736"/>
    <w:rsid w:val="00E60933"/>
    <w:rsid w:val="00E60945"/>
    <w:rsid w:val="00E60977"/>
    <w:rsid w:val="00E60A34"/>
    <w:rsid w:val="00E60B4A"/>
    <w:rsid w:val="00E60BA6"/>
    <w:rsid w:val="00E60EEC"/>
    <w:rsid w:val="00E612D2"/>
    <w:rsid w:val="00E6133C"/>
    <w:rsid w:val="00E61379"/>
    <w:rsid w:val="00E61818"/>
    <w:rsid w:val="00E61D87"/>
    <w:rsid w:val="00E61EC9"/>
    <w:rsid w:val="00E61F0C"/>
    <w:rsid w:val="00E62047"/>
    <w:rsid w:val="00E62333"/>
    <w:rsid w:val="00E62A68"/>
    <w:rsid w:val="00E62CD1"/>
    <w:rsid w:val="00E62D44"/>
    <w:rsid w:val="00E62EDA"/>
    <w:rsid w:val="00E636E4"/>
    <w:rsid w:val="00E6397D"/>
    <w:rsid w:val="00E63ADD"/>
    <w:rsid w:val="00E63E5B"/>
    <w:rsid w:val="00E63EEC"/>
    <w:rsid w:val="00E63F54"/>
    <w:rsid w:val="00E641E7"/>
    <w:rsid w:val="00E64210"/>
    <w:rsid w:val="00E64212"/>
    <w:rsid w:val="00E643D2"/>
    <w:rsid w:val="00E645D0"/>
    <w:rsid w:val="00E646C5"/>
    <w:rsid w:val="00E64C1F"/>
    <w:rsid w:val="00E64C5C"/>
    <w:rsid w:val="00E64DD0"/>
    <w:rsid w:val="00E65109"/>
    <w:rsid w:val="00E65265"/>
    <w:rsid w:val="00E653FA"/>
    <w:rsid w:val="00E65668"/>
    <w:rsid w:val="00E65880"/>
    <w:rsid w:val="00E65C39"/>
    <w:rsid w:val="00E65F85"/>
    <w:rsid w:val="00E663A1"/>
    <w:rsid w:val="00E666BE"/>
    <w:rsid w:val="00E66869"/>
    <w:rsid w:val="00E66CEC"/>
    <w:rsid w:val="00E672C9"/>
    <w:rsid w:val="00E67308"/>
    <w:rsid w:val="00E675DA"/>
    <w:rsid w:val="00E6779B"/>
    <w:rsid w:val="00E70190"/>
    <w:rsid w:val="00E7033C"/>
    <w:rsid w:val="00E7048C"/>
    <w:rsid w:val="00E70891"/>
    <w:rsid w:val="00E708A0"/>
    <w:rsid w:val="00E70A31"/>
    <w:rsid w:val="00E70ACB"/>
    <w:rsid w:val="00E71143"/>
    <w:rsid w:val="00E711A2"/>
    <w:rsid w:val="00E714DD"/>
    <w:rsid w:val="00E716D9"/>
    <w:rsid w:val="00E71871"/>
    <w:rsid w:val="00E7205B"/>
    <w:rsid w:val="00E7209F"/>
    <w:rsid w:val="00E720EC"/>
    <w:rsid w:val="00E72205"/>
    <w:rsid w:val="00E7224E"/>
    <w:rsid w:val="00E7286A"/>
    <w:rsid w:val="00E72C6B"/>
    <w:rsid w:val="00E73161"/>
    <w:rsid w:val="00E731F4"/>
    <w:rsid w:val="00E73295"/>
    <w:rsid w:val="00E732C6"/>
    <w:rsid w:val="00E737F8"/>
    <w:rsid w:val="00E738CD"/>
    <w:rsid w:val="00E73A8E"/>
    <w:rsid w:val="00E74458"/>
    <w:rsid w:val="00E74558"/>
    <w:rsid w:val="00E7490D"/>
    <w:rsid w:val="00E75432"/>
    <w:rsid w:val="00E754E9"/>
    <w:rsid w:val="00E75602"/>
    <w:rsid w:val="00E756D7"/>
    <w:rsid w:val="00E75904"/>
    <w:rsid w:val="00E75D2A"/>
    <w:rsid w:val="00E75DE7"/>
    <w:rsid w:val="00E762FD"/>
    <w:rsid w:val="00E76329"/>
    <w:rsid w:val="00E763D1"/>
    <w:rsid w:val="00E766CB"/>
    <w:rsid w:val="00E76807"/>
    <w:rsid w:val="00E768E6"/>
    <w:rsid w:val="00E76A0F"/>
    <w:rsid w:val="00E76B38"/>
    <w:rsid w:val="00E76DF8"/>
    <w:rsid w:val="00E772C8"/>
    <w:rsid w:val="00E77535"/>
    <w:rsid w:val="00E77560"/>
    <w:rsid w:val="00E77A4B"/>
    <w:rsid w:val="00E77B39"/>
    <w:rsid w:val="00E80047"/>
    <w:rsid w:val="00E80214"/>
    <w:rsid w:val="00E80254"/>
    <w:rsid w:val="00E802D5"/>
    <w:rsid w:val="00E805C0"/>
    <w:rsid w:val="00E8093D"/>
    <w:rsid w:val="00E8097E"/>
    <w:rsid w:val="00E80A40"/>
    <w:rsid w:val="00E80C64"/>
    <w:rsid w:val="00E80E8A"/>
    <w:rsid w:val="00E80F4D"/>
    <w:rsid w:val="00E811C8"/>
    <w:rsid w:val="00E81AA9"/>
    <w:rsid w:val="00E81EA3"/>
    <w:rsid w:val="00E81ED6"/>
    <w:rsid w:val="00E82183"/>
    <w:rsid w:val="00E823ED"/>
    <w:rsid w:val="00E82669"/>
    <w:rsid w:val="00E82751"/>
    <w:rsid w:val="00E830D6"/>
    <w:rsid w:val="00E83271"/>
    <w:rsid w:val="00E833B0"/>
    <w:rsid w:val="00E83446"/>
    <w:rsid w:val="00E836B2"/>
    <w:rsid w:val="00E83859"/>
    <w:rsid w:val="00E83D4E"/>
    <w:rsid w:val="00E83E4B"/>
    <w:rsid w:val="00E83FE7"/>
    <w:rsid w:val="00E845A5"/>
    <w:rsid w:val="00E8485F"/>
    <w:rsid w:val="00E84A6F"/>
    <w:rsid w:val="00E84CB3"/>
    <w:rsid w:val="00E85046"/>
    <w:rsid w:val="00E855DE"/>
    <w:rsid w:val="00E85B05"/>
    <w:rsid w:val="00E85FE2"/>
    <w:rsid w:val="00E860D8"/>
    <w:rsid w:val="00E8651E"/>
    <w:rsid w:val="00E8658B"/>
    <w:rsid w:val="00E865E9"/>
    <w:rsid w:val="00E86828"/>
    <w:rsid w:val="00E86D1F"/>
    <w:rsid w:val="00E87304"/>
    <w:rsid w:val="00E874E7"/>
    <w:rsid w:val="00E8778D"/>
    <w:rsid w:val="00E87C43"/>
    <w:rsid w:val="00E87E06"/>
    <w:rsid w:val="00E90003"/>
    <w:rsid w:val="00E900CC"/>
    <w:rsid w:val="00E90644"/>
    <w:rsid w:val="00E907F6"/>
    <w:rsid w:val="00E909D9"/>
    <w:rsid w:val="00E90E45"/>
    <w:rsid w:val="00E912F8"/>
    <w:rsid w:val="00E91446"/>
    <w:rsid w:val="00E918FF"/>
    <w:rsid w:val="00E91944"/>
    <w:rsid w:val="00E91B24"/>
    <w:rsid w:val="00E91C2B"/>
    <w:rsid w:val="00E91CF9"/>
    <w:rsid w:val="00E922A1"/>
    <w:rsid w:val="00E92394"/>
    <w:rsid w:val="00E926B4"/>
    <w:rsid w:val="00E92852"/>
    <w:rsid w:val="00E92C90"/>
    <w:rsid w:val="00E92D74"/>
    <w:rsid w:val="00E92D75"/>
    <w:rsid w:val="00E92E32"/>
    <w:rsid w:val="00E9322B"/>
    <w:rsid w:val="00E93341"/>
    <w:rsid w:val="00E938CF"/>
    <w:rsid w:val="00E93905"/>
    <w:rsid w:val="00E93B0A"/>
    <w:rsid w:val="00E93F11"/>
    <w:rsid w:val="00E93F2D"/>
    <w:rsid w:val="00E94062"/>
    <w:rsid w:val="00E94536"/>
    <w:rsid w:val="00E94A20"/>
    <w:rsid w:val="00E94D33"/>
    <w:rsid w:val="00E953EF"/>
    <w:rsid w:val="00E95881"/>
    <w:rsid w:val="00E959B6"/>
    <w:rsid w:val="00E95CA7"/>
    <w:rsid w:val="00E95F27"/>
    <w:rsid w:val="00E95F7C"/>
    <w:rsid w:val="00E9605E"/>
    <w:rsid w:val="00E960D4"/>
    <w:rsid w:val="00E966A4"/>
    <w:rsid w:val="00E96B0A"/>
    <w:rsid w:val="00E96B40"/>
    <w:rsid w:val="00E970B9"/>
    <w:rsid w:val="00E97214"/>
    <w:rsid w:val="00E97601"/>
    <w:rsid w:val="00E979C1"/>
    <w:rsid w:val="00E97B4F"/>
    <w:rsid w:val="00E97D7A"/>
    <w:rsid w:val="00EA015F"/>
    <w:rsid w:val="00EA0981"/>
    <w:rsid w:val="00EA0AC2"/>
    <w:rsid w:val="00EA0AE9"/>
    <w:rsid w:val="00EA0D04"/>
    <w:rsid w:val="00EA1055"/>
    <w:rsid w:val="00EA127F"/>
    <w:rsid w:val="00EA13DD"/>
    <w:rsid w:val="00EA1628"/>
    <w:rsid w:val="00EA162C"/>
    <w:rsid w:val="00EA19D8"/>
    <w:rsid w:val="00EA1AF3"/>
    <w:rsid w:val="00EA1D08"/>
    <w:rsid w:val="00EA1D3D"/>
    <w:rsid w:val="00EA1EA7"/>
    <w:rsid w:val="00EA20EA"/>
    <w:rsid w:val="00EA21CA"/>
    <w:rsid w:val="00EA2F3F"/>
    <w:rsid w:val="00EA2F7D"/>
    <w:rsid w:val="00EA3057"/>
    <w:rsid w:val="00EA315E"/>
    <w:rsid w:val="00EA326A"/>
    <w:rsid w:val="00EA32D6"/>
    <w:rsid w:val="00EA37F0"/>
    <w:rsid w:val="00EA3BD7"/>
    <w:rsid w:val="00EA3C13"/>
    <w:rsid w:val="00EA433D"/>
    <w:rsid w:val="00EA475F"/>
    <w:rsid w:val="00EA47F9"/>
    <w:rsid w:val="00EA4AD9"/>
    <w:rsid w:val="00EA4BB1"/>
    <w:rsid w:val="00EA4CF7"/>
    <w:rsid w:val="00EA52BB"/>
    <w:rsid w:val="00EA5789"/>
    <w:rsid w:val="00EA5861"/>
    <w:rsid w:val="00EA58B2"/>
    <w:rsid w:val="00EA5D44"/>
    <w:rsid w:val="00EA60C0"/>
    <w:rsid w:val="00EA631D"/>
    <w:rsid w:val="00EA632C"/>
    <w:rsid w:val="00EA64A8"/>
    <w:rsid w:val="00EA69AE"/>
    <w:rsid w:val="00EA6C37"/>
    <w:rsid w:val="00EA6E42"/>
    <w:rsid w:val="00EA7024"/>
    <w:rsid w:val="00EA7047"/>
    <w:rsid w:val="00EA75A3"/>
    <w:rsid w:val="00EA77C4"/>
    <w:rsid w:val="00EA7831"/>
    <w:rsid w:val="00EA78A4"/>
    <w:rsid w:val="00EA7BCB"/>
    <w:rsid w:val="00EA7E51"/>
    <w:rsid w:val="00EB0068"/>
    <w:rsid w:val="00EB0248"/>
    <w:rsid w:val="00EB037D"/>
    <w:rsid w:val="00EB03C3"/>
    <w:rsid w:val="00EB0561"/>
    <w:rsid w:val="00EB060D"/>
    <w:rsid w:val="00EB07DC"/>
    <w:rsid w:val="00EB0B9A"/>
    <w:rsid w:val="00EB0C46"/>
    <w:rsid w:val="00EB0E73"/>
    <w:rsid w:val="00EB0F92"/>
    <w:rsid w:val="00EB14CD"/>
    <w:rsid w:val="00EB1986"/>
    <w:rsid w:val="00EB1CD3"/>
    <w:rsid w:val="00EB1D02"/>
    <w:rsid w:val="00EB1E97"/>
    <w:rsid w:val="00EB2007"/>
    <w:rsid w:val="00EB2066"/>
    <w:rsid w:val="00EB231E"/>
    <w:rsid w:val="00EB238E"/>
    <w:rsid w:val="00EB23C4"/>
    <w:rsid w:val="00EB2402"/>
    <w:rsid w:val="00EB258F"/>
    <w:rsid w:val="00EB2600"/>
    <w:rsid w:val="00EB2C05"/>
    <w:rsid w:val="00EB2D1E"/>
    <w:rsid w:val="00EB2E46"/>
    <w:rsid w:val="00EB3143"/>
    <w:rsid w:val="00EB356D"/>
    <w:rsid w:val="00EB35F9"/>
    <w:rsid w:val="00EB397B"/>
    <w:rsid w:val="00EB3A8A"/>
    <w:rsid w:val="00EB3BAC"/>
    <w:rsid w:val="00EB3C6F"/>
    <w:rsid w:val="00EB3D07"/>
    <w:rsid w:val="00EB3E29"/>
    <w:rsid w:val="00EB4041"/>
    <w:rsid w:val="00EB42FB"/>
    <w:rsid w:val="00EB447B"/>
    <w:rsid w:val="00EB4ACB"/>
    <w:rsid w:val="00EB4F1D"/>
    <w:rsid w:val="00EB4F76"/>
    <w:rsid w:val="00EB548D"/>
    <w:rsid w:val="00EB54A2"/>
    <w:rsid w:val="00EB56C5"/>
    <w:rsid w:val="00EB58C5"/>
    <w:rsid w:val="00EB5914"/>
    <w:rsid w:val="00EB596F"/>
    <w:rsid w:val="00EB5BB8"/>
    <w:rsid w:val="00EB5D78"/>
    <w:rsid w:val="00EB6017"/>
    <w:rsid w:val="00EB60A7"/>
    <w:rsid w:val="00EB62F0"/>
    <w:rsid w:val="00EB6971"/>
    <w:rsid w:val="00EB6B6B"/>
    <w:rsid w:val="00EB6D79"/>
    <w:rsid w:val="00EB6ED2"/>
    <w:rsid w:val="00EB74DB"/>
    <w:rsid w:val="00EB7730"/>
    <w:rsid w:val="00EB7A53"/>
    <w:rsid w:val="00EB7A71"/>
    <w:rsid w:val="00EB7C4E"/>
    <w:rsid w:val="00EB7E6F"/>
    <w:rsid w:val="00EB7F2D"/>
    <w:rsid w:val="00EC05C2"/>
    <w:rsid w:val="00EC088E"/>
    <w:rsid w:val="00EC0908"/>
    <w:rsid w:val="00EC0C02"/>
    <w:rsid w:val="00EC0CB0"/>
    <w:rsid w:val="00EC0D02"/>
    <w:rsid w:val="00EC11BE"/>
    <w:rsid w:val="00EC15A6"/>
    <w:rsid w:val="00EC197E"/>
    <w:rsid w:val="00EC1B51"/>
    <w:rsid w:val="00EC1D11"/>
    <w:rsid w:val="00EC1D1B"/>
    <w:rsid w:val="00EC1DA1"/>
    <w:rsid w:val="00EC1F34"/>
    <w:rsid w:val="00EC2049"/>
    <w:rsid w:val="00EC20B6"/>
    <w:rsid w:val="00EC2238"/>
    <w:rsid w:val="00EC22A5"/>
    <w:rsid w:val="00EC247B"/>
    <w:rsid w:val="00EC2480"/>
    <w:rsid w:val="00EC2679"/>
    <w:rsid w:val="00EC2729"/>
    <w:rsid w:val="00EC2843"/>
    <w:rsid w:val="00EC2CAE"/>
    <w:rsid w:val="00EC2E6A"/>
    <w:rsid w:val="00EC2F20"/>
    <w:rsid w:val="00EC3069"/>
    <w:rsid w:val="00EC345A"/>
    <w:rsid w:val="00EC36B6"/>
    <w:rsid w:val="00EC3959"/>
    <w:rsid w:val="00EC39A9"/>
    <w:rsid w:val="00EC3A96"/>
    <w:rsid w:val="00EC3CC1"/>
    <w:rsid w:val="00EC461E"/>
    <w:rsid w:val="00EC46DF"/>
    <w:rsid w:val="00EC487B"/>
    <w:rsid w:val="00EC48C0"/>
    <w:rsid w:val="00EC49F9"/>
    <w:rsid w:val="00EC4ABF"/>
    <w:rsid w:val="00EC4B8B"/>
    <w:rsid w:val="00EC4D97"/>
    <w:rsid w:val="00EC4EF7"/>
    <w:rsid w:val="00EC501F"/>
    <w:rsid w:val="00EC5077"/>
    <w:rsid w:val="00EC50EC"/>
    <w:rsid w:val="00EC50EE"/>
    <w:rsid w:val="00EC551B"/>
    <w:rsid w:val="00EC5B76"/>
    <w:rsid w:val="00EC5E95"/>
    <w:rsid w:val="00EC6043"/>
    <w:rsid w:val="00EC60AA"/>
    <w:rsid w:val="00EC616B"/>
    <w:rsid w:val="00EC6174"/>
    <w:rsid w:val="00EC6356"/>
    <w:rsid w:val="00EC635E"/>
    <w:rsid w:val="00EC65AB"/>
    <w:rsid w:val="00EC6BBC"/>
    <w:rsid w:val="00EC6D2E"/>
    <w:rsid w:val="00EC6D88"/>
    <w:rsid w:val="00EC70FD"/>
    <w:rsid w:val="00EC76C9"/>
    <w:rsid w:val="00EC7969"/>
    <w:rsid w:val="00EC7CCE"/>
    <w:rsid w:val="00EC7D4F"/>
    <w:rsid w:val="00EC7F26"/>
    <w:rsid w:val="00ED08DD"/>
    <w:rsid w:val="00ED09D0"/>
    <w:rsid w:val="00ED1103"/>
    <w:rsid w:val="00ED13B7"/>
    <w:rsid w:val="00ED1985"/>
    <w:rsid w:val="00ED1B2C"/>
    <w:rsid w:val="00ED1E50"/>
    <w:rsid w:val="00ED1F44"/>
    <w:rsid w:val="00ED20AE"/>
    <w:rsid w:val="00ED21FC"/>
    <w:rsid w:val="00ED2235"/>
    <w:rsid w:val="00ED2348"/>
    <w:rsid w:val="00ED23EB"/>
    <w:rsid w:val="00ED27D8"/>
    <w:rsid w:val="00ED2B16"/>
    <w:rsid w:val="00ED2DD4"/>
    <w:rsid w:val="00ED2DD9"/>
    <w:rsid w:val="00ED3075"/>
    <w:rsid w:val="00ED32FF"/>
    <w:rsid w:val="00ED3737"/>
    <w:rsid w:val="00ED3842"/>
    <w:rsid w:val="00ED3D11"/>
    <w:rsid w:val="00ED3EDE"/>
    <w:rsid w:val="00ED437A"/>
    <w:rsid w:val="00ED4622"/>
    <w:rsid w:val="00ED46E0"/>
    <w:rsid w:val="00ED470A"/>
    <w:rsid w:val="00ED4726"/>
    <w:rsid w:val="00ED490B"/>
    <w:rsid w:val="00ED4E45"/>
    <w:rsid w:val="00ED4EEF"/>
    <w:rsid w:val="00ED4EF5"/>
    <w:rsid w:val="00ED500D"/>
    <w:rsid w:val="00ED5084"/>
    <w:rsid w:val="00ED53A6"/>
    <w:rsid w:val="00ED55F0"/>
    <w:rsid w:val="00ED5664"/>
    <w:rsid w:val="00ED567F"/>
    <w:rsid w:val="00ED5A57"/>
    <w:rsid w:val="00ED5BAB"/>
    <w:rsid w:val="00ED5F8C"/>
    <w:rsid w:val="00ED64C4"/>
    <w:rsid w:val="00ED6641"/>
    <w:rsid w:val="00ED6712"/>
    <w:rsid w:val="00ED69E4"/>
    <w:rsid w:val="00ED6A10"/>
    <w:rsid w:val="00ED6A32"/>
    <w:rsid w:val="00ED6BAC"/>
    <w:rsid w:val="00ED6C5D"/>
    <w:rsid w:val="00ED6CD1"/>
    <w:rsid w:val="00ED6E29"/>
    <w:rsid w:val="00ED749A"/>
    <w:rsid w:val="00ED76C9"/>
    <w:rsid w:val="00ED791B"/>
    <w:rsid w:val="00ED7984"/>
    <w:rsid w:val="00ED7F67"/>
    <w:rsid w:val="00EE0498"/>
    <w:rsid w:val="00EE0526"/>
    <w:rsid w:val="00EE0B4F"/>
    <w:rsid w:val="00EE0CE4"/>
    <w:rsid w:val="00EE0D75"/>
    <w:rsid w:val="00EE10AB"/>
    <w:rsid w:val="00EE1661"/>
    <w:rsid w:val="00EE1949"/>
    <w:rsid w:val="00EE19AE"/>
    <w:rsid w:val="00EE1CAD"/>
    <w:rsid w:val="00EE1F52"/>
    <w:rsid w:val="00EE20CD"/>
    <w:rsid w:val="00EE2CC3"/>
    <w:rsid w:val="00EE2CCD"/>
    <w:rsid w:val="00EE2E43"/>
    <w:rsid w:val="00EE2EBA"/>
    <w:rsid w:val="00EE2EC1"/>
    <w:rsid w:val="00EE314F"/>
    <w:rsid w:val="00EE3442"/>
    <w:rsid w:val="00EE34B0"/>
    <w:rsid w:val="00EE3730"/>
    <w:rsid w:val="00EE3772"/>
    <w:rsid w:val="00EE3852"/>
    <w:rsid w:val="00EE390C"/>
    <w:rsid w:val="00EE3930"/>
    <w:rsid w:val="00EE3960"/>
    <w:rsid w:val="00EE3D11"/>
    <w:rsid w:val="00EE3E82"/>
    <w:rsid w:val="00EE3E99"/>
    <w:rsid w:val="00EE3ECC"/>
    <w:rsid w:val="00EE4243"/>
    <w:rsid w:val="00EE43FB"/>
    <w:rsid w:val="00EE46A4"/>
    <w:rsid w:val="00EE46C3"/>
    <w:rsid w:val="00EE4922"/>
    <w:rsid w:val="00EE4BA0"/>
    <w:rsid w:val="00EE4E8A"/>
    <w:rsid w:val="00EE4EA0"/>
    <w:rsid w:val="00EE50B9"/>
    <w:rsid w:val="00EE51B6"/>
    <w:rsid w:val="00EE5443"/>
    <w:rsid w:val="00EE545A"/>
    <w:rsid w:val="00EE54C8"/>
    <w:rsid w:val="00EE5673"/>
    <w:rsid w:val="00EE56C1"/>
    <w:rsid w:val="00EE57AC"/>
    <w:rsid w:val="00EE5DD5"/>
    <w:rsid w:val="00EE5FDE"/>
    <w:rsid w:val="00EE6827"/>
    <w:rsid w:val="00EE6967"/>
    <w:rsid w:val="00EE69E1"/>
    <w:rsid w:val="00EE6A3E"/>
    <w:rsid w:val="00EE7134"/>
    <w:rsid w:val="00EE7221"/>
    <w:rsid w:val="00EE76FC"/>
    <w:rsid w:val="00EE7A36"/>
    <w:rsid w:val="00EE7AB9"/>
    <w:rsid w:val="00EE7CEE"/>
    <w:rsid w:val="00EF00DA"/>
    <w:rsid w:val="00EF0115"/>
    <w:rsid w:val="00EF0421"/>
    <w:rsid w:val="00EF05F1"/>
    <w:rsid w:val="00EF0C86"/>
    <w:rsid w:val="00EF0D12"/>
    <w:rsid w:val="00EF0D95"/>
    <w:rsid w:val="00EF1073"/>
    <w:rsid w:val="00EF1169"/>
    <w:rsid w:val="00EF1193"/>
    <w:rsid w:val="00EF11D2"/>
    <w:rsid w:val="00EF1245"/>
    <w:rsid w:val="00EF1254"/>
    <w:rsid w:val="00EF12E1"/>
    <w:rsid w:val="00EF1575"/>
    <w:rsid w:val="00EF188D"/>
    <w:rsid w:val="00EF1B6A"/>
    <w:rsid w:val="00EF1F3B"/>
    <w:rsid w:val="00EF207D"/>
    <w:rsid w:val="00EF2694"/>
    <w:rsid w:val="00EF2762"/>
    <w:rsid w:val="00EF2A10"/>
    <w:rsid w:val="00EF30C1"/>
    <w:rsid w:val="00EF3158"/>
    <w:rsid w:val="00EF3379"/>
    <w:rsid w:val="00EF33AB"/>
    <w:rsid w:val="00EF3A31"/>
    <w:rsid w:val="00EF3C04"/>
    <w:rsid w:val="00EF3FA1"/>
    <w:rsid w:val="00EF4360"/>
    <w:rsid w:val="00EF43F9"/>
    <w:rsid w:val="00EF48E4"/>
    <w:rsid w:val="00EF49DE"/>
    <w:rsid w:val="00EF4B48"/>
    <w:rsid w:val="00EF5093"/>
    <w:rsid w:val="00EF582A"/>
    <w:rsid w:val="00EF5A30"/>
    <w:rsid w:val="00EF5B58"/>
    <w:rsid w:val="00EF5BBF"/>
    <w:rsid w:val="00EF600B"/>
    <w:rsid w:val="00EF6516"/>
    <w:rsid w:val="00EF6766"/>
    <w:rsid w:val="00EF6922"/>
    <w:rsid w:val="00EF6B6D"/>
    <w:rsid w:val="00EF6C23"/>
    <w:rsid w:val="00EF6CA2"/>
    <w:rsid w:val="00EF6D20"/>
    <w:rsid w:val="00EF6E64"/>
    <w:rsid w:val="00EF7314"/>
    <w:rsid w:val="00EF7386"/>
    <w:rsid w:val="00EF76A2"/>
    <w:rsid w:val="00EF790E"/>
    <w:rsid w:val="00EF7AB3"/>
    <w:rsid w:val="00F0022E"/>
    <w:rsid w:val="00F0066C"/>
    <w:rsid w:val="00F006DD"/>
    <w:rsid w:val="00F00926"/>
    <w:rsid w:val="00F00EFC"/>
    <w:rsid w:val="00F0167A"/>
    <w:rsid w:val="00F0178B"/>
    <w:rsid w:val="00F019C2"/>
    <w:rsid w:val="00F01C5C"/>
    <w:rsid w:val="00F01F51"/>
    <w:rsid w:val="00F0247F"/>
    <w:rsid w:val="00F024A7"/>
    <w:rsid w:val="00F02562"/>
    <w:rsid w:val="00F025A0"/>
    <w:rsid w:val="00F025EE"/>
    <w:rsid w:val="00F02F7E"/>
    <w:rsid w:val="00F02FF7"/>
    <w:rsid w:val="00F0383A"/>
    <w:rsid w:val="00F038F2"/>
    <w:rsid w:val="00F045E7"/>
    <w:rsid w:val="00F046A6"/>
    <w:rsid w:val="00F04957"/>
    <w:rsid w:val="00F04C3A"/>
    <w:rsid w:val="00F04CA0"/>
    <w:rsid w:val="00F04D20"/>
    <w:rsid w:val="00F05353"/>
    <w:rsid w:val="00F05A3A"/>
    <w:rsid w:val="00F05D8B"/>
    <w:rsid w:val="00F05DA3"/>
    <w:rsid w:val="00F06026"/>
    <w:rsid w:val="00F060B6"/>
    <w:rsid w:val="00F062E5"/>
    <w:rsid w:val="00F063A3"/>
    <w:rsid w:val="00F064EC"/>
    <w:rsid w:val="00F0685D"/>
    <w:rsid w:val="00F068EE"/>
    <w:rsid w:val="00F06AE4"/>
    <w:rsid w:val="00F07531"/>
    <w:rsid w:val="00F07612"/>
    <w:rsid w:val="00F0775B"/>
    <w:rsid w:val="00F07814"/>
    <w:rsid w:val="00F07820"/>
    <w:rsid w:val="00F079AD"/>
    <w:rsid w:val="00F07B3D"/>
    <w:rsid w:val="00F07B4D"/>
    <w:rsid w:val="00F07BA9"/>
    <w:rsid w:val="00F07D6B"/>
    <w:rsid w:val="00F07DB8"/>
    <w:rsid w:val="00F100B9"/>
    <w:rsid w:val="00F105AC"/>
    <w:rsid w:val="00F10FA6"/>
    <w:rsid w:val="00F1109D"/>
    <w:rsid w:val="00F110EF"/>
    <w:rsid w:val="00F11651"/>
    <w:rsid w:val="00F116BD"/>
    <w:rsid w:val="00F11979"/>
    <w:rsid w:val="00F11A0A"/>
    <w:rsid w:val="00F11BA1"/>
    <w:rsid w:val="00F11BDA"/>
    <w:rsid w:val="00F11F25"/>
    <w:rsid w:val="00F11FE8"/>
    <w:rsid w:val="00F1212C"/>
    <w:rsid w:val="00F12583"/>
    <w:rsid w:val="00F125E4"/>
    <w:rsid w:val="00F1269C"/>
    <w:rsid w:val="00F12702"/>
    <w:rsid w:val="00F1273C"/>
    <w:rsid w:val="00F12876"/>
    <w:rsid w:val="00F13190"/>
    <w:rsid w:val="00F13430"/>
    <w:rsid w:val="00F1346A"/>
    <w:rsid w:val="00F13609"/>
    <w:rsid w:val="00F13624"/>
    <w:rsid w:val="00F1363A"/>
    <w:rsid w:val="00F13837"/>
    <w:rsid w:val="00F13975"/>
    <w:rsid w:val="00F13A1F"/>
    <w:rsid w:val="00F13C90"/>
    <w:rsid w:val="00F13E99"/>
    <w:rsid w:val="00F1404C"/>
    <w:rsid w:val="00F14167"/>
    <w:rsid w:val="00F1441E"/>
    <w:rsid w:val="00F1485A"/>
    <w:rsid w:val="00F148F6"/>
    <w:rsid w:val="00F14F42"/>
    <w:rsid w:val="00F1536E"/>
    <w:rsid w:val="00F15445"/>
    <w:rsid w:val="00F15478"/>
    <w:rsid w:val="00F15517"/>
    <w:rsid w:val="00F155DE"/>
    <w:rsid w:val="00F15663"/>
    <w:rsid w:val="00F157B0"/>
    <w:rsid w:val="00F15AAF"/>
    <w:rsid w:val="00F15E41"/>
    <w:rsid w:val="00F1613F"/>
    <w:rsid w:val="00F16E48"/>
    <w:rsid w:val="00F16E98"/>
    <w:rsid w:val="00F17147"/>
    <w:rsid w:val="00F17149"/>
    <w:rsid w:val="00F1729D"/>
    <w:rsid w:val="00F1743A"/>
    <w:rsid w:val="00F178A9"/>
    <w:rsid w:val="00F17D64"/>
    <w:rsid w:val="00F17DDF"/>
    <w:rsid w:val="00F17F4A"/>
    <w:rsid w:val="00F2003E"/>
    <w:rsid w:val="00F202E0"/>
    <w:rsid w:val="00F205B6"/>
    <w:rsid w:val="00F20778"/>
    <w:rsid w:val="00F20BE0"/>
    <w:rsid w:val="00F20EFC"/>
    <w:rsid w:val="00F217F2"/>
    <w:rsid w:val="00F21A80"/>
    <w:rsid w:val="00F21B23"/>
    <w:rsid w:val="00F21E50"/>
    <w:rsid w:val="00F2213D"/>
    <w:rsid w:val="00F2215E"/>
    <w:rsid w:val="00F222B6"/>
    <w:rsid w:val="00F222D2"/>
    <w:rsid w:val="00F22625"/>
    <w:rsid w:val="00F22665"/>
    <w:rsid w:val="00F2269B"/>
    <w:rsid w:val="00F22907"/>
    <w:rsid w:val="00F229BD"/>
    <w:rsid w:val="00F22BE8"/>
    <w:rsid w:val="00F22D61"/>
    <w:rsid w:val="00F22E9A"/>
    <w:rsid w:val="00F23176"/>
    <w:rsid w:val="00F2346A"/>
    <w:rsid w:val="00F234CB"/>
    <w:rsid w:val="00F2356C"/>
    <w:rsid w:val="00F23716"/>
    <w:rsid w:val="00F23E52"/>
    <w:rsid w:val="00F24106"/>
    <w:rsid w:val="00F241C8"/>
    <w:rsid w:val="00F243A9"/>
    <w:rsid w:val="00F24841"/>
    <w:rsid w:val="00F2486A"/>
    <w:rsid w:val="00F24A3A"/>
    <w:rsid w:val="00F24BD6"/>
    <w:rsid w:val="00F24DBF"/>
    <w:rsid w:val="00F24EC1"/>
    <w:rsid w:val="00F24F64"/>
    <w:rsid w:val="00F24FDA"/>
    <w:rsid w:val="00F250B5"/>
    <w:rsid w:val="00F25182"/>
    <w:rsid w:val="00F2529C"/>
    <w:rsid w:val="00F2598E"/>
    <w:rsid w:val="00F25CF5"/>
    <w:rsid w:val="00F26179"/>
    <w:rsid w:val="00F26380"/>
    <w:rsid w:val="00F26653"/>
    <w:rsid w:val="00F26733"/>
    <w:rsid w:val="00F26852"/>
    <w:rsid w:val="00F26957"/>
    <w:rsid w:val="00F26CA8"/>
    <w:rsid w:val="00F26EFA"/>
    <w:rsid w:val="00F27218"/>
    <w:rsid w:val="00F272F0"/>
    <w:rsid w:val="00F275E9"/>
    <w:rsid w:val="00F277B2"/>
    <w:rsid w:val="00F27CD3"/>
    <w:rsid w:val="00F27E6F"/>
    <w:rsid w:val="00F27F78"/>
    <w:rsid w:val="00F3005E"/>
    <w:rsid w:val="00F3018F"/>
    <w:rsid w:val="00F3057C"/>
    <w:rsid w:val="00F30999"/>
    <w:rsid w:val="00F30AAF"/>
    <w:rsid w:val="00F30B29"/>
    <w:rsid w:val="00F30C05"/>
    <w:rsid w:val="00F3126A"/>
    <w:rsid w:val="00F3136F"/>
    <w:rsid w:val="00F315B7"/>
    <w:rsid w:val="00F31676"/>
    <w:rsid w:val="00F316C6"/>
    <w:rsid w:val="00F319C6"/>
    <w:rsid w:val="00F32070"/>
    <w:rsid w:val="00F32387"/>
    <w:rsid w:val="00F324A7"/>
    <w:rsid w:val="00F3272F"/>
    <w:rsid w:val="00F3274D"/>
    <w:rsid w:val="00F328B4"/>
    <w:rsid w:val="00F328BC"/>
    <w:rsid w:val="00F32F8E"/>
    <w:rsid w:val="00F33039"/>
    <w:rsid w:val="00F33254"/>
    <w:rsid w:val="00F332CD"/>
    <w:rsid w:val="00F33314"/>
    <w:rsid w:val="00F3343B"/>
    <w:rsid w:val="00F335C9"/>
    <w:rsid w:val="00F335E5"/>
    <w:rsid w:val="00F3393C"/>
    <w:rsid w:val="00F33BBB"/>
    <w:rsid w:val="00F33C1C"/>
    <w:rsid w:val="00F33DDB"/>
    <w:rsid w:val="00F34030"/>
    <w:rsid w:val="00F340B5"/>
    <w:rsid w:val="00F340C0"/>
    <w:rsid w:val="00F341D4"/>
    <w:rsid w:val="00F3453E"/>
    <w:rsid w:val="00F34897"/>
    <w:rsid w:val="00F35794"/>
    <w:rsid w:val="00F35D44"/>
    <w:rsid w:val="00F35E9F"/>
    <w:rsid w:val="00F3613E"/>
    <w:rsid w:val="00F36451"/>
    <w:rsid w:val="00F3656A"/>
    <w:rsid w:val="00F367C6"/>
    <w:rsid w:val="00F36AA3"/>
    <w:rsid w:val="00F370BA"/>
    <w:rsid w:val="00F37555"/>
    <w:rsid w:val="00F37635"/>
    <w:rsid w:val="00F37AB2"/>
    <w:rsid w:val="00F37C4F"/>
    <w:rsid w:val="00F37EDF"/>
    <w:rsid w:val="00F37FAE"/>
    <w:rsid w:val="00F40123"/>
    <w:rsid w:val="00F402E1"/>
    <w:rsid w:val="00F40321"/>
    <w:rsid w:val="00F40A52"/>
    <w:rsid w:val="00F40E12"/>
    <w:rsid w:val="00F4129C"/>
    <w:rsid w:val="00F4140A"/>
    <w:rsid w:val="00F41412"/>
    <w:rsid w:val="00F414CF"/>
    <w:rsid w:val="00F41D61"/>
    <w:rsid w:val="00F41ECC"/>
    <w:rsid w:val="00F42096"/>
    <w:rsid w:val="00F421C3"/>
    <w:rsid w:val="00F42204"/>
    <w:rsid w:val="00F4226E"/>
    <w:rsid w:val="00F4236E"/>
    <w:rsid w:val="00F427EF"/>
    <w:rsid w:val="00F42999"/>
    <w:rsid w:val="00F42C2A"/>
    <w:rsid w:val="00F42C71"/>
    <w:rsid w:val="00F42EB1"/>
    <w:rsid w:val="00F432A5"/>
    <w:rsid w:val="00F4343B"/>
    <w:rsid w:val="00F4352C"/>
    <w:rsid w:val="00F43ACF"/>
    <w:rsid w:val="00F43BF9"/>
    <w:rsid w:val="00F43F94"/>
    <w:rsid w:val="00F43FB2"/>
    <w:rsid w:val="00F43FDD"/>
    <w:rsid w:val="00F4462D"/>
    <w:rsid w:val="00F44A1E"/>
    <w:rsid w:val="00F44A22"/>
    <w:rsid w:val="00F44E9D"/>
    <w:rsid w:val="00F44EA1"/>
    <w:rsid w:val="00F44EDA"/>
    <w:rsid w:val="00F44F49"/>
    <w:rsid w:val="00F4562B"/>
    <w:rsid w:val="00F45773"/>
    <w:rsid w:val="00F45A3C"/>
    <w:rsid w:val="00F45BC3"/>
    <w:rsid w:val="00F45C5E"/>
    <w:rsid w:val="00F45FE4"/>
    <w:rsid w:val="00F463BC"/>
    <w:rsid w:val="00F46703"/>
    <w:rsid w:val="00F46E07"/>
    <w:rsid w:val="00F47CA1"/>
    <w:rsid w:val="00F47E0E"/>
    <w:rsid w:val="00F50547"/>
    <w:rsid w:val="00F5064E"/>
    <w:rsid w:val="00F5065B"/>
    <w:rsid w:val="00F507FB"/>
    <w:rsid w:val="00F50A71"/>
    <w:rsid w:val="00F50BED"/>
    <w:rsid w:val="00F50C34"/>
    <w:rsid w:val="00F5106D"/>
    <w:rsid w:val="00F515C0"/>
    <w:rsid w:val="00F51647"/>
    <w:rsid w:val="00F516B6"/>
    <w:rsid w:val="00F516C5"/>
    <w:rsid w:val="00F517C1"/>
    <w:rsid w:val="00F518F6"/>
    <w:rsid w:val="00F51A1C"/>
    <w:rsid w:val="00F51A38"/>
    <w:rsid w:val="00F51BFD"/>
    <w:rsid w:val="00F51D21"/>
    <w:rsid w:val="00F51FFD"/>
    <w:rsid w:val="00F52030"/>
    <w:rsid w:val="00F522AA"/>
    <w:rsid w:val="00F523E3"/>
    <w:rsid w:val="00F527C9"/>
    <w:rsid w:val="00F5290C"/>
    <w:rsid w:val="00F529B3"/>
    <w:rsid w:val="00F52E66"/>
    <w:rsid w:val="00F53107"/>
    <w:rsid w:val="00F5313D"/>
    <w:rsid w:val="00F53512"/>
    <w:rsid w:val="00F53DD5"/>
    <w:rsid w:val="00F53F16"/>
    <w:rsid w:val="00F541E4"/>
    <w:rsid w:val="00F54223"/>
    <w:rsid w:val="00F5422E"/>
    <w:rsid w:val="00F5437F"/>
    <w:rsid w:val="00F543B2"/>
    <w:rsid w:val="00F54446"/>
    <w:rsid w:val="00F544A7"/>
    <w:rsid w:val="00F54519"/>
    <w:rsid w:val="00F54539"/>
    <w:rsid w:val="00F5485A"/>
    <w:rsid w:val="00F54D97"/>
    <w:rsid w:val="00F54F36"/>
    <w:rsid w:val="00F54F70"/>
    <w:rsid w:val="00F55148"/>
    <w:rsid w:val="00F55225"/>
    <w:rsid w:val="00F5528B"/>
    <w:rsid w:val="00F554D7"/>
    <w:rsid w:val="00F5582C"/>
    <w:rsid w:val="00F55CA2"/>
    <w:rsid w:val="00F55EAC"/>
    <w:rsid w:val="00F55FAB"/>
    <w:rsid w:val="00F55FC1"/>
    <w:rsid w:val="00F56A6C"/>
    <w:rsid w:val="00F576C6"/>
    <w:rsid w:val="00F57814"/>
    <w:rsid w:val="00F578F6"/>
    <w:rsid w:val="00F579A3"/>
    <w:rsid w:val="00F57D2E"/>
    <w:rsid w:val="00F60465"/>
    <w:rsid w:val="00F60724"/>
    <w:rsid w:val="00F60B1D"/>
    <w:rsid w:val="00F60B48"/>
    <w:rsid w:val="00F60B52"/>
    <w:rsid w:val="00F60BEB"/>
    <w:rsid w:val="00F60EAB"/>
    <w:rsid w:val="00F610BC"/>
    <w:rsid w:val="00F61442"/>
    <w:rsid w:val="00F6181D"/>
    <w:rsid w:val="00F6184E"/>
    <w:rsid w:val="00F61C91"/>
    <w:rsid w:val="00F61F71"/>
    <w:rsid w:val="00F61FBB"/>
    <w:rsid w:val="00F62187"/>
    <w:rsid w:val="00F621C5"/>
    <w:rsid w:val="00F6222E"/>
    <w:rsid w:val="00F62B1B"/>
    <w:rsid w:val="00F62B42"/>
    <w:rsid w:val="00F62B57"/>
    <w:rsid w:val="00F62CDC"/>
    <w:rsid w:val="00F630BB"/>
    <w:rsid w:val="00F63477"/>
    <w:rsid w:val="00F635A4"/>
    <w:rsid w:val="00F6369B"/>
    <w:rsid w:val="00F6399B"/>
    <w:rsid w:val="00F63AA4"/>
    <w:rsid w:val="00F63AB5"/>
    <w:rsid w:val="00F63D81"/>
    <w:rsid w:val="00F640C7"/>
    <w:rsid w:val="00F642F0"/>
    <w:rsid w:val="00F645D2"/>
    <w:rsid w:val="00F645EE"/>
    <w:rsid w:val="00F64645"/>
    <w:rsid w:val="00F646FB"/>
    <w:rsid w:val="00F649BA"/>
    <w:rsid w:val="00F64A88"/>
    <w:rsid w:val="00F64BE6"/>
    <w:rsid w:val="00F64D75"/>
    <w:rsid w:val="00F64E49"/>
    <w:rsid w:val="00F6509B"/>
    <w:rsid w:val="00F652EA"/>
    <w:rsid w:val="00F65562"/>
    <w:rsid w:val="00F655E0"/>
    <w:rsid w:val="00F65CC6"/>
    <w:rsid w:val="00F65EF9"/>
    <w:rsid w:val="00F65F06"/>
    <w:rsid w:val="00F65FF1"/>
    <w:rsid w:val="00F66178"/>
    <w:rsid w:val="00F66518"/>
    <w:rsid w:val="00F66595"/>
    <w:rsid w:val="00F666BD"/>
    <w:rsid w:val="00F666DD"/>
    <w:rsid w:val="00F66829"/>
    <w:rsid w:val="00F66839"/>
    <w:rsid w:val="00F669E5"/>
    <w:rsid w:val="00F66B67"/>
    <w:rsid w:val="00F67031"/>
    <w:rsid w:val="00F6754A"/>
    <w:rsid w:val="00F67776"/>
    <w:rsid w:val="00F677B5"/>
    <w:rsid w:val="00F67AA1"/>
    <w:rsid w:val="00F67CBD"/>
    <w:rsid w:val="00F7012D"/>
    <w:rsid w:val="00F702A3"/>
    <w:rsid w:val="00F70B24"/>
    <w:rsid w:val="00F70CF1"/>
    <w:rsid w:val="00F70EBC"/>
    <w:rsid w:val="00F71259"/>
    <w:rsid w:val="00F715A2"/>
    <w:rsid w:val="00F71C19"/>
    <w:rsid w:val="00F71E4E"/>
    <w:rsid w:val="00F72053"/>
    <w:rsid w:val="00F720B5"/>
    <w:rsid w:val="00F72142"/>
    <w:rsid w:val="00F722C3"/>
    <w:rsid w:val="00F723BB"/>
    <w:rsid w:val="00F724FA"/>
    <w:rsid w:val="00F72AAA"/>
    <w:rsid w:val="00F72C42"/>
    <w:rsid w:val="00F7344B"/>
    <w:rsid w:val="00F73777"/>
    <w:rsid w:val="00F73926"/>
    <w:rsid w:val="00F73A2B"/>
    <w:rsid w:val="00F73F46"/>
    <w:rsid w:val="00F740F1"/>
    <w:rsid w:val="00F74206"/>
    <w:rsid w:val="00F746EB"/>
    <w:rsid w:val="00F74968"/>
    <w:rsid w:val="00F749A4"/>
    <w:rsid w:val="00F749FA"/>
    <w:rsid w:val="00F74B2D"/>
    <w:rsid w:val="00F74CEC"/>
    <w:rsid w:val="00F75782"/>
    <w:rsid w:val="00F75A87"/>
    <w:rsid w:val="00F75A8A"/>
    <w:rsid w:val="00F75E2A"/>
    <w:rsid w:val="00F764ED"/>
    <w:rsid w:val="00F76A6C"/>
    <w:rsid w:val="00F76D85"/>
    <w:rsid w:val="00F76EC5"/>
    <w:rsid w:val="00F77B67"/>
    <w:rsid w:val="00F77C89"/>
    <w:rsid w:val="00F77DBC"/>
    <w:rsid w:val="00F77DFF"/>
    <w:rsid w:val="00F77FF6"/>
    <w:rsid w:val="00F801C7"/>
    <w:rsid w:val="00F8037B"/>
    <w:rsid w:val="00F80D5C"/>
    <w:rsid w:val="00F80E9A"/>
    <w:rsid w:val="00F81841"/>
    <w:rsid w:val="00F819C9"/>
    <w:rsid w:val="00F81A90"/>
    <w:rsid w:val="00F81B59"/>
    <w:rsid w:val="00F81BAD"/>
    <w:rsid w:val="00F8231A"/>
    <w:rsid w:val="00F82401"/>
    <w:rsid w:val="00F82567"/>
    <w:rsid w:val="00F826FE"/>
    <w:rsid w:val="00F82A7A"/>
    <w:rsid w:val="00F82A88"/>
    <w:rsid w:val="00F82DA4"/>
    <w:rsid w:val="00F82FC3"/>
    <w:rsid w:val="00F831F5"/>
    <w:rsid w:val="00F8353F"/>
    <w:rsid w:val="00F83699"/>
    <w:rsid w:val="00F836CE"/>
    <w:rsid w:val="00F83779"/>
    <w:rsid w:val="00F83B0E"/>
    <w:rsid w:val="00F83C9D"/>
    <w:rsid w:val="00F83D68"/>
    <w:rsid w:val="00F83FA0"/>
    <w:rsid w:val="00F840E2"/>
    <w:rsid w:val="00F841AF"/>
    <w:rsid w:val="00F843C5"/>
    <w:rsid w:val="00F8454E"/>
    <w:rsid w:val="00F847DC"/>
    <w:rsid w:val="00F84916"/>
    <w:rsid w:val="00F849AC"/>
    <w:rsid w:val="00F84CFF"/>
    <w:rsid w:val="00F84FB3"/>
    <w:rsid w:val="00F853F7"/>
    <w:rsid w:val="00F854A2"/>
    <w:rsid w:val="00F856FA"/>
    <w:rsid w:val="00F8587C"/>
    <w:rsid w:val="00F85BD0"/>
    <w:rsid w:val="00F85EF7"/>
    <w:rsid w:val="00F85FD1"/>
    <w:rsid w:val="00F8605D"/>
    <w:rsid w:val="00F8631A"/>
    <w:rsid w:val="00F86573"/>
    <w:rsid w:val="00F86952"/>
    <w:rsid w:val="00F86A6F"/>
    <w:rsid w:val="00F86E6D"/>
    <w:rsid w:val="00F87122"/>
    <w:rsid w:val="00F87133"/>
    <w:rsid w:val="00F87542"/>
    <w:rsid w:val="00F876C7"/>
    <w:rsid w:val="00F878F9"/>
    <w:rsid w:val="00F900D1"/>
    <w:rsid w:val="00F900DC"/>
    <w:rsid w:val="00F90270"/>
    <w:rsid w:val="00F904ED"/>
    <w:rsid w:val="00F904FD"/>
    <w:rsid w:val="00F90722"/>
    <w:rsid w:val="00F90866"/>
    <w:rsid w:val="00F90A1B"/>
    <w:rsid w:val="00F90AF6"/>
    <w:rsid w:val="00F90ED5"/>
    <w:rsid w:val="00F90F62"/>
    <w:rsid w:val="00F91411"/>
    <w:rsid w:val="00F91C01"/>
    <w:rsid w:val="00F91E89"/>
    <w:rsid w:val="00F91F0C"/>
    <w:rsid w:val="00F91F30"/>
    <w:rsid w:val="00F91F7E"/>
    <w:rsid w:val="00F92568"/>
    <w:rsid w:val="00F92575"/>
    <w:rsid w:val="00F92745"/>
    <w:rsid w:val="00F92A9B"/>
    <w:rsid w:val="00F92D57"/>
    <w:rsid w:val="00F9334E"/>
    <w:rsid w:val="00F9379A"/>
    <w:rsid w:val="00F93A92"/>
    <w:rsid w:val="00F93ACB"/>
    <w:rsid w:val="00F93C1C"/>
    <w:rsid w:val="00F93FB1"/>
    <w:rsid w:val="00F940B6"/>
    <w:rsid w:val="00F94427"/>
    <w:rsid w:val="00F94B32"/>
    <w:rsid w:val="00F94E73"/>
    <w:rsid w:val="00F95196"/>
    <w:rsid w:val="00F951EC"/>
    <w:rsid w:val="00F9559B"/>
    <w:rsid w:val="00F95E2E"/>
    <w:rsid w:val="00F95EC9"/>
    <w:rsid w:val="00F96107"/>
    <w:rsid w:val="00F9629D"/>
    <w:rsid w:val="00F9669C"/>
    <w:rsid w:val="00F96861"/>
    <w:rsid w:val="00F9695F"/>
    <w:rsid w:val="00F969DD"/>
    <w:rsid w:val="00F97057"/>
    <w:rsid w:val="00F97330"/>
    <w:rsid w:val="00F97A61"/>
    <w:rsid w:val="00F97C99"/>
    <w:rsid w:val="00FA0389"/>
    <w:rsid w:val="00FA059D"/>
    <w:rsid w:val="00FA05D5"/>
    <w:rsid w:val="00FA0763"/>
    <w:rsid w:val="00FA0E52"/>
    <w:rsid w:val="00FA0E97"/>
    <w:rsid w:val="00FA128E"/>
    <w:rsid w:val="00FA1408"/>
    <w:rsid w:val="00FA18FE"/>
    <w:rsid w:val="00FA201E"/>
    <w:rsid w:val="00FA2341"/>
    <w:rsid w:val="00FA2541"/>
    <w:rsid w:val="00FA2828"/>
    <w:rsid w:val="00FA2942"/>
    <w:rsid w:val="00FA2B12"/>
    <w:rsid w:val="00FA2B24"/>
    <w:rsid w:val="00FA2B46"/>
    <w:rsid w:val="00FA2B7D"/>
    <w:rsid w:val="00FA2F8E"/>
    <w:rsid w:val="00FA30E3"/>
    <w:rsid w:val="00FA364A"/>
    <w:rsid w:val="00FA36C2"/>
    <w:rsid w:val="00FA3876"/>
    <w:rsid w:val="00FA3AC2"/>
    <w:rsid w:val="00FA3B6D"/>
    <w:rsid w:val="00FA3D95"/>
    <w:rsid w:val="00FA3EF5"/>
    <w:rsid w:val="00FA3F63"/>
    <w:rsid w:val="00FA4209"/>
    <w:rsid w:val="00FA450D"/>
    <w:rsid w:val="00FA4B7B"/>
    <w:rsid w:val="00FA4F10"/>
    <w:rsid w:val="00FA5010"/>
    <w:rsid w:val="00FA5491"/>
    <w:rsid w:val="00FA564A"/>
    <w:rsid w:val="00FA5657"/>
    <w:rsid w:val="00FA5DE7"/>
    <w:rsid w:val="00FA5F81"/>
    <w:rsid w:val="00FA5FFD"/>
    <w:rsid w:val="00FA6013"/>
    <w:rsid w:val="00FA6068"/>
    <w:rsid w:val="00FA60AC"/>
    <w:rsid w:val="00FA6151"/>
    <w:rsid w:val="00FA64E2"/>
    <w:rsid w:val="00FA674C"/>
    <w:rsid w:val="00FA6807"/>
    <w:rsid w:val="00FA6D98"/>
    <w:rsid w:val="00FA715C"/>
    <w:rsid w:val="00FA72C7"/>
    <w:rsid w:val="00FA72FE"/>
    <w:rsid w:val="00FA7916"/>
    <w:rsid w:val="00FA7E87"/>
    <w:rsid w:val="00FA7FDF"/>
    <w:rsid w:val="00FB00E7"/>
    <w:rsid w:val="00FB012B"/>
    <w:rsid w:val="00FB035C"/>
    <w:rsid w:val="00FB0684"/>
    <w:rsid w:val="00FB06B5"/>
    <w:rsid w:val="00FB09C6"/>
    <w:rsid w:val="00FB0AB9"/>
    <w:rsid w:val="00FB0CB9"/>
    <w:rsid w:val="00FB0E78"/>
    <w:rsid w:val="00FB122D"/>
    <w:rsid w:val="00FB1A82"/>
    <w:rsid w:val="00FB213A"/>
    <w:rsid w:val="00FB2528"/>
    <w:rsid w:val="00FB271F"/>
    <w:rsid w:val="00FB28AE"/>
    <w:rsid w:val="00FB2983"/>
    <w:rsid w:val="00FB2E5D"/>
    <w:rsid w:val="00FB35EA"/>
    <w:rsid w:val="00FB3632"/>
    <w:rsid w:val="00FB3749"/>
    <w:rsid w:val="00FB3856"/>
    <w:rsid w:val="00FB3920"/>
    <w:rsid w:val="00FB3ABB"/>
    <w:rsid w:val="00FB3EB2"/>
    <w:rsid w:val="00FB47E5"/>
    <w:rsid w:val="00FB49E2"/>
    <w:rsid w:val="00FB4D50"/>
    <w:rsid w:val="00FB4D70"/>
    <w:rsid w:val="00FB52FF"/>
    <w:rsid w:val="00FB56F4"/>
    <w:rsid w:val="00FB5977"/>
    <w:rsid w:val="00FB5CF6"/>
    <w:rsid w:val="00FB6088"/>
    <w:rsid w:val="00FB6497"/>
    <w:rsid w:val="00FB69A9"/>
    <w:rsid w:val="00FB6B10"/>
    <w:rsid w:val="00FB6BC7"/>
    <w:rsid w:val="00FB7240"/>
    <w:rsid w:val="00FB7646"/>
    <w:rsid w:val="00FB788A"/>
    <w:rsid w:val="00FB7B8E"/>
    <w:rsid w:val="00FB7DAD"/>
    <w:rsid w:val="00FB7DF4"/>
    <w:rsid w:val="00FC018E"/>
    <w:rsid w:val="00FC04E3"/>
    <w:rsid w:val="00FC0642"/>
    <w:rsid w:val="00FC14B6"/>
    <w:rsid w:val="00FC19EF"/>
    <w:rsid w:val="00FC1BED"/>
    <w:rsid w:val="00FC1C5F"/>
    <w:rsid w:val="00FC1CD8"/>
    <w:rsid w:val="00FC1CED"/>
    <w:rsid w:val="00FC1F02"/>
    <w:rsid w:val="00FC2359"/>
    <w:rsid w:val="00FC2610"/>
    <w:rsid w:val="00FC2792"/>
    <w:rsid w:val="00FC2A11"/>
    <w:rsid w:val="00FC2ADD"/>
    <w:rsid w:val="00FC2C9A"/>
    <w:rsid w:val="00FC3196"/>
    <w:rsid w:val="00FC3322"/>
    <w:rsid w:val="00FC3596"/>
    <w:rsid w:val="00FC3A0A"/>
    <w:rsid w:val="00FC3C5D"/>
    <w:rsid w:val="00FC3F7A"/>
    <w:rsid w:val="00FC4094"/>
    <w:rsid w:val="00FC44FA"/>
    <w:rsid w:val="00FC45ED"/>
    <w:rsid w:val="00FC46F9"/>
    <w:rsid w:val="00FC4954"/>
    <w:rsid w:val="00FC4D9B"/>
    <w:rsid w:val="00FC5052"/>
    <w:rsid w:val="00FC51C4"/>
    <w:rsid w:val="00FC5257"/>
    <w:rsid w:val="00FC5ABA"/>
    <w:rsid w:val="00FC5B20"/>
    <w:rsid w:val="00FC5D33"/>
    <w:rsid w:val="00FC6337"/>
    <w:rsid w:val="00FC63AA"/>
    <w:rsid w:val="00FC642D"/>
    <w:rsid w:val="00FC6813"/>
    <w:rsid w:val="00FC686B"/>
    <w:rsid w:val="00FC68F4"/>
    <w:rsid w:val="00FC6A19"/>
    <w:rsid w:val="00FC6A36"/>
    <w:rsid w:val="00FC6C6D"/>
    <w:rsid w:val="00FC6E0F"/>
    <w:rsid w:val="00FC6E17"/>
    <w:rsid w:val="00FC6E66"/>
    <w:rsid w:val="00FC7014"/>
    <w:rsid w:val="00FC7136"/>
    <w:rsid w:val="00FC72F7"/>
    <w:rsid w:val="00FC783E"/>
    <w:rsid w:val="00FC7997"/>
    <w:rsid w:val="00FC7CAC"/>
    <w:rsid w:val="00FD028B"/>
    <w:rsid w:val="00FD0405"/>
    <w:rsid w:val="00FD0A40"/>
    <w:rsid w:val="00FD0BDB"/>
    <w:rsid w:val="00FD0D2D"/>
    <w:rsid w:val="00FD1071"/>
    <w:rsid w:val="00FD1102"/>
    <w:rsid w:val="00FD1304"/>
    <w:rsid w:val="00FD136A"/>
    <w:rsid w:val="00FD1451"/>
    <w:rsid w:val="00FD147D"/>
    <w:rsid w:val="00FD1698"/>
    <w:rsid w:val="00FD1798"/>
    <w:rsid w:val="00FD1819"/>
    <w:rsid w:val="00FD1880"/>
    <w:rsid w:val="00FD1C33"/>
    <w:rsid w:val="00FD1C71"/>
    <w:rsid w:val="00FD1DE8"/>
    <w:rsid w:val="00FD2590"/>
    <w:rsid w:val="00FD2A43"/>
    <w:rsid w:val="00FD2AEA"/>
    <w:rsid w:val="00FD2B74"/>
    <w:rsid w:val="00FD2D69"/>
    <w:rsid w:val="00FD2D9A"/>
    <w:rsid w:val="00FD311C"/>
    <w:rsid w:val="00FD34D8"/>
    <w:rsid w:val="00FD3CA1"/>
    <w:rsid w:val="00FD3DE2"/>
    <w:rsid w:val="00FD4058"/>
    <w:rsid w:val="00FD4167"/>
    <w:rsid w:val="00FD4262"/>
    <w:rsid w:val="00FD441E"/>
    <w:rsid w:val="00FD45EC"/>
    <w:rsid w:val="00FD4A32"/>
    <w:rsid w:val="00FD4B37"/>
    <w:rsid w:val="00FD4D00"/>
    <w:rsid w:val="00FD4F9B"/>
    <w:rsid w:val="00FD52AD"/>
    <w:rsid w:val="00FD543F"/>
    <w:rsid w:val="00FD5846"/>
    <w:rsid w:val="00FD590C"/>
    <w:rsid w:val="00FD5919"/>
    <w:rsid w:val="00FD60EE"/>
    <w:rsid w:val="00FD6153"/>
    <w:rsid w:val="00FD61DB"/>
    <w:rsid w:val="00FD66B7"/>
    <w:rsid w:val="00FD6801"/>
    <w:rsid w:val="00FD690F"/>
    <w:rsid w:val="00FD6C8A"/>
    <w:rsid w:val="00FD6F4E"/>
    <w:rsid w:val="00FD73A0"/>
    <w:rsid w:val="00FD7673"/>
    <w:rsid w:val="00FD7ADA"/>
    <w:rsid w:val="00FD7DAA"/>
    <w:rsid w:val="00FD7FCD"/>
    <w:rsid w:val="00FE00A1"/>
    <w:rsid w:val="00FE0104"/>
    <w:rsid w:val="00FE0281"/>
    <w:rsid w:val="00FE080F"/>
    <w:rsid w:val="00FE08B3"/>
    <w:rsid w:val="00FE0993"/>
    <w:rsid w:val="00FE0AFA"/>
    <w:rsid w:val="00FE0C84"/>
    <w:rsid w:val="00FE0DA0"/>
    <w:rsid w:val="00FE0E7A"/>
    <w:rsid w:val="00FE1191"/>
    <w:rsid w:val="00FE1269"/>
    <w:rsid w:val="00FE1636"/>
    <w:rsid w:val="00FE19AE"/>
    <w:rsid w:val="00FE19B1"/>
    <w:rsid w:val="00FE1B27"/>
    <w:rsid w:val="00FE1D87"/>
    <w:rsid w:val="00FE1F71"/>
    <w:rsid w:val="00FE20AA"/>
    <w:rsid w:val="00FE20B7"/>
    <w:rsid w:val="00FE23E3"/>
    <w:rsid w:val="00FE2445"/>
    <w:rsid w:val="00FE2504"/>
    <w:rsid w:val="00FE2567"/>
    <w:rsid w:val="00FE27AC"/>
    <w:rsid w:val="00FE2996"/>
    <w:rsid w:val="00FE2B5B"/>
    <w:rsid w:val="00FE2B67"/>
    <w:rsid w:val="00FE2B96"/>
    <w:rsid w:val="00FE2C34"/>
    <w:rsid w:val="00FE2DC2"/>
    <w:rsid w:val="00FE2F3D"/>
    <w:rsid w:val="00FE3675"/>
    <w:rsid w:val="00FE3872"/>
    <w:rsid w:val="00FE3D0C"/>
    <w:rsid w:val="00FE4335"/>
    <w:rsid w:val="00FE4396"/>
    <w:rsid w:val="00FE46E8"/>
    <w:rsid w:val="00FE49FE"/>
    <w:rsid w:val="00FE4B45"/>
    <w:rsid w:val="00FE4E98"/>
    <w:rsid w:val="00FE4F8A"/>
    <w:rsid w:val="00FE5251"/>
    <w:rsid w:val="00FE5576"/>
    <w:rsid w:val="00FE564C"/>
    <w:rsid w:val="00FE56F0"/>
    <w:rsid w:val="00FE5738"/>
    <w:rsid w:val="00FE5770"/>
    <w:rsid w:val="00FE57E1"/>
    <w:rsid w:val="00FE58DE"/>
    <w:rsid w:val="00FE5939"/>
    <w:rsid w:val="00FE5A99"/>
    <w:rsid w:val="00FE5BAD"/>
    <w:rsid w:val="00FE5F79"/>
    <w:rsid w:val="00FE60C7"/>
    <w:rsid w:val="00FE60FB"/>
    <w:rsid w:val="00FE613F"/>
    <w:rsid w:val="00FE61BC"/>
    <w:rsid w:val="00FE62FC"/>
    <w:rsid w:val="00FE6981"/>
    <w:rsid w:val="00FE6C05"/>
    <w:rsid w:val="00FE6CE1"/>
    <w:rsid w:val="00FE6FFA"/>
    <w:rsid w:val="00FE70F0"/>
    <w:rsid w:val="00FE74A7"/>
    <w:rsid w:val="00FE74FE"/>
    <w:rsid w:val="00FE7618"/>
    <w:rsid w:val="00FE762E"/>
    <w:rsid w:val="00FE7961"/>
    <w:rsid w:val="00FE7C8D"/>
    <w:rsid w:val="00FE7DF1"/>
    <w:rsid w:val="00FF018C"/>
    <w:rsid w:val="00FF03E3"/>
    <w:rsid w:val="00FF0812"/>
    <w:rsid w:val="00FF082F"/>
    <w:rsid w:val="00FF0AC3"/>
    <w:rsid w:val="00FF0C25"/>
    <w:rsid w:val="00FF0F83"/>
    <w:rsid w:val="00FF1350"/>
    <w:rsid w:val="00FF1478"/>
    <w:rsid w:val="00FF153A"/>
    <w:rsid w:val="00FF159B"/>
    <w:rsid w:val="00FF1B86"/>
    <w:rsid w:val="00FF1F1B"/>
    <w:rsid w:val="00FF22D4"/>
    <w:rsid w:val="00FF2334"/>
    <w:rsid w:val="00FF240D"/>
    <w:rsid w:val="00FF2450"/>
    <w:rsid w:val="00FF2588"/>
    <w:rsid w:val="00FF2AB6"/>
    <w:rsid w:val="00FF2E08"/>
    <w:rsid w:val="00FF3314"/>
    <w:rsid w:val="00FF376A"/>
    <w:rsid w:val="00FF3907"/>
    <w:rsid w:val="00FF39E6"/>
    <w:rsid w:val="00FF3B20"/>
    <w:rsid w:val="00FF3F5E"/>
    <w:rsid w:val="00FF41F2"/>
    <w:rsid w:val="00FF4371"/>
    <w:rsid w:val="00FF4374"/>
    <w:rsid w:val="00FF4928"/>
    <w:rsid w:val="00FF4AB6"/>
    <w:rsid w:val="00FF4D81"/>
    <w:rsid w:val="00FF4F4E"/>
    <w:rsid w:val="00FF5A37"/>
    <w:rsid w:val="00FF5CBA"/>
    <w:rsid w:val="00FF5DD4"/>
    <w:rsid w:val="00FF63A2"/>
    <w:rsid w:val="00FF6608"/>
    <w:rsid w:val="00FF67EF"/>
    <w:rsid w:val="00FF6918"/>
    <w:rsid w:val="00FF6E53"/>
    <w:rsid w:val="00FF7156"/>
    <w:rsid w:val="00FF718B"/>
    <w:rsid w:val="00FF7204"/>
    <w:rsid w:val="00FF72DE"/>
    <w:rsid w:val="00FF739A"/>
    <w:rsid w:val="00FF77F3"/>
    <w:rsid w:val="00FF7996"/>
    <w:rsid w:val="00FF7C9A"/>
    <w:rsid w:val="00FF7DA2"/>
    <w:rsid w:val="00FF7DDF"/>
    <w:rsid w:val="016E9CB5"/>
    <w:rsid w:val="01714285"/>
    <w:rsid w:val="0173C98A"/>
    <w:rsid w:val="017F7E56"/>
    <w:rsid w:val="01BF3968"/>
    <w:rsid w:val="01D65FFA"/>
    <w:rsid w:val="022916BB"/>
    <w:rsid w:val="02961AC5"/>
    <w:rsid w:val="029DA113"/>
    <w:rsid w:val="02A6B0D6"/>
    <w:rsid w:val="03AF1B36"/>
    <w:rsid w:val="0485F1DD"/>
    <w:rsid w:val="04953476"/>
    <w:rsid w:val="0675BD25"/>
    <w:rsid w:val="06877DAC"/>
    <w:rsid w:val="06A9D11D"/>
    <w:rsid w:val="06B40249"/>
    <w:rsid w:val="06D94516"/>
    <w:rsid w:val="080436C8"/>
    <w:rsid w:val="08562B9E"/>
    <w:rsid w:val="093176EB"/>
    <w:rsid w:val="09E171DF"/>
    <w:rsid w:val="0AA4D69B"/>
    <w:rsid w:val="0AD18887"/>
    <w:rsid w:val="0CF8D8D2"/>
    <w:rsid w:val="0D11A354"/>
    <w:rsid w:val="0D48BC3C"/>
    <w:rsid w:val="0DD01698"/>
    <w:rsid w:val="0F55B3F4"/>
    <w:rsid w:val="0F80B171"/>
    <w:rsid w:val="0F8E3605"/>
    <w:rsid w:val="0FE79339"/>
    <w:rsid w:val="101F7093"/>
    <w:rsid w:val="10378B06"/>
    <w:rsid w:val="10CEA13E"/>
    <w:rsid w:val="118A81FB"/>
    <w:rsid w:val="11C62A0F"/>
    <w:rsid w:val="11DEBB83"/>
    <w:rsid w:val="12A45737"/>
    <w:rsid w:val="12E0F6C6"/>
    <w:rsid w:val="12E1D198"/>
    <w:rsid w:val="149B1988"/>
    <w:rsid w:val="14E01077"/>
    <w:rsid w:val="151495DD"/>
    <w:rsid w:val="158E1232"/>
    <w:rsid w:val="15BCB552"/>
    <w:rsid w:val="15FE6250"/>
    <w:rsid w:val="16077388"/>
    <w:rsid w:val="16A123A5"/>
    <w:rsid w:val="16EF9BB1"/>
    <w:rsid w:val="17ACE005"/>
    <w:rsid w:val="17F95B3C"/>
    <w:rsid w:val="191F3D53"/>
    <w:rsid w:val="1B4D5953"/>
    <w:rsid w:val="1B596C66"/>
    <w:rsid w:val="1BA70726"/>
    <w:rsid w:val="1BB4B634"/>
    <w:rsid w:val="1BB517C7"/>
    <w:rsid w:val="1C8FF868"/>
    <w:rsid w:val="1CAE7D9A"/>
    <w:rsid w:val="1D1DFB94"/>
    <w:rsid w:val="1D2B7136"/>
    <w:rsid w:val="1D2C9264"/>
    <w:rsid w:val="1E288809"/>
    <w:rsid w:val="1E48975D"/>
    <w:rsid w:val="1E4F77FF"/>
    <w:rsid w:val="1E52A2F9"/>
    <w:rsid w:val="1EAC3774"/>
    <w:rsid w:val="1EBF5FF1"/>
    <w:rsid w:val="1F01D0D3"/>
    <w:rsid w:val="1F365639"/>
    <w:rsid w:val="1F4DC581"/>
    <w:rsid w:val="1FEDF4F2"/>
    <w:rsid w:val="2050A119"/>
    <w:rsid w:val="2083610A"/>
    <w:rsid w:val="210C7921"/>
    <w:rsid w:val="21D29E46"/>
    <w:rsid w:val="21F3E32E"/>
    <w:rsid w:val="21FC6A51"/>
    <w:rsid w:val="2209E362"/>
    <w:rsid w:val="220F9E12"/>
    <w:rsid w:val="23373060"/>
    <w:rsid w:val="239339E0"/>
    <w:rsid w:val="23956C43"/>
    <w:rsid w:val="23A155DE"/>
    <w:rsid w:val="2428B135"/>
    <w:rsid w:val="2437F3CE"/>
    <w:rsid w:val="253A2F11"/>
    <w:rsid w:val="2545786C"/>
    <w:rsid w:val="267DD35E"/>
    <w:rsid w:val="2704C35C"/>
    <w:rsid w:val="272A0629"/>
    <w:rsid w:val="277E3FB1"/>
    <w:rsid w:val="27C8C54B"/>
    <w:rsid w:val="2838B9B7"/>
    <w:rsid w:val="284BE77E"/>
    <w:rsid w:val="28B1C42F"/>
    <w:rsid w:val="29A90A82"/>
    <w:rsid w:val="29AF51E3"/>
    <w:rsid w:val="2A33CE51"/>
    <w:rsid w:val="2A4668A5"/>
    <w:rsid w:val="2A9594D9"/>
    <w:rsid w:val="2AA57A35"/>
    <w:rsid w:val="2B131577"/>
    <w:rsid w:val="2B1E53C7"/>
    <w:rsid w:val="2B3A0EAB"/>
    <w:rsid w:val="2B670E7A"/>
    <w:rsid w:val="2B78AAE6"/>
    <w:rsid w:val="2B91FCFB"/>
    <w:rsid w:val="2C8BAE2A"/>
    <w:rsid w:val="2CC3A545"/>
    <w:rsid w:val="2CD9A579"/>
    <w:rsid w:val="2CE8E812"/>
    <w:rsid w:val="2D71A700"/>
    <w:rsid w:val="2DFB94DE"/>
    <w:rsid w:val="2E77A3B6"/>
    <w:rsid w:val="2F81323A"/>
    <w:rsid w:val="2F8A5938"/>
    <w:rsid w:val="2FC5CA64"/>
    <w:rsid w:val="2FCBB7D4"/>
    <w:rsid w:val="3049FC86"/>
    <w:rsid w:val="305476C2"/>
    <w:rsid w:val="3143149D"/>
    <w:rsid w:val="31632A50"/>
    <w:rsid w:val="317CD4A9"/>
    <w:rsid w:val="31C542DA"/>
    <w:rsid w:val="329E4212"/>
    <w:rsid w:val="33214650"/>
    <w:rsid w:val="33494855"/>
    <w:rsid w:val="33FA668E"/>
    <w:rsid w:val="34507E0D"/>
    <w:rsid w:val="34B75535"/>
    <w:rsid w:val="3516CD64"/>
    <w:rsid w:val="355BCF07"/>
    <w:rsid w:val="35749989"/>
    <w:rsid w:val="3599DC56"/>
    <w:rsid w:val="3627D9B3"/>
    <w:rsid w:val="36B294DB"/>
    <w:rsid w:val="3714B71D"/>
    <w:rsid w:val="378424C3"/>
    <w:rsid w:val="37A3455A"/>
    <w:rsid w:val="37DD0A16"/>
    <w:rsid w:val="37E63849"/>
    <w:rsid w:val="3800C7D7"/>
    <w:rsid w:val="380CE3B1"/>
    <w:rsid w:val="38451E58"/>
    <w:rsid w:val="384DE162"/>
    <w:rsid w:val="3853B9B5"/>
    <w:rsid w:val="385FF11A"/>
    <w:rsid w:val="38711A48"/>
    <w:rsid w:val="39516C9B"/>
    <w:rsid w:val="397958B0"/>
    <w:rsid w:val="3A3D4208"/>
    <w:rsid w:val="3A57E188"/>
    <w:rsid w:val="3A66F485"/>
    <w:rsid w:val="3AE3B259"/>
    <w:rsid w:val="3C134FEE"/>
    <w:rsid w:val="3D5906E0"/>
    <w:rsid w:val="3D74E2CA"/>
    <w:rsid w:val="3E36396D"/>
    <w:rsid w:val="3E90D090"/>
    <w:rsid w:val="3F9659E5"/>
    <w:rsid w:val="3FF15108"/>
    <w:rsid w:val="40351907"/>
    <w:rsid w:val="40885941"/>
    <w:rsid w:val="40C4C861"/>
    <w:rsid w:val="41A18E06"/>
    <w:rsid w:val="42755B6E"/>
    <w:rsid w:val="427EEB23"/>
    <w:rsid w:val="42DF2684"/>
    <w:rsid w:val="42DFA78E"/>
    <w:rsid w:val="430E60E0"/>
    <w:rsid w:val="43971FCE"/>
    <w:rsid w:val="45A18A13"/>
    <w:rsid w:val="45F3FAF0"/>
    <w:rsid w:val="47278B3B"/>
    <w:rsid w:val="47FB699F"/>
    <w:rsid w:val="48380B90"/>
    <w:rsid w:val="4887034A"/>
    <w:rsid w:val="48E60D4B"/>
    <w:rsid w:val="497B4484"/>
    <w:rsid w:val="4A7A26C3"/>
    <w:rsid w:val="4AEFA0F2"/>
    <w:rsid w:val="4B48A873"/>
    <w:rsid w:val="4B6C6405"/>
    <w:rsid w:val="4BC89B67"/>
    <w:rsid w:val="4BCE97BD"/>
    <w:rsid w:val="4C0F3DA5"/>
    <w:rsid w:val="4D39A925"/>
    <w:rsid w:val="4E8C24B2"/>
    <w:rsid w:val="4F161290"/>
    <w:rsid w:val="4F573223"/>
    <w:rsid w:val="4FB4D1B2"/>
    <w:rsid w:val="503C2D09"/>
    <w:rsid w:val="5095F53C"/>
    <w:rsid w:val="50AAF285"/>
    <w:rsid w:val="50B47A6E"/>
    <w:rsid w:val="50D03552"/>
    <w:rsid w:val="51E33480"/>
    <w:rsid w:val="51F7B362"/>
    <w:rsid w:val="51FBACA0"/>
    <w:rsid w:val="52E28ADA"/>
    <w:rsid w:val="531A42E3"/>
    <w:rsid w:val="53A0FE1E"/>
    <w:rsid w:val="559E05FF"/>
    <w:rsid w:val="55A394AA"/>
    <w:rsid w:val="55D49D35"/>
    <w:rsid w:val="56735C57"/>
    <w:rsid w:val="5759097D"/>
    <w:rsid w:val="580C8370"/>
    <w:rsid w:val="597782BD"/>
    <w:rsid w:val="59EB0E26"/>
    <w:rsid w:val="5B4FB71F"/>
    <w:rsid w:val="5B9D29BC"/>
    <w:rsid w:val="5B9FF769"/>
    <w:rsid w:val="5BB8C1EB"/>
    <w:rsid w:val="5BEE7641"/>
    <w:rsid w:val="5C569B64"/>
    <w:rsid w:val="5CA3AD4E"/>
    <w:rsid w:val="5D66B732"/>
    <w:rsid w:val="5DA9C1B0"/>
    <w:rsid w:val="5E670C47"/>
    <w:rsid w:val="5F85026E"/>
    <w:rsid w:val="5FCC0CE4"/>
    <w:rsid w:val="5FD337BF"/>
    <w:rsid w:val="60AB1CE7"/>
    <w:rsid w:val="60DA13A2"/>
    <w:rsid w:val="61A3D041"/>
    <w:rsid w:val="61BC96EE"/>
    <w:rsid w:val="61DA0A44"/>
    <w:rsid w:val="624688A1"/>
    <w:rsid w:val="650E3001"/>
    <w:rsid w:val="65405882"/>
    <w:rsid w:val="6544FCFF"/>
    <w:rsid w:val="6610369D"/>
    <w:rsid w:val="6644BC03"/>
    <w:rsid w:val="667430E4"/>
    <w:rsid w:val="66DC28E3"/>
    <w:rsid w:val="670E78A2"/>
    <w:rsid w:val="672EC63A"/>
    <w:rsid w:val="67662D2F"/>
    <w:rsid w:val="678BEE35"/>
    <w:rsid w:val="694610F7"/>
    <w:rsid w:val="69C77DA3"/>
    <w:rsid w:val="6A448F4A"/>
    <w:rsid w:val="6ABEFE41"/>
    <w:rsid w:val="6B38318A"/>
    <w:rsid w:val="6B3E80F0"/>
    <w:rsid w:val="6B559C31"/>
    <w:rsid w:val="6BE94826"/>
    <w:rsid w:val="6C3DDE02"/>
    <w:rsid w:val="6C4DE4DA"/>
    <w:rsid w:val="6DD120A9"/>
    <w:rsid w:val="6E80ADE7"/>
    <w:rsid w:val="6EEC285E"/>
    <w:rsid w:val="6EF5B047"/>
    <w:rsid w:val="6F2CC3A8"/>
    <w:rsid w:val="6FDA1873"/>
    <w:rsid w:val="6FF13D86"/>
    <w:rsid w:val="7060295E"/>
    <w:rsid w:val="71877080"/>
    <w:rsid w:val="723CCA50"/>
    <w:rsid w:val="72A0EAEA"/>
    <w:rsid w:val="739FA406"/>
    <w:rsid w:val="73D74030"/>
    <w:rsid w:val="7470CA31"/>
    <w:rsid w:val="75154403"/>
    <w:rsid w:val="7634A0E1"/>
    <w:rsid w:val="76913103"/>
    <w:rsid w:val="76CD0B44"/>
    <w:rsid w:val="76F8A2D0"/>
    <w:rsid w:val="772E5726"/>
    <w:rsid w:val="77F2851A"/>
    <w:rsid w:val="78E95076"/>
    <w:rsid w:val="78FDD626"/>
    <w:rsid w:val="7943F6E1"/>
    <w:rsid w:val="796B4855"/>
    <w:rsid w:val="79AB2A3B"/>
    <w:rsid w:val="7BFA4065"/>
    <w:rsid w:val="7C69D721"/>
    <w:rsid w:val="7C9457A2"/>
    <w:rsid w:val="7D592EF1"/>
    <w:rsid w:val="7E190E38"/>
    <w:rsid w:val="7E5E0527"/>
    <w:rsid w:val="7EC70FF3"/>
    <w:rsid w:val="7EDC2917"/>
    <w:rsid w:val="7F2F7829"/>
    <w:rsid w:val="7F46D511"/>
    <w:rsid w:val="7F4FCE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1FA027C7-906E-4254-9743-C9D0AC1B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footnote reference" w:uiPriority="99"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86D"/>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rsid w:val="00370958"/>
  </w:style>
  <w:style w:type="character" w:styleId="FootnoteReference">
    <w:name w:val="footnote reference"/>
    <w:aliases w:val="FN Ref"/>
    <w:uiPriority w:val="99"/>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uiPriority w:val="99"/>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uiPriority w:val="99"/>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rsid w:val="00AC481E"/>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E966A4"/>
    <w:rPr>
      <w:rFonts w:eastAsia="MS Mincho"/>
      <w:sz w:val="24"/>
      <w:szCs w:val="24"/>
      <w:lang w:eastAsia="ja-JP"/>
    </w:rPr>
  </w:style>
  <w:style w:type="character" w:customStyle="1" w:styleId="normaltextrun">
    <w:name w:val="normaltextrun"/>
    <w:basedOn w:val="DefaultParagraphFont"/>
    <w:rsid w:val="00A77158"/>
  </w:style>
  <w:style w:type="character" w:customStyle="1" w:styleId="eop">
    <w:name w:val="eop"/>
    <w:basedOn w:val="DefaultParagraphFont"/>
    <w:rsid w:val="00505E4D"/>
  </w:style>
  <w:style w:type="paragraph" w:customStyle="1" w:styleId="paragraph">
    <w:name w:val="paragraph"/>
    <w:basedOn w:val="Normal"/>
    <w:uiPriority w:val="99"/>
    <w:rsid w:val="003D44C4"/>
    <w:pPr>
      <w:spacing w:before="100" w:beforeAutospacing="1" w:after="100" w:afterAutospacing="1"/>
    </w:pPr>
    <w:rPr>
      <w:sz w:val="24"/>
      <w:szCs w:val="24"/>
    </w:rPr>
  </w:style>
  <w:style w:type="character" w:customStyle="1" w:styleId="findhit">
    <w:name w:val="findhit"/>
    <w:basedOn w:val="DefaultParagraphFont"/>
    <w:rsid w:val="003D4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89546313">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2261044">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80189027">
      <w:bodyDiv w:val="1"/>
      <w:marLeft w:val="0"/>
      <w:marRight w:val="0"/>
      <w:marTop w:val="0"/>
      <w:marBottom w:val="0"/>
      <w:divBdr>
        <w:top w:val="none" w:sz="0" w:space="0" w:color="auto"/>
        <w:left w:val="none" w:sz="0" w:space="0" w:color="auto"/>
        <w:bottom w:val="none" w:sz="0" w:space="0" w:color="auto"/>
        <w:right w:val="none" w:sz="0" w:space="0" w:color="auto"/>
      </w:divBdr>
    </w:div>
    <w:div w:id="290939260">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004133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25286970">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409734847">
      <w:bodyDiv w:val="1"/>
      <w:marLeft w:val="0"/>
      <w:marRight w:val="0"/>
      <w:marTop w:val="0"/>
      <w:marBottom w:val="0"/>
      <w:divBdr>
        <w:top w:val="none" w:sz="0" w:space="0" w:color="auto"/>
        <w:left w:val="none" w:sz="0" w:space="0" w:color="auto"/>
        <w:bottom w:val="none" w:sz="0" w:space="0" w:color="auto"/>
        <w:right w:val="none" w:sz="0" w:space="0" w:color="auto"/>
      </w:divBdr>
      <w:divsChild>
        <w:div w:id="178587926">
          <w:marLeft w:val="0"/>
          <w:marRight w:val="0"/>
          <w:marTop w:val="0"/>
          <w:marBottom w:val="0"/>
          <w:divBdr>
            <w:top w:val="none" w:sz="0" w:space="0" w:color="auto"/>
            <w:left w:val="none" w:sz="0" w:space="0" w:color="auto"/>
            <w:bottom w:val="none" w:sz="0" w:space="0" w:color="auto"/>
            <w:right w:val="none" w:sz="0" w:space="0" w:color="auto"/>
          </w:divBdr>
          <w:divsChild>
            <w:div w:id="794445993">
              <w:marLeft w:val="0"/>
              <w:marRight w:val="0"/>
              <w:marTop w:val="0"/>
              <w:marBottom w:val="0"/>
              <w:divBdr>
                <w:top w:val="none" w:sz="0" w:space="0" w:color="auto"/>
                <w:left w:val="none" w:sz="0" w:space="0" w:color="auto"/>
                <w:bottom w:val="none" w:sz="0" w:space="0" w:color="auto"/>
                <w:right w:val="none" w:sz="0" w:space="0" w:color="auto"/>
              </w:divBdr>
            </w:div>
          </w:divsChild>
        </w:div>
        <w:div w:id="1615362098">
          <w:marLeft w:val="0"/>
          <w:marRight w:val="0"/>
          <w:marTop w:val="0"/>
          <w:marBottom w:val="0"/>
          <w:divBdr>
            <w:top w:val="none" w:sz="0" w:space="0" w:color="auto"/>
            <w:left w:val="none" w:sz="0" w:space="0" w:color="auto"/>
            <w:bottom w:val="none" w:sz="0" w:space="0" w:color="auto"/>
            <w:right w:val="none" w:sz="0" w:space="0" w:color="auto"/>
          </w:divBdr>
          <w:divsChild>
            <w:div w:id="1430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50820">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3012394">
      <w:bodyDiv w:val="1"/>
      <w:marLeft w:val="0"/>
      <w:marRight w:val="0"/>
      <w:marTop w:val="0"/>
      <w:marBottom w:val="0"/>
      <w:divBdr>
        <w:top w:val="none" w:sz="0" w:space="0" w:color="auto"/>
        <w:left w:val="none" w:sz="0" w:space="0" w:color="auto"/>
        <w:bottom w:val="none" w:sz="0" w:space="0" w:color="auto"/>
        <w:right w:val="none" w:sz="0" w:space="0" w:color="auto"/>
      </w:divBdr>
      <w:divsChild>
        <w:div w:id="38476886">
          <w:marLeft w:val="0"/>
          <w:marRight w:val="0"/>
          <w:marTop w:val="0"/>
          <w:marBottom w:val="0"/>
          <w:divBdr>
            <w:top w:val="none" w:sz="0" w:space="0" w:color="auto"/>
            <w:left w:val="none" w:sz="0" w:space="0" w:color="auto"/>
            <w:bottom w:val="none" w:sz="0" w:space="0" w:color="auto"/>
            <w:right w:val="none" w:sz="0" w:space="0" w:color="auto"/>
          </w:divBdr>
        </w:div>
        <w:div w:id="127206188">
          <w:marLeft w:val="0"/>
          <w:marRight w:val="0"/>
          <w:marTop w:val="0"/>
          <w:marBottom w:val="0"/>
          <w:divBdr>
            <w:top w:val="none" w:sz="0" w:space="0" w:color="auto"/>
            <w:left w:val="none" w:sz="0" w:space="0" w:color="auto"/>
            <w:bottom w:val="none" w:sz="0" w:space="0" w:color="auto"/>
            <w:right w:val="none" w:sz="0" w:space="0" w:color="auto"/>
          </w:divBdr>
        </w:div>
        <w:div w:id="217326038">
          <w:marLeft w:val="0"/>
          <w:marRight w:val="0"/>
          <w:marTop w:val="0"/>
          <w:marBottom w:val="0"/>
          <w:divBdr>
            <w:top w:val="none" w:sz="0" w:space="0" w:color="auto"/>
            <w:left w:val="none" w:sz="0" w:space="0" w:color="auto"/>
            <w:bottom w:val="none" w:sz="0" w:space="0" w:color="auto"/>
            <w:right w:val="none" w:sz="0" w:space="0" w:color="auto"/>
          </w:divBdr>
          <w:divsChild>
            <w:div w:id="758673987">
              <w:marLeft w:val="0"/>
              <w:marRight w:val="0"/>
              <w:marTop w:val="0"/>
              <w:marBottom w:val="0"/>
              <w:divBdr>
                <w:top w:val="none" w:sz="0" w:space="0" w:color="auto"/>
                <w:left w:val="none" w:sz="0" w:space="0" w:color="auto"/>
                <w:bottom w:val="none" w:sz="0" w:space="0" w:color="auto"/>
                <w:right w:val="none" w:sz="0" w:space="0" w:color="auto"/>
              </w:divBdr>
            </w:div>
            <w:div w:id="1067189880">
              <w:marLeft w:val="0"/>
              <w:marRight w:val="0"/>
              <w:marTop w:val="0"/>
              <w:marBottom w:val="0"/>
              <w:divBdr>
                <w:top w:val="none" w:sz="0" w:space="0" w:color="auto"/>
                <w:left w:val="none" w:sz="0" w:space="0" w:color="auto"/>
                <w:bottom w:val="none" w:sz="0" w:space="0" w:color="auto"/>
                <w:right w:val="none" w:sz="0" w:space="0" w:color="auto"/>
              </w:divBdr>
            </w:div>
            <w:div w:id="1430616764">
              <w:marLeft w:val="0"/>
              <w:marRight w:val="0"/>
              <w:marTop w:val="0"/>
              <w:marBottom w:val="0"/>
              <w:divBdr>
                <w:top w:val="none" w:sz="0" w:space="0" w:color="auto"/>
                <w:left w:val="none" w:sz="0" w:space="0" w:color="auto"/>
                <w:bottom w:val="none" w:sz="0" w:space="0" w:color="auto"/>
                <w:right w:val="none" w:sz="0" w:space="0" w:color="auto"/>
              </w:divBdr>
            </w:div>
            <w:div w:id="1772705029">
              <w:marLeft w:val="0"/>
              <w:marRight w:val="0"/>
              <w:marTop w:val="0"/>
              <w:marBottom w:val="0"/>
              <w:divBdr>
                <w:top w:val="none" w:sz="0" w:space="0" w:color="auto"/>
                <w:left w:val="none" w:sz="0" w:space="0" w:color="auto"/>
                <w:bottom w:val="none" w:sz="0" w:space="0" w:color="auto"/>
                <w:right w:val="none" w:sz="0" w:space="0" w:color="auto"/>
              </w:divBdr>
            </w:div>
            <w:div w:id="1790929803">
              <w:marLeft w:val="0"/>
              <w:marRight w:val="0"/>
              <w:marTop w:val="0"/>
              <w:marBottom w:val="0"/>
              <w:divBdr>
                <w:top w:val="none" w:sz="0" w:space="0" w:color="auto"/>
                <w:left w:val="none" w:sz="0" w:space="0" w:color="auto"/>
                <w:bottom w:val="none" w:sz="0" w:space="0" w:color="auto"/>
                <w:right w:val="none" w:sz="0" w:space="0" w:color="auto"/>
              </w:divBdr>
            </w:div>
          </w:divsChild>
        </w:div>
        <w:div w:id="624315216">
          <w:marLeft w:val="0"/>
          <w:marRight w:val="0"/>
          <w:marTop w:val="0"/>
          <w:marBottom w:val="0"/>
          <w:divBdr>
            <w:top w:val="none" w:sz="0" w:space="0" w:color="auto"/>
            <w:left w:val="none" w:sz="0" w:space="0" w:color="auto"/>
            <w:bottom w:val="none" w:sz="0" w:space="0" w:color="auto"/>
            <w:right w:val="none" w:sz="0" w:space="0" w:color="auto"/>
          </w:divBdr>
        </w:div>
        <w:div w:id="1055472521">
          <w:marLeft w:val="0"/>
          <w:marRight w:val="0"/>
          <w:marTop w:val="0"/>
          <w:marBottom w:val="0"/>
          <w:divBdr>
            <w:top w:val="none" w:sz="0" w:space="0" w:color="auto"/>
            <w:left w:val="none" w:sz="0" w:space="0" w:color="auto"/>
            <w:bottom w:val="none" w:sz="0" w:space="0" w:color="auto"/>
            <w:right w:val="none" w:sz="0" w:space="0" w:color="auto"/>
          </w:divBdr>
        </w:div>
        <w:div w:id="1250888444">
          <w:marLeft w:val="0"/>
          <w:marRight w:val="0"/>
          <w:marTop w:val="0"/>
          <w:marBottom w:val="0"/>
          <w:divBdr>
            <w:top w:val="none" w:sz="0" w:space="0" w:color="auto"/>
            <w:left w:val="none" w:sz="0" w:space="0" w:color="auto"/>
            <w:bottom w:val="none" w:sz="0" w:space="0" w:color="auto"/>
            <w:right w:val="none" w:sz="0" w:space="0" w:color="auto"/>
          </w:divBdr>
        </w:div>
        <w:div w:id="1502693257">
          <w:marLeft w:val="0"/>
          <w:marRight w:val="0"/>
          <w:marTop w:val="0"/>
          <w:marBottom w:val="0"/>
          <w:divBdr>
            <w:top w:val="none" w:sz="0" w:space="0" w:color="auto"/>
            <w:left w:val="none" w:sz="0" w:space="0" w:color="auto"/>
            <w:bottom w:val="none" w:sz="0" w:space="0" w:color="auto"/>
            <w:right w:val="none" w:sz="0" w:space="0" w:color="auto"/>
          </w:divBdr>
        </w:div>
        <w:div w:id="1574856461">
          <w:marLeft w:val="0"/>
          <w:marRight w:val="0"/>
          <w:marTop w:val="0"/>
          <w:marBottom w:val="0"/>
          <w:divBdr>
            <w:top w:val="none" w:sz="0" w:space="0" w:color="auto"/>
            <w:left w:val="none" w:sz="0" w:space="0" w:color="auto"/>
            <w:bottom w:val="none" w:sz="0" w:space="0" w:color="auto"/>
            <w:right w:val="none" w:sz="0" w:space="0" w:color="auto"/>
          </w:divBdr>
          <w:divsChild>
            <w:div w:id="246693370">
              <w:marLeft w:val="0"/>
              <w:marRight w:val="0"/>
              <w:marTop w:val="0"/>
              <w:marBottom w:val="0"/>
              <w:divBdr>
                <w:top w:val="none" w:sz="0" w:space="0" w:color="auto"/>
                <w:left w:val="none" w:sz="0" w:space="0" w:color="auto"/>
                <w:bottom w:val="none" w:sz="0" w:space="0" w:color="auto"/>
                <w:right w:val="none" w:sz="0" w:space="0" w:color="auto"/>
              </w:divBdr>
            </w:div>
            <w:div w:id="322122878">
              <w:marLeft w:val="0"/>
              <w:marRight w:val="0"/>
              <w:marTop w:val="0"/>
              <w:marBottom w:val="0"/>
              <w:divBdr>
                <w:top w:val="none" w:sz="0" w:space="0" w:color="auto"/>
                <w:left w:val="none" w:sz="0" w:space="0" w:color="auto"/>
                <w:bottom w:val="none" w:sz="0" w:space="0" w:color="auto"/>
                <w:right w:val="none" w:sz="0" w:space="0" w:color="auto"/>
              </w:divBdr>
            </w:div>
            <w:div w:id="1231385370">
              <w:marLeft w:val="0"/>
              <w:marRight w:val="0"/>
              <w:marTop w:val="0"/>
              <w:marBottom w:val="0"/>
              <w:divBdr>
                <w:top w:val="none" w:sz="0" w:space="0" w:color="auto"/>
                <w:left w:val="none" w:sz="0" w:space="0" w:color="auto"/>
                <w:bottom w:val="none" w:sz="0" w:space="0" w:color="auto"/>
                <w:right w:val="none" w:sz="0" w:space="0" w:color="auto"/>
              </w:divBdr>
            </w:div>
            <w:div w:id="1300719569">
              <w:marLeft w:val="0"/>
              <w:marRight w:val="0"/>
              <w:marTop w:val="0"/>
              <w:marBottom w:val="0"/>
              <w:divBdr>
                <w:top w:val="none" w:sz="0" w:space="0" w:color="auto"/>
                <w:left w:val="none" w:sz="0" w:space="0" w:color="auto"/>
                <w:bottom w:val="none" w:sz="0" w:space="0" w:color="auto"/>
                <w:right w:val="none" w:sz="0" w:space="0" w:color="auto"/>
              </w:divBdr>
            </w:div>
            <w:div w:id="2111848556">
              <w:marLeft w:val="0"/>
              <w:marRight w:val="0"/>
              <w:marTop w:val="0"/>
              <w:marBottom w:val="0"/>
              <w:divBdr>
                <w:top w:val="none" w:sz="0" w:space="0" w:color="auto"/>
                <w:left w:val="none" w:sz="0" w:space="0" w:color="auto"/>
                <w:bottom w:val="none" w:sz="0" w:space="0" w:color="auto"/>
                <w:right w:val="none" w:sz="0" w:space="0" w:color="auto"/>
              </w:divBdr>
            </w:div>
          </w:divsChild>
        </w:div>
        <w:div w:id="1782843818">
          <w:marLeft w:val="0"/>
          <w:marRight w:val="0"/>
          <w:marTop w:val="0"/>
          <w:marBottom w:val="0"/>
          <w:divBdr>
            <w:top w:val="none" w:sz="0" w:space="0" w:color="auto"/>
            <w:left w:val="none" w:sz="0" w:space="0" w:color="auto"/>
            <w:bottom w:val="none" w:sz="0" w:space="0" w:color="auto"/>
            <w:right w:val="none" w:sz="0" w:space="0" w:color="auto"/>
          </w:divBdr>
        </w:div>
        <w:div w:id="1970551103">
          <w:marLeft w:val="0"/>
          <w:marRight w:val="0"/>
          <w:marTop w:val="0"/>
          <w:marBottom w:val="0"/>
          <w:divBdr>
            <w:top w:val="none" w:sz="0" w:space="0" w:color="auto"/>
            <w:left w:val="none" w:sz="0" w:space="0" w:color="auto"/>
            <w:bottom w:val="none" w:sz="0" w:space="0" w:color="auto"/>
            <w:right w:val="none" w:sz="0" w:space="0" w:color="auto"/>
          </w:divBdr>
        </w:div>
      </w:divsChild>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499540661">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22011464">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2685610">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512953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49352506">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63694453">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2380923">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817328">
      <w:bodyDiv w:val="1"/>
      <w:marLeft w:val="0"/>
      <w:marRight w:val="0"/>
      <w:marTop w:val="0"/>
      <w:marBottom w:val="0"/>
      <w:divBdr>
        <w:top w:val="none" w:sz="0" w:space="0" w:color="auto"/>
        <w:left w:val="none" w:sz="0" w:space="0" w:color="auto"/>
        <w:bottom w:val="none" w:sz="0" w:space="0" w:color="auto"/>
        <w:right w:val="none" w:sz="0" w:space="0" w:color="auto"/>
      </w:divBdr>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42947014">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2131607">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784294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18924443">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47050406">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3362864">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393848109">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4270952">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589322">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36623326">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79171877">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5918842">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294102">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37098743">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45569715">
      <w:bodyDiv w:val="1"/>
      <w:marLeft w:val="0"/>
      <w:marRight w:val="0"/>
      <w:marTop w:val="0"/>
      <w:marBottom w:val="0"/>
      <w:divBdr>
        <w:top w:val="none" w:sz="0" w:space="0" w:color="auto"/>
        <w:left w:val="none" w:sz="0" w:space="0" w:color="auto"/>
        <w:bottom w:val="none" w:sz="0" w:space="0" w:color="auto"/>
        <w:right w:val="none" w:sz="0" w:space="0" w:color="auto"/>
      </w:divBdr>
    </w:div>
    <w:div w:id="1986351651">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3777112">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28308779">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E5A84E5-A973-4E13-9671-7E7514E6B8F3}">
  <we:reference id="4d101a29-d70c-41cd-b0bd-a03e00161576" version="1.0.0.7" store="EXCatalog" storeType="EXCatalog"/>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11AE7E-0A91-4970-A068-29E74E6128B8}">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FCD05786-1864-402A-8B69-56F0C03BB290}">
  <ds:schemaRefs>
    <ds:schemaRef ds:uri="http://schemas.openxmlformats.org/officeDocument/2006/bibliography"/>
  </ds:schemaRefs>
</ds:datastoreItem>
</file>

<file path=customXml/itemProps3.xml><?xml version="1.0" encoding="utf-8"?>
<ds:datastoreItem xmlns:ds="http://schemas.openxmlformats.org/officeDocument/2006/customXml" ds:itemID="{9D419A97-4B4D-4B0B-BA0F-B6A9606DD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4BA4-8DB7-4217-AF4C-4BEFA59721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21</Pages>
  <Words>10571</Words>
  <Characters>60255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70685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Stultz, Jake</cp:lastModifiedBy>
  <cp:revision>136</cp:revision>
  <cp:lastPrinted>2022-11-02T11:17:00Z</cp:lastPrinted>
  <dcterms:created xsi:type="dcterms:W3CDTF">2023-02-27T22:26:00Z</dcterms:created>
  <dcterms:modified xsi:type="dcterms:W3CDTF">2023-03-08T19:18:00Z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