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236872" w:rsidRDefault="002A1316">
      <w:pPr>
        <w:pStyle w:val="Heading2"/>
        <w:jc w:val="center"/>
        <w:rPr>
          <w:b/>
          <w:bCs/>
          <w:sz w:val="22"/>
          <w:szCs w:val="22"/>
        </w:rPr>
      </w:pPr>
    </w:p>
    <w:p w14:paraId="45A488C1" w14:textId="77777777" w:rsidR="0054389A" w:rsidRPr="00236872" w:rsidRDefault="002A1316" w:rsidP="0054389A">
      <w:pPr>
        <w:pStyle w:val="Heading2"/>
        <w:rPr>
          <w:b/>
          <w:bCs/>
          <w:sz w:val="22"/>
          <w:szCs w:val="22"/>
        </w:rPr>
      </w:pPr>
      <w:r w:rsidRPr="00236872">
        <w:rPr>
          <w:b/>
          <w:bCs/>
          <w:sz w:val="22"/>
          <w:szCs w:val="22"/>
        </w:rPr>
        <w:t>Issue:</w:t>
      </w:r>
      <w:r w:rsidR="00EC61F1" w:rsidRPr="00236872">
        <w:rPr>
          <w:b/>
          <w:bCs/>
          <w:sz w:val="22"/>
          <w:szCs w:val="22"/>
        </w:rPr>
        <w:t xml:space="preserve"> </w:t>
      </w:r>
      <w:r w:rsidR="0054389A" w:rsidRPr="00236872">
        <w:rPr>
          <w:b/>
          <w:bCs/>
          <w:sz w:val="22"/>
          <w:szCs w:val="22"/>
        </w:rPr>
        <w:t xml:space="preserve">Updates from Model 630 Mortgage Guaranty Insurance  </w:t>
      </w:r>
    </w:p>
    <w:p w14:paraId="7D50C110" w14:textId="541F1BBE" w:rsidR="00B30CA0" w:rsidRPr="00236872" w:rsidRDefault="00B30CA0" w:rsidP="00236872">
      <w:pPr>
        <w:pStyle w:val="Heading2"/>
        <w:rPr>
          <w:b/>
          <w:bCs/>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5934EDDD"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002F103E">
        <w:rPr>
          <w:sz w:val="22"/>
          <w:szCs w:val="22"/>
        </w:rPr>
        <w:fldChar w:fldCharType="begin">
          <w:ffData>
            <w:name w:val=""/>
            <w:enabled/>
            <w:calcOnExit w:val="0"/>
            <w:checkBox>
              <w:sizeAuto/>
              <w:default w:val="0"/>
            </w:checkBox>
          </w:ffData>
        </w:fldChar>
      </w:r>
      <w:r w:rsidR="002F103E">
        <w:rPr>
          <w:sz w:val="22"/>
          <w:szCs w:val="22"/>
        </w:rPr>
        <w:instrText xml:space="preserve"> FORMCHECKBOX </w:instrText>
      </w:r>
      <w:r w:rsidR="00000000">
        <w:rPr>
          <w:sz w:val="22"/>
          <w:szCs w:val="22"/>
        </w:rPr>
      </w:r>
      <w:r w:rsidR="00000000">
        <w:rPr>
          <w:sz w:val="22"/>
          <w:szCs w:val="22"/>
        </w:rPr>
        <w:fldChar w:fldCharType="separate"/>
      </w:r>
      <w:r w:rsidR="002F103E">
        <w:rPr>
          <w:sz w:val="22"/>
          <w:szCs w:val="22"/>
        </w:rPr>
        <w:fldChar w:fldCharType="end"/>
      </w:r>
      <w:r w:rsidRPr="00016321">
        <w:rPr>
          <w:sz w:val="22"/>
          <w:szCs w:val="22"/>
        </w:rPr>
        <w:tab/>
      </w:r>
      <w:r w:rsidRPr="00016321">
        <w:rPr>
          <w:sz w:val="22"/>
          <w:szCs w:val="22"/>
        </w:rPr>
        <w:tab/>
      </w:r>
      <w:r w:rsidR="002F103E">
        <w:rPr>
          <w:sz w:val="22"/>
          <w:szCs w:val="22"/>
        </w:rPr>
        <w:fldChar w:fldCharType="begin">
          <w:ffData>
            <w:name w:val=""/>
            <w:enabled/>
            <w:calcOnExit w:val="0"/>
            <w:checkBox>
              <w:sizeAuto/>
              <w:default w:val="0"/>
            </w:checkBox>
          </w:ffData>
        </w:fldChar>
      </w:r>
      <w:r w:rsidR="002F103E">
        <w:rPr>
          <w:sz w:val="22"/>
          <w:szCs w:val="22"/>
        </w:rPr>
        <w:instrText xml:space="preserve"> FORMCHECKBOX </w:instrText>
      </w:r>
      <w:r w:rsidR="00000000">
        <w:rPr>
          <w:sz w:val="22"/>
          <w:szCs w:val="22"/>
        </w:rPr>
      </w:r>
      <w:r w:rsidR="00000000">
        <w:rPr>
          <w:sz w:val="22"/>
          <w:szCs w:val="22"/>
        </w:rPr>
        <w:fldChar w:fldCharType="separate"/>
      </w:r>
      <w:r w:rsidR="002F103E">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Default="002A1316" w:rsidP="00B30CA0">
      <w:pPr>
        <w:pStyle w:val="BodyText2"/>
        <w:rPr>
          <w:bCs w:val="0"/>
          <w:szCs w:val="22"/>
        </w:rPr>
      </w:pPr>
      <w:r w:rsidRPr="00016321">
        <w:rPr>
          <w:bCs w:val="0"/>
          <w:szCs w:val="22"/>
        </w:rPr>
        <w:t>Description of Issue:</w:t>
      </w:r>
    </w:p>
    <w:p w14:paraId="401B7347" w14:textId="77777777" w:rsidR="002F103E" w:rsidRDefault="002F103E" w:rsidP="00B30CA0">
      <w:pPr>
        <w:pStyle w:val="BodyText2"/>
        <w:rPr>
          <w:bCs w:val="0"/>
          <w:szCs w:val="22"/>
        </w:rPr>
      </w:pPr>
    </w:p>
    <w:p w14:paraId="629FE833" w14:textId="77777777" w:rsidR="00433E82" w:rsidRPr="00433E82" w:rsidRDefault="00433E82" w:rsidP="00433E82">
      <w:pPr>
        <w:pStyle w:val="BodyText2"/>
        <w:rPr>
          <w:b w:val="0"/>
          <w:bCs w:val="0"/>
          <w:szCs w:val="22"/>
        </w:rPr>
      </w:pPr>
      <w:r w:rsidRPr="00433E82">
        <w:rPr>
          <w:b w:val="0"/>
          <w:bCs w:val="0"/>
          <w:szCs w:val="22"/>
        </w:rPr>
        <w:t xml:space="preserve">This agenda item addresses updates to the </w:t>
      </w:r>
      <w:r w:rsidRPr="00433E82">
        <w:rPr>
          <w:b w:val="0"/>
          <w:bCs w:val="0"/>
          <w:i/>
          <w:iCs/>
          <w:szCs w:val="22"/>
        </w:rPr>
        <w:t>Mortgage Guaranty Insurance Model Act</w:t>
      </w:r>
      <w:r w:rsidRPr="00433E82">
        <w:rPr>
          <w:b w:val="0"/>
          <w:bCs w:val="0"/>
          <w:szCs w:val="22"/>
        </w:rPr>
        <w:t xml:space="preserve"> (Model #630) which was adopted by NAIC Executive and Plenary in August 2023. Model #630 is excerpted in </w:t>
      </w:r>
      <w:r w:rsidRPr="00433E82">
        <w:rPr>
          <w:b w:val="0"/>
          <w:bCs w:val="0"/>
          <w:i/>
          <w:iCs/>
          <w:szCs w:val="22"/>
        </w:rPr>
        <w:t>Appendix A-630 Mortgage Guaranty Insurance</w:t>
      </w:r>
      <w:r w:rsidRPr="00433E82">
        <w:rPr>
          <w:b w:val="0"/>
          <w:bCs w:val="0"/>
          <w:szCs w:val="22"/>
        </w:rPr>
        <w:t xml:space="preserve"> which is referenced in </w:t>
      </w:r>
      <w:r w:rsidRPr="00433E82">
        <w:rPr>
          <w:b w:val="0"/>
          <w:bCs w:val="0"/>
          <w:i/>
          <w:iCs/>
          <w:szCs w:val="22"/>
        </w:rPr>
        <w:t>SSAP No. 58—Mortgage Guaranty Insurance</w:t>
      </w:r>
      <w:r w:rsidRPr="00433E82">
        <w:rPr>
          <w:b w:val="0"/>
          <w:bCs w:val="0"/>
          <w:szCs w:val="22"/>
        </w:rPr>
        <w:t xml:space="preserve">. In addition, SSAP No. 58 includes some excerpts from Model #630 regarding contingency reserves. </w:t>
      </w:r>
    </w:p>
    <w:p w14:paraId="2B9BC518" w14:textId="77777777" w:rsidR="00433E82" w:rsidRPr="00433E82" w:rsidRDefault="00433E82" w:rsidP="00433E82">
      <w:pPr>
        <w:pStyle w:val="BodyText2"/>
        <w:rPr>
          <w:b w:val="0"/>
          <w:bCs w:val="0"/>
          <w:szCs w:val="22"/>
        </w:rPr>
      </w:pPr>
    </w:p>
    <w:p w14:paraId="11E4F806" w14:textId="77777777" w:rsidR="00433E82" w:rsidRPr="00433E82" w:rsidRDefault="00433E82" w:rsidP="00433E82">
      <w:pPr>
        <w:pStyle w:val="BodyText2"/>
        <w:rPr>
          <w:rFonts w:cstheme="minorHAnsi"/>
          <w:b w:val="0"/>
          <w:bCs w:val="0"/>
          <w:szCs w:val="22"/>
        </w:rPr>
      </w:pPr>
      <w:r w:rsidRPr="00433E82">
        <w:rPr>
          <w:b w:val="0"/>
          <w:bCs w:val="0"/>
          <w:szCs w:val="22"/>
        </w:rPr>
        <w:t xml:space="preserve">The updates to Model #630 were part of a multiyear project by the </w:t>
      </w:r>
      <w:r w:rsidRPr="00433E82">
        <w:rPr>
          <w:rFonts w:cstheme="minorHAnsi"/>
          <w:b w:val="0"/>
          <w:bCs w:val="0"/>
          <w:szCs w:val="22"/>
        </w:rPr>
        <w:t>Mortgage Guaranty Insurance (E) Working Group which began in November 2012. The project originally considered updating the capital requirements for mortgage guaranty insurers, but ultimately determined to focus on updating the model law. The updates to Model #630 were primarily drafted in 2022 and 2023.</w:t>
      </w:r>
    </w:p>
    <w:p w14:paraId="180BAA8A" w14:textId="77777777" w:rsidR="00433E82" w:rsidRPr="00433E82" w:rsidRDefault="00433E82" w:rsidP="00433E82">
      <w:pPr>
        <w:pStyle w:val="BodyText2"/>
        <w:rPr>
          <w:b w:val="0"/>
          <w:bCs w:val="0"/>
          <w:szCs w:val="22"/>
        </w:rPr>
      </w:pPr>
    </w:p>
    <w:p w14:paraId="129A37FE" w14:textId="77777777" w:rsidR="00433E82" w:rsidRPr="00433E82" w:rsidRDefault="00433E82" w:rsidP="00433E82">
      <w:pPr>
        <w:pStyle w:val="BodyText2"/>
        <w:rPr>
          <w:b w:val="0"/>
          <w:bCs w:val="0"/>
          <w:szCs w:val="22"/>
        </w:rPr>
      </w:pPr>
      <w:r w:rsidRPr="00433E82">
        <w:rPr>
          <w:b w:val="0"/>
          <w:bCs w:val="0"/>
          <w:szCs w:val="22"/>
        </w:rPr>
        <w:t xml:space="preserve">This agenda item will review the new model for potential updates to SSAP No. 58 and Appendix A-630, with a focus on accounting and reporting issues. Although the model law was expanded, most of the key accounting related provisions only have minor updates. As part of this review some of the summary conclusion, general section which is descriptive of the mortgage industry is also proposed to have minor updates. </w:t>
      </w:r>
    </w:p>
    <w:p w14:paraId="5633E5E4" w14:textId="77777777" w:rsidR="00606E79" w:rsidRDefault="00606E79" w:rsidP="00A92C59">
      <w:pPr>
        <w:pStyle w:val="BodyText2"/>
        <w:rPr>
          <w:b w:val="0"/>
          <w:bCs w:val="0"/>
          <w:szCs w:val="22"/>
        </w:rPr>
      </w:pPr>
    </w:p>
    <w:p w14:paraId="6C6B67AF" w14:textId="77777777" w:rsidR="002A1316" w:rsidRDefault="002A1316" w:rsidP="00B30CA0">
      <w:pPr>
        <w:pStyle w:val="BodyText2"/>
        <w:rPr>
          <w:bCs w:val="0"/>
          <w:szCs w:val="22"/>
        </w:rPr>
      </w:pPr>
      <w:r w:rsidRPr="00016321">
        <w:rPr>
          <w:bCs w:val="0"/>
          <w:szCs w:val="22"/>
        </w:rPr>
        <w:t>Existing Authoritative Literature:</w:t>
      </w:r>
    </w:p>
    <w:p w14:paraId="4D151BC7" w14:textId="77777777" w:rsidR="00C017A8" w:rsidRDefault="00C017A8" w:rsidP="00B30CA0">
      <w:pPr>
        <w:pStyle w:val="BodyText2"/>
        <w:rPr>
          <w:bCs w:val="0"/>
          <w:szCs w:val="22"/>
        </w:rPr>
      </w:pPr>
    </w:p>
    <w:p w14:paraId="12AF7FC9" w14:textId="3C0AFB01" w:rsidR="00395215" w:rsidRPr="003D2616" w:rsidRDefault="00645E30" w:rsidP="00B30CA0">
      <w:pPr>
        <w:pStyle w:val="BodyText2"/>
        <w:rPr>
          <w:b w:val="0"/>
          <w:i/>
          <w:iCs/>
          <w:szCs w:val="22"/>
        </w:rPr>
      </w:pPr>
      <w:r w:rsidRPr="003D2616">
        <w:rPr>
          <w:b w:val="0"/>
          <w:i/>
          <w:iCs/>
          <w:szCs w:val="22"/>
        </w:rPr>
        <w:t>Appendix A-630</w:t>
      </w:r>
      <w:r w:rsidR="000737F2" w:rsidRPr="003D2616">
        <w:rPr>
          <w:b w:val="0"/>
          <w:i/>
          <w:iCs/>
          <w:szCs w:val="22"/>
        </w:rPr>
        <w:t xml:space="preserve"> Mortgage Guar</w:t>
      </w:r>
      <w:r w:rsidR="003D2616" w:rsidRPr="003D2616">
        <w:rPr>
          <w:b w:val="0"/>
          <w:i/>
          <w:iCs/>
          <w:szCs w:val="22"/>
        </w:rPr>
        <w:t xml:space="preserve">anty Insurance </w:t>
      </w:r>
    </w:p>
    <w:p w14:paraId="107BA36E" w14:textId="5D6C9301" w:rsidR="00C017A8" w:rsidRPr="00D938C2" w:rsidRDefault="00C017A8" w:rsidP="00B30CA0">
      <w:pPr>
        <w:pStyle w:val="BodyText2"/>
        <w:rPr>
          <w:b w:val="0"/>
          <w:szCs w:val="22"/>
        </w:rPr>
      </w:pPr>
      <w:r w:rsidRPr="003D2616">
        <w:rPr>
          <w:b w:val="0"/>
          <w:i/>
          <w:iCs/>
          <w:szCs w:val="22"/>
        </w:rPr>
        <w:t>SSAP No. 58—Mortgage Guaranty Insurance</w:t>
      </w:r>
      <w:r w:rsidR="00D938C2">
        <w:rPr>
          <w:b w:val="0"/>
          <w:szCs w:val="22"/>
        </w:rPr>
        <w:t xml:space="preserve"> (bolding added for emphasis)</w:t>
      </w:r>
    </w:p>
    <w:p w14:paraId="282CAF48" w14:textId="77777777" w:rsidR="003D2616" w:rsidRDefault="003D2616" w:rsidP="00B30CA0">
      <w:pPr>
        <w:pStyle w:val="BodyText2"/>
        <w:rPr>
          <w:b w:val="0"/>
          <w:i/>
          <w:iCs/>
          <w:szCs w:val="22"/>
        </w:rPr>
      </w:pPr>
    </w:p>
    <w:p w14:paraId="380622BF" w14:textId="0577D739" w:rsidR="00EA6104" w:rsidRPr="00EA6104" w:rsidRDefault="00EA6104" w:rsidP="00EA6104">
      <w:pPr>
        <w:tabs>
          <w:tab w:val="num" w:pos="720"/>
        </w:tabs>
        <w:spacing w:after="220"/>
        <w:ind w:left="720"/>
        <w:jc w:val="both"/>
        <w:rPr>
          <w:spacing w:val="-2"/>
          <w:sz w:val="22"/>
          <w:szCs w:val="20"/>
        </w:rPr>
      </w:pPr>
      <w:r w:rsidRPr="00EA6104">
        <w:rPr>
          <w:sz w:val="22"/>
          <w:szCs w:val="20"/>
        </w:rPr>
        <w:t>1.</w:t>
      </w:r>
      <w:r w:rsidRPr="00EA6104">
        <w:rPr>
          <w:sz w:val="22"/>
          <w:szCs w:val="20"/>
        </w:rPr>
        <w:tab/>
        <w:t xml:space="preserve">This statement establishes statutory accounting principles for mortgage guaranty insurance and addresses areas where mortgage guaranty insurance accounting differs from other lines of insurance. To the extent a topic is not covered </w:t>
      </w:r>
      <w:r w:rsidRPr="00D938C2">
        <w:rPr>
          <w:b/>
          <w:bCs/>
          <w:sz w:val="22"/>
          <w:szCs w:val="20"/>
        </w:rPr>
        <w:t>by this statement and Appendix A-630,</w:t>
      </w:r>
      <w:r w:rsidRPr="00EA6104">
        <w:rPr>
          <w:sz w:val="22"/>
          <w:szCs w:val="20"/>
        </w:rPr>
        <w:t xml:space="preserve"> mortgage guaranty</w:t>
      </w:r>
      <w:r w:rsidRPr="00EA6104">
        <w:rPr>
          <w:spacing w:val="-2"/>
          <w:sz w:val="22"/>
          <w:szCs w:val="20"/>
        </w:rPr>
        <w:t xml:space="preserve"> insurance accounting shall comply with statutory accounting guidance for other lines of property and casualty insurance.</w:t>
      </w:r>
    </w:p>
    <w:p w14:paraId="5E6FD4DF" w14:textId="2ECDF2A3" w:rsidR="00EA6104" w:rsidRPr="00EA6104" w:rsidRDefault="00EA6104" w:rsidP="00EA6104">
      <w:pPr>
        <w:tabs>
          <w:tab w:val="num" w:pos="720"/>
        </w:tabs>
        <w:spacing w:after="220"/>
        <w:ind w:left="720"/>
        <w:jc w:val="both"/>
        <w:rPr>
          <w:sz w:val="22"/>
          <w:szCs w:val="20"/>
        </w:rPr>
      </w:pPr>
      <w:r w:rsidRPr="00EA6104">
        <w:rPr>
          <w:sz w:val="22"/>
          <w:szCs w:val="20"/>
        </w:rPr>
        <w:t>2.</w:t>
      </w:r>
      <w:r w:rsidRPr="00EA6104">
        <w:rPr>
          <w:sz w:val="22"/>
          <w:szCs w:val="20"/>
        </w:rPr>
        <w:tab/>
        <w:t>Mortgage guaranty insurance protects a lender against loss of all or a portion of the principal amount of a mortgage loan upon default of the mortgagor. Mortgage guaranty insurance differs from other types of property and casualty insurance in that coverage is long-term, and in most cases</w:t>
      </w:r>
      <w:r w:rsidR="00DC2B76" w:rsidRPr="00EA6104">
        <w:rPr>
          <w:sz w:val="22"/>
          <w:szCs w:val="20"/>
        </w:rPr>
        <w:t>,</w:t>
      </w:r>
      <w:r w:rsidRPr="00EA6104">
        <w:rPr>
          <w:sz w:val="22"/>
          <w:szCs w:val="20"/>
        </w:rPr>
        <w:t xml:space="preserve"> premiums are level and paid monthly. Most states require issuers of mortgage guaranty contracts to be monoline insurers and impose limitations on the aggregate amount of risk insured based on geographic territories. Additionally, states may require mortgage guaranty insurers to reinsure with only selected reinsurers.</w:t>
      </w:r>
    </w:p>
    <w:p w14:paraId="09EDCA7F" w14:textId="38FC8EDC" w:rsidR="00CF67E1" w:rsidRDefault="00CF67E1" w:rsidP="00607171">
      <w:pPr>
        <w:tabs>
          <w:tab w:val="num" w:pos="720"/>
        </w:tabs>
        <w:spacing w:after="220"/>
        <w:ind w:left="720"/>
        <w:jc w:val="both"/>
        <w:rPr>
          <w:sz w:val="22"/>
          <w:szCs w:val="20"/>
        </w:rPr>
      </w:pPr>
      <w:r>
        <w:rPr>
          <w:sz w:val="22"/>
          <w:szCs w:val="20"/>
        </w:rPr>
        <w:t>6.</w:t>
      </w:r>
      <w:r>
        <w:rPr>
          <w:sz w:val="22"/>
          <w:szCs w:val="20"/>
        </w:rPr>
        <w:tab/>
      </w:r>
      <w:r w:rsidRPr="00CF67E1">
        <w:rPr>
          <w:sz w:val="22"/>
          <w:szCs w:val="20"/>
        </w:rPr>
        <w:t xml:space="preserve">Mortgage guaranty insurance companies generally offer the following premium payment plans: (a) monthly premiums, (b) a single premium which provides coverage for periods ranging from three to 15 years, (c) nonlevel annual premiums, and (d) level annual premiums. All policies are renewable at the discretion of the lender. </w:t>
      </w:r>
      <w:r w:rsidRPr="00CF67E1">
        <w:rPr>
          <w:sz w:val="22"/>
          <w:szCs w:val="20"/>
          <w:highlight w:val="lightGray"/>
        </w:rPr>
        <w:t xml:space="preserve">The mortgage guaranty insurer does not have an option to cancel or </w:t>
      </w:r>
      <w:proofErr w:type="spellStart"/>
      <w:r w:rsidRPr="00CF67E1">
        <w:rPr>
          <w:sz w:val="22"/>
          <w:szCs w:val="20"/>
          <w:highlight w:val="lightGray"/>
        </w:rPr>
        <w:t>nonrenew</w:t>
      </w:r>
      <w:proofErr w:type="spellEnd"/>
      <w:r w:rsidRPr="00CF67E1">
        <w:rPr>
          <w:sz w:val="22"/>
          <w:szCs w:val="20"/>
          <w:highlight w:val="lightGray"/>
        </w:rPr>
        <w:t xml:space="preserve"> the policy, except for fraud or nonpayment of the premium.</w:t>
      </w:r>
    </w:p>
    <w:p w14:paraId="218B8C69" w14:textId="1962C333" w:rsidR="00CF67E1" w:rsidRDefault="00CF67E1" w:rsidP="00607171">
      <w:pPr>
        <w:pStyle w:val="ListContinue"/>
        <w:ind w:left="720"/>
      </w:pPr>
      <w:r>
        <w:rPr>
          <w:highlight w:val="lightGray"/>
        </w:rPr>
        <w:lastRenderedPageBreak/>
        <w:t>15.</w:t>
      </w:r>
      <w:r>
        <w:rPr>
          <w:highlight w:val="lightGray"/>
        </w:rPr>
        <w:tab/>
        <w:t>Pool insurance policies are not cancelable by the insurer except for nonpayment of premium.</w:t>
      </w:r>
      <w:r>
        <w:t xml:space="preserve"> These policies may be written on mortgage pools having terms of up to 30 years. However, the average policy life is 8 to 12 years.</w:t>
      </w:r>
    </w:p>
    <w:p w14:paraId="0BDB1F1A" w14:textId="2DE230FB"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r w:rsidR="00DC2B76" w:rsidRPr="00016321">
        <w:rPr>
          <w:b w:val="0"/>
          <w:szCs w:val="22"/>
        </w:rPr>
        <w:t>.</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6994B22A" w14:textId="77777777" w:rsidR="00420352" w:rsidRDefault="00420352" w:rsidP="00420352">
      <w:pPr>
        <w:pStyle w:val="BodyText2"/>
        <w:rPr>
          <w:b w:val="0"/>
          <w:bCs w:val="0"/>
          <w:szCs w:val="22"/>
        </w:rPr>
      </w:pPr>
      <w:r>
        <w:rPr>
          <w:b w:val="0"/>
          <w:bCs w:val="0"/>
          <w:szCs w:val="22"/>
        </w:rPr>
        <w:t>The current number of mortgage guaranty insurers is less than ten and these are concentrated in three U.S. states North Carolina, Pennsylvania and Wisconsin.</w:t>
      </w:r>
    </w:p>
    <w:p w14:paraId="19D3DF10" w14:textId="77777777" w:rsidR="006B37DD" w:rsidRPr="00016321" w:rsidRDefault="006B37DD" w:rsidP="00B30CA0">
      <w:pPr>
        <w:pStyle w:val="BodyText2"/>
        <w:rPr>
          <w:b w:val="0"/>
          <w:bCs w:val="0"/>
          <w:szCs w:val="22"/>
        </w:rPr>
      </w:pPr>
    </w:p>
    <w:p w14:paraId="70213B4E" w14:textId="7D786460" w:rsidR="00490996" w:rsidRPr="00016321" w:rsidRDefault="00490996" w:rsidP="00490996">
      <w:pPr>
        <w:pStyle w:val="Default"/>
        <w:rPr>
          <w:b/>
          <w:sz w:val="22"/>
          <w:szCs w:val="22"/>
        </w:rPr>
      </w:pPr>
      <w:r w:rsidRPr="00016321">
        <w:rPr>
          <w:b/>
          <w:sz w:val="22"/>
          <w:szCs w:val="22"/>
        </w:rPr>
        <w:t>Convergence with International Financial Reporting Standards (IFRS):</w:t>
      </w:r>
      <w:r w:rsidR="001F3288">
        <w:rPr>
          <w:b/>
          <w:sz w:val="22"/>
          <w:szCs w:val="22"/>
        </w:rPr>
        <w:t xml:space="preserve"> Not applicable. </w:t>
      </w:r>
    </w:p>
    <w:p w14:paraId="45ED1F04" w14:textId="77777777" w:rsidR="006B37DD" w:rsidRPr="00016321" w:rsidRDefault="006B37DD" w:rsidP="00490996">
      <w:pPr>
        <w:pStyle w:val="BodyText2"/>
        <w:rPr>
          <w:b w:val="0"/>
          <w:bCs w:val="0"/>
          <w:szCs w:val="22"/>
        </w:rPr>
      </w:pPr>
    </w:p>
    <w:p w14:paraId="06BE66B1" w14:textId="35EE4E35" w:rsidR="001F3288" w:rsidRDefault="001F3288" w:rsidP="001F3288">
      <w:pPr>
        <w:pStyle w:val="BodyText2"/>
        <w:rPr>
          <w:b w:val="0"/>
          <w:bCs w:val="0"/>
          <w:szCs w:val="22"/>
        </w:rPr>
      </w:pPr>
      <w:r w:rsidRPr="00016321">
        <w:rPr>
          <w:szCs w:val="22"/>
        </w:rPr>
        <w:t>Staff Review Completed by:</w:t>
      </w:r>
      <w:r>
        <w:rPr>
          <w:szCs w:val="22"/>
        </w:rPr>
        <w:t xml:space="preserve"> </w:t>
      </w:r>
      <w:r>
        <w:rPr>
          <w:b w:val="0"/>
          <w:bCs w:val="0"/>
          <w:szCs w:val="22"/>
        </w:rPr>
        <w:t xml:space="preserve">Robin Marcotte </w:t>
      </w:r>
      <w:r w:rsidRPr="00C71C2C">
        <w:rPr>
          <w:b w:val="0"/>
          <w:bCs w:val="0"/>
          <w:szCs w:val="22"/>
        </w:rPr>
        <w:t>– NAIC Staff</w:t>
      </w:r>
      <w:r w:rsidR="00C06DCA">
        <w:rPr>
          <w:b w:val="0"/>
          <w:bCs w:val="0"/>
          <w:szCs w:val="22"/>
        </w:rPr>
        <w:t>, September 2023</w:t>
      </w:r>
    </w:p>
    <w:p w14:paraId="6198A10C" w14:textId="77777777" w:rsidR="001F3288" w:rsidRPr="00016321" w:rsidRDefault="001F3288" w:rsidP="001F3288">
      <w:pPr>
        <w:pStyle w:val="BodyText2"/>
        <w:rPr>
          <w:b w:val="0"/>
          <w:szCs w:val="22"/>
        </w:rPr>
      </w:pPr>
    </w:p>
    <w:p w14:paraId="4D99BD3E" w14:textId="77777777" w:rsidR="00C06DCA" w:rsidRDefault="002A1316" w:rsidP="00C06DCA">
      <w:pPr>
        <w:pStyle w:val="ListContinue"/>
        <w:keepNext/>
        <w:keepLines/>
        <w:spacing w:after="0"/>
        <w:rPr>
          <w:szCs w:val="22"/>
        </w:rPr>
      </w:pPr>
      <w:r w:rsidRPr="00C06DCA">
        <w:rPr>
          <w:b/>
          <w:bCs/>
          <w:szCs w:val="22"/>
        </w:rPr>
        <w:t>Staff Recommendation</w:t>
      </w:r>
      <w:r w:rsidRPr="00016321">
        <w:rPr>
          <w:szCs w:val="22"/>
        </w:rPr>
        <w:t>:</w:t>
      </w:r>
      <w:r w:rsidR="004128F1">
        <w:rPr>
          <w:szCs w:val="22"/>
        </w:rPr>
        <w:t xml:space="preserve"> </w:t>
      </w:r>
    </w:p>
    <w:p w14:paraId="2AEF9C68" w14:textId="69E35DD3" w:rsidR="009D58B4" w:rsidRDefault="009D58B4" w:rsidP="009D58B4">
      <w:pPr>
        <w:pStyle w:val="ListContinue"/>
        <w:keepNext/>
        <w:keepLines/>
        <w:spacing w:after="0"/>
        <w:rPr>
          <w:bCs/>
          <w:iCs/>
          <w:kern w:val="32"/>
          <w:szCs w:val="22"/>
        </w:rPr>
      </w:pPr>
      <w:r w:rsidRPr="009D58B4">
        <w:rPr>
          <w:bCs/>
          <w:iCs/>
          <w:kern w:val="32"/>
          <w:szCs w:val="22"/>
        </w:rPr>
        <w:t xml:space="preserve">NAIC staff recommends that the Working Group move this to the active listing and expose the intent to review Model #630 for incorporation into SSAP No. 58 and Appendix A-630 as applicable. Because there are less than ten mortgage guaranty insurers, and they are concentrated in </w:t>
      </w:r>
      <w:r w:rsidR="00CB48E4">
        <w:rPr>
          <w:bCs/>
          <w:iCs/>
          <w:kern w:val="32"/>
          <w:szCs w:val="22"/>
        </w:rPr>
        <w:t xml:space="preserve">the states of </w:t>
      </w:r>
      <w:r w:rsidRPr="009D58B4">
        <w:rPr>
          <w:bCs/>
          <w:iCs/>
          <w:kern w:val="32"/>
          <w:szCs w:val="22"/>
        </w:rPr>
        <w:t xml:space="preserve">North Carolina, Pennsylvania and Wisconsin, NAIC staff requests comments on the proposed effective date of the AP&amp;P updates. Initial feedback indicates that the earliest that the Model #630 revisions could be applicable in the affected states would be January 1, 2025, or later. NAIC staff is hesitant to recommend adoption of revisions to the AP&amp;P Manual prior to adoption by the </w:t>
      </w:r>
      <w:r w:rsidR="00CB48E4">
        <w:rPr>
          <w:bCs/>
          <w:iCs/>
          <w:kern w:val="32"/>
          <w:szCs w:val="22"/>
        </w:rPr>
        <w:t xml:space="preserve">primary state regulators of the </w:t>
      </w:r>
      <w:r w:rsidRPr="009D58B4">
        <w:rPr>
          <w:bCs/>
          <w:iCs/>
          <w:kern w:val="32"/>
          <w:szCs w:val="22"/>
        </w:rPr>
        <w:t xml:space="preserve">mortgage guaranty insurers. </w:t>
      </w:r>
    </w:p>
    <w:p w14:paraId="34EB5D7E" w14:textId="77777777" w:rsidR="009378E2" w:rsidRDefault="009378E2" w:rsidP="009D58B4">
      <w:pPr>
        <w:pStyle w:val="ListContinue"/>
        <w:keepNext/>
        <w:keepLines/>
        <w:spacing w:after="0"/>
        <w:rPr>
          <w:bCs/>
          <w:iCs/>
          <w:kern w:val="32"/>
          <w:szCs w:val="22"/>
        </w:rPr>
      </w:pPr>
    </w:p>
    <w:p w14:paraId="5FFEDFE7" w14:textId="2BC8AAA2" w:rsidR="009378E2" w:rsidRPr="009378E2" w:rsidRDefault="009378E2" w:rsidP="009D58B4">
      <w:pPr>
        <w:pStyle w:val="ListContinue"/>
        <w:keepNext/>
        <w:keepLines/>
        <w:spacing w:after="0"/>
        <w:rPr>
          <w:b/>
          <w:iCs/>
          <w:kern w:val="32"/>
          <w:szCs w:val="22"/>
        </w:rPr>
      </w:pPr>
      <w:r w:rsidRPr="009378E2">
        <w:rPr>
          <w:b/>
          <w:iCs/>
          <w:kern w:val="32"/>
          <w:szCs w:val="22"/>
        </w:rPr>
        <w:t>Status:</w:t>
      </w:r>
    </w:p>
    <w:p w14:paraId="1675B0C9" w14:textId="6C0752EB" w:rsidR="00984FA6" w:rsidRDefault="00994A6A" w:rsidP="00B30CA0">
      <w:pPr>
        <w:pStyle w:val="BodyText2"/>
        <w:rPr>
          <w:b w:val="0"/>
          <w:iCs/>
          <w:kern w:val="32"/>
          <w:szCs w:val="22"/>
        </w:rPr>
      </w:pPr>
      <w:r>
        <w:rPr>
          <w:b w:val="0"/>
          <w:iCs/>
          <w:kern w:val="32"/>
          <w:szCs w:val="22"/>
        </w:rPr>
        <w:t xml:space="preserve">On December 1, 2023, </w:t>
      </w:r>
      <w:r w:rsidR="00A8593F">
        <w:rPr>
          <w:b w:val="0"/>
          <w:iCs/>
          <w:kern w:val="32"/>
          <w:szCs w:val="22"/>
        </w:rPr>
        <w:t>t</w:t>
      </w:r>
      <w:r w:rsidR="00EF09B1" w:rsidRPr="00EF09B1">
        <w:rPr>
          <w:b w:val="0"/>
          <w:iCs/>
          <w:kern w:val="32"/>
          <w:szCs w:val="22"/>
        </w:rPr>
        <w:t xml:space="preserve">he Statutory Accounting Principles (E) Working Group moved this agenda item to the active listing, categorized as a SAP clarification and </w:t>
      </w:r>
      <w:r w:rsidR="00F56681" w:rsidRPr="00F56681">
        <w:rPr>
          <w:b w:val="0"/>
          <w:iCs/>
          <w:kern w:val="32"/>
          <w:szCs w:val="22"/>
        </w:rPr>
        <w:t>expose</w:t>
      </w:r>
      <w:r w:rsidR="00EF09B1">
        <w:rPr>
          <w:b w:val="0"/>
          <w:iCs/>
          <w:kern w:val="32"/>
          <w:szCs w:val="22"/>
        </w:rPr>
        <w:t>d</w:t>
      </w:r>
      <w:r w:rsidR="00F56681" w:rsidRPr="00F56681">
        <w:rPr>
          <w:b w:val="0"/>
          <w:iCs/>
          <w:kern w:val="32"/>
          <w:szCs w:val="22"/>
        </w:rPr>
        <w:t xml:space="preserve"> the</w:t>
      </w:r>
      <w:r w:rsidR="00EF09B1">
        <w:rPr>
          <w:b w:val="0"/>
          <w:iCs/>
          <w:kern w:val="32"/>
          <w:szCs w:val="22"/>
        </w:rPr>
        <w:t>ir</w:t>
      </w:r>
      <w:r w:rsidR="00F56681" w:rsidRPr="00F56681">
        <w:rPr>
          <w:b w:val="0"/>
          <w:iCs/>
          <w:kern w:val="32"/>
          <w:szCs w:val="22"/>
        </w:rPr>
        <w:t xml:space="preserve"> intent to review </w:t>
      </w:r>
      <w:r w:rsidR="006F0AD6">
        <w:rPr>
          <w:b w:val="0"/>
          <w:iCs/>
          <w:kern w:val="32"/>
          <w:szCs w:val="22"/>
        </w:rPr>
        <w:t>the revisions to the</w:t>
      </w:r>
      <w:r w:rsidR="00F56681" w:rsidRPr="00A8593F">
        <w:rPr>
          <w:b w:val="0"/>
          <w:i/>
          <w:szCs w:val="22"/>
        </w:rPr>
        <w:t xml:space="preserve"> </w:t>
      </w:r>
      <w:r w:rsidR="00A8593F" w:rsidRPr="00433E82">
        <w:rPr>
          <w:b w:val="0"/>
          <w:bCs w:val="0"/>
          <w:i/>
          <w:iCs/>
          <w:szCs w:val="22"/>
        </w:rPr>
        <w:t>Mortgage Guaranty Insurance Model Act</w:t>
      </w:r>
      <w:r w:rsidR="00F56681" w:rsidRPr="00F56681">
        <w:rPr>
          <w:b w:val="0"/>
          <w:iCs/>
          <w:kern w:val="32"/>
          <w:szCs w:val="22"/>
        </w:rPr>
        <w:t xml:space="preserve"> </w:t>
      </w:r>
      <w:r w:rsidR="004334A5">
        <w:rPr>
          <w:b w:val="0"/>
          <w:iCs/>
          <w:kern w:val="32"/>
          <w:szCs w:val="22"/>
        </w:rPr>
        <w:t>(</w:t>
      </w:r>
      <w:r w:rsidR="00F56681" w:rsidRPr="00F56681">
        <w:rPr>
          <w:b w:val="0"/>
          <w:iCs/>
          <w:kern w:val="32"/>
          <w:szCs w:val="22"/>
        </w:rPr>
        <w:t>#630</w:t>
      </w:r>
      <w:r w:rsidR="004334A5">
        <w:rPr>
          <w:b w:val="0"/>
          <w:iCs/>
          <w:kern w:val="32"/>
          <w:szCs w:val="22"/>
        </w:rPr>
        <w:t>)</w:t>
      </w:r>
      <w:r w:rsidR="00F56681" w:rsidRPr="00F56681">
        <w:rPr>
          <w:b w:val="0"/>
          <w:iCs/>
          <w:kern w:val="32"/>
          <w:szCs w:val="22"/>
        </w:rPr>
        <w:t xml:space="preserve"> for incorporation into SSAP No. 58 and Appendix A-630 as applicable. </w:t>
      </w:r>
      <w:r w:rsidR="00174686">
        <w:rPr>
          <w:b w:val="0"/>
          <w:iCs/>
          <w:kern w:val="32"/>
          <w:szCs w:val="22"/>
        </w:rPr>
        <w:t>The Working Group</w:t>
      </w:r>
      <w:r w:rsidR="00F56681" w:rsidRPr="00F56681">
        <w:rPr>
          <w:b w:val="0"/>
          <w:iCs/>
          <w:kern w:val="32"/>
          <w:szCs w:val="22"/>
        </w:rPr>
        <w:t xml:space="preserve"> </w:t>
      </w:r>
      <w:r w:rsidR="00D917BE">
        <w:rPr>
          <w:b w:val="0"/>
          <w:iCs/>
          <w:kern w:val="32"/>
          <w:szCs w:val="22"/>
        </w:rPr>
        <w:t xml:space="preserve">also </w:t>
      </w:r>
      <w:r w:rsidR="00F56681" w:rsidRPr="00F56681">
        <w:rPr>
          <w:b w:val="0"/>
          <w:iCs/>
          <w:kern w:val="32"/>
          <w:szCs w:val="22"/>
        </w:rPr>
        <w:t>request</w:t>
      </w:r>
      <w:r w:rsidR="00174686">
        <w:rPr>
          <w:b w:val="0"/>
          <w:iCs/>
          <w:kern w:val="32"/>
          <w:szCs w:val="22"/>
        </w:rPr>
        <w:t>ed</w:t>
      </w:r>
      <w:r w:rsidR="00F56681" w:rsidRPr="00F56681">
        <w:rPr>
          <w:b w:val="0"/>
          <w:iCs/>
          <w:kern w:val="32"/>
          <w:szCs w:val="22"/>
        </w:rPr>
        <w:t xml:space="preserve"> comments on the proposed effective date of the AP&amp;P updates</w:t>
      </w:r>
      <w:r w:rsidR="00F56681">
        <w:rPr>
          <w:b w:val="0"/>
          <w:iCs/>
          <w:kern w:val="32"/>
          <w:szCs w:val="22"/>
        </w:rPr>
        <w:t>.</w:t>
      </w:r>
    </w:p>
    <w:p w14:paraId="469AF602" w14:textId="77777777" w:rsidR="00F56681" w:rsidRPr="00016321" w:rsidRDefault="00F56681" w:rsidP="00B30CA0">
      <w:pPr>
        <w:pStyle w:val="BodyText2"/>
        <w:rPr>
          <w:b w:val="0"/>
          <w:bCs w:val="0"/>
          <w:szCs w:val="22"/>
        </w:rPr>
      </w:pPr>
    </w:p>
    <w:p w14:paraId="5BEC363C" w14:textId="64D3D2B1"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F09B1">
        <w:rPr>
          <w:noProof/>
          <w:sz w:val="16"/>
          <w:szCs w:val="16"/>
        </w:rPr>
        <w:t>https://naiconline.sharepoint.com/teams/FRSStatutoryAccounting/National Meetings/A. National Meeting Materials/2023/12-1-23 Fall National Meeting/Exposures/23-31 Model 630 Mortgage G.docx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BC3C" w14:textId="77777777" w:rsidR="00BC5697" w:rsidRDefault="00BC5697">
      <w:r>
        <w:separator/>
      </w:r>
    </w:p>
  </w:endnote>
  <w:endnote w:type="continuationSeparator" w:id="0">
    <w:p w14:paraId="061767DE" w14:textId="77777777" w:rsidR="00BC5697" w:rsidRDefault="00BC5697">
      <w:r>
        <w:continuationSeparator/>
      </w:r>
    </w:p>
  </w:endnote>
  <w:endnote w:type="continuationNotice" w:id="1">
    <w:p w14:paraId="3589B99A" w14:textId="77777777" w:rsidR="00BC5697" w:rsidRDefault="00BC5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7589F96"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830174">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D4E8" w14:textId="77777777" w:rsidR="00BC5697" w:rsidRDefault="00BC5697">
      <w:r>
        <w:separator/>
      </w:r>
    </w:p>
  </w:footnote>
  <w:footnote w:type="continuationSeparator" w:id="0">
    <w:p w14:paraId="6F0C9C84" w14:textId="77777777" w:rsidR="00BC5697" w:rsidRDefault="00BC5697">
      <w:r>
        <w:continuationSeparator/>
      </w:r>
    </w:p>
  </w:footnote>
  <w:footnote w:type="continuationNotice" w:id="1">
    <w:p w14:paraId="331509E0" w14:textId="77777777" w:rsidR="00BC5697" w:rsidRDefault="00BC5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AE6" w14:textId="2EEC9DFE" w:rsidR="006D3A59" w:rsidRPr="00F04F9A" w:rsidRDefault="006D3A59">
    <w:pPr>
      <w:pStyle w:val="Header"/>
      <w:jc w:val="right"/>
      <w:rPr>
        <w:b/>
        <w:sz w:val="20"/>
      </w:rPr>
    </w:pPr>
  </w:p>
  <w:p w14:paraId="14FEED1A" w14:textId="1DF3B866" w:rsidR="006D3A59" w:rsidRPr="00F04F9A" w:rsidRDefault="006D3A59">
    <w:pPr>
      <w:pStyle w:val="Header"/>
      <w:jc w:val="right"/>
      <w:rPr>
        <w:bCs/>
        <w:sz w:val="20"/>
      </w:rPr>
    </w:pPr>
    <w:r w:rsidRPr="00F04F9A">
      <w:rPr>
        <w:bCs/>
        <w:sz w:val="20"/>
      </w:rPr>
      <w:t>Ref #20</w:t>
    </w:r>
    <w:r w:rsidR="008424D9">
      <w:rPr>
        <w:bCs/>
        <w:sz w:val="20"/>
      </w:rPr>
      <w:t>2</w:t>
    </w:r>
    <w:r w:rsidR="008F4535">
      <w:rPr>
        <w:bCs/>
        <w:sz w:val="20"/>
      </w:rPr>
      <w:t>3</w:t>
    </w:r>
    <w:r w:rsidRPr="00F04F9A">
      <w:rPr>
        <w:bCs/>
        <w:sz w:val="20"/>
      </w:rPr>
      <w:t>-</w:t>
    </w:r>
    <w:r w:rsidR="008E7A7B">
      <w:rPr>
        <w:bCs/>
        <w:sz w:val="20"/>
      </w:rPr>
      <w:t>31</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D0121"/>
    <w:multiLevelType w:val="multilevel"/>
    <w:tmpl w:val="0868C1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9F45772"/>
    <w:multiLevelType w:val="hybridMultilevel"/>
    <w:tmpl w:val="CFB4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0A0715"/>
    <w:multiLevelType w:val="hybridMultilevel"/>
    <w:tmpl w:val="A7B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949124495">
    <w:abstractNumId w:val="12"/>
  </w:num>
  <w:num w:numId="2" w16cid:durableId="124473872">
    <w:abstractNumId w:val="21"/>
  </w:num>
  <w:num w:numId="3" w16cid:durableId="1736200778">
    <w:abstractNumId w:val="18"/>
  </w:num>
  <w:num w:numId="4" w16cid:durableId="1753817529">
    <w:abstractNumId w:val="14"/>
  </w:num>
  <w:num w:numId="5" w16cid:durableId="1117600130">
    <w:abstractNumId w:val="15"/>
  </w:num>
  <w:num w:numId="6" w16cid:durableId="696123471">
    <w:abstractNumId w:val="10"/>
  </w:num>
  <w:num w:numId="7" w16cid:durableId="2084600477">
    <w:abstractNumId w:val="7"/>
  </w:num>
  <w:num w:numId="8" w16cid:durableId="1195928133">
    <w:abstractNumId w:val="13"/>
  </w:num>
  <w:num w:numId="9" w16cid:durableId="1426073380">
    <w:abstractNumId w:val="17"/>
  </w:num>
  <w:num w:numId="10" w16cid:durableId="1901748065">
    <w:abstractNumId w:val="19"/>
  </w:num>
  <w:num w:numId="11" w16cid:durableId="1629050746">
    <w:abstractNumId w:val="3"/>
  </w:num>
  <w:num w:numId="12" w16cid:durableId="1453746734">
    <w:abstractNumId w:val="16"/>
  </w:num>
  <w:num w:numId="13" w16cid:durableId="1894609188">
    <w:abstractNumId w:val="20"/>
  </w:num>
  <w:num w:numId="14" w16cid:durableId="1117023081">
    <w:abstractNumId w:val="0"/>
  </w:num>
  <w:num w:numId="15" w16cid:durableId="289482149">
    <w:abstractNumId w:val="5"/>
  </w:num>
  <w:num w:numId="16" w16cid:durableId="900989026">
    <w:abstractNumId w:val="22"/>
  </w:num>
  <w:num w:numId="17" w16cid:durableId="1801680105">
    <w:abstractNumId w:val="26"/>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9"/>
  </w:num>
  <w:num w:numId="20" w16cid:durableId="1211115873">
    <w:abstractNumId w:val="4"/>
  </w:num>
  <w:num w:numId="21" w16cid:durableId="1381897201">
    <w:abstractNumId w:val="1"/>
  </w:num>
  <w:num w:numId="22" w16cid:durableId="1266115158">
    <w:abstractNumId w:val="24"/>
  </w:num>
  <w:num w:numId="23" w16cid:durableId="34931900">
    <w:abstractNumId w:val="1"/>
  </w:num>
  <w:num w:numId="24" w16cid:durableId="353313877">
    <w:abstractNumId w:val="6"/>
  </w:num>
  <w:num w:numId="25" w16cid:durableId="366297002">
    <w:abstractNumId w:val="8"/>
  </w:num>
  <w:num w:numId="26" w16cid:durableId="329143481">
    <w:abstractNumId w:val="25"/>
  </w:num>
  <w:num w:numId="27" w16cid:durableId="2070414578">
    <w:abstractNumId w:val="23"/>
  </w:num>
  <w:num w:numId="28" w16cid:durableId="93788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C12"/>
    <w:rsid w:val="00004652"/>
    <w:rsid w:val="00016321"/>
    <w:rsid w:val="00021269"/>
    <w:rsid w:val="000267BE"/>
    <w:rsid w:val="00034B2F"/>
    <w:rsid w:val="000517E9"/>
    <w:rsid w:val="000579B6"/>
    <w:rsid w:val="00062300"/>
    <w:rsid w:val="000737F2"/>
    <w:rsid w:val="00091380"/>
    <w:rsid w:val="000967FA"/>
    <w:rsid w:val="000D6AE8"/>
    <w:rsid w:val="000E1131"/>
    <w:rsid w:val="000E16CA"/>
    <w:rsid w:val="000E2468"/>
    <w:rsid w:val="00116112"/>
    <w:rsid w:val="00133830"/>
    <w:rsid w:val="0013539B"/>
    <w:rsid w:val="00170FF7"/>
    <w:rsid w:val="00174686"/>
    <w:rsid w:val="001760A7"/>
    <w:rsid w:val="00184144"/>
    <w:rsid w:val="0019505A"/>
    <w:rsid w:val="001B3138"/>
    <w:rsid w:val="001F3288"/>
    <w:rsid w:val="001F3CF4"/>
    <w:rsid w:val="001F46EB"/>
    <w:rsid w:val="00203FF7"/>
    <w:rsid w:val="002046F5"/>
    <w:rsid w:val="0021744E"/>
    <w:rsid w:val="00236872"/>
    <w:rsid w:val="00261273"/>
    <w:rsid w:val="002A1316"/>
    <w:rsid w:val="002A44FE"/>
    <w:rsid w:val="002D60D6"/>
    <w:rsid w:val="002D70E6"/>
    <w:rsid w:val="002F103E"/>
    <w:rsid w:val="002F63F1"/>
    <w:rsid w:val="002F6FF9"/>
    <w:rsid w:val="00301714"/>
    <w:rsid w:val="00304CEC"/>
    <w:rsid w:val="003148E8"/>
    <w:rsid w:val="00325660"/>
    <w:rsid w:val="003325E9"/>
    <w:rsid w:val="00333FC0"/>
    <w:rsid w:val="003415C3"/>
    <w:rsid w:val="0034544B"/>
    <w:rsid w:val="00351EDC"/>
    <w:rsid w:val="0035609F"/>
    <w:rsid w:val="00357190"/>
    <w:rsid w:val="00395215"/>
    <w:rsid w:val="0039600A"/>
    <w:rsid w:val="003A2D8D"/>
    <w:rsid w:val="003B12DE"/>
    <w:rsid w:val="003B2CEE"/>
    <w:rsid w:val="003D2616"/>
    <w:rsid w:val="0040093D"/>
    <w:rsid w:val="0040337C"/>
    <w:rsid w:val="004128F1"/>
    <w:rsid w:val="00420352"/>
    <w:rsid w:val="004334A5"/>
    <w:rsid w:val="00433E82"/>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22E68"/>
    <w:rsid w:val="005434A3"/>
    <w:rsid w:val="0054389A"/>
    <w:rsid w:val="00562444"/>
    <w:rsid w:val="0057078A"/>
    <w:rsid w:val="005725F5"/>
    <w:rsid w:val="005A259E"/>
    <w:rsid w:val="005B478B"/>
    <w:rsid w:val="005E06C8"/>
    <w:rsid w:val="005E15E0"/>
    <w:rsid w:val="00602704"/>
    <w:rsid w:val="00606E79"/>
    <w:rsid w:val="00607171"/>
    <w:rsid w:val="00610383"/>
    <w:rsid w:val="00624E04"/>
    <w:rsid w:val="00626152"/>
    <w:rsid w:val="00626EC0"/>
    <w:rsid w:val="00630368"/>
    <w:rsid w:val="00634598"/>
    <w:rsid w:val="00637C40"/>
    <w:rsid w:val="006452DC"/>
    <w:rsid w:val="00645E30"/>
    <w:rsid w:val="00654938"/>
    <w:rsid w:val="00660AC6"/>
    <w:rsid w:val="00670E1B"/>
    <w:rsid w:val="00676A9F"/>
    <w:rsid w:val="00690138"/>
    <w:rsid w:val="00693627"/>
    <w:rsid w:val="006B37DD"/>
    <w:rsid w:val="006C7A25"/>
    <w:rsid w:val="006D3A59"/>
    <w:rsid w:val="006E4FB2"/>
    <w:rsid w:val="006F0AD6"/>
    <w:rsid w:val="0070584A"/>
    <w:rsid w:val="00706B68"/>
    <w:rsid w:val="007152EA"/>
    <w:rsid w:val="00715743"/>
    <w:rsid w:val="0072395E"/>
    <w:rsid w:val="0072525D"/>
    <w:rsid w:val="007306B9"/>
    <w:rsid w:val="00756AE3"/>
    <w:rsid w:val="007574AB"/>
    <w:rsid w:val="00761440"/>
    <w:rsid w:val="007646F6"/>
    <w:rsid w:val="00774EEB"/>
    <w:rsid w:val="007767B8"/>
    <w:rsid w:val="007774AA"/>
    <w:rsid w:val="00794B81"/>
    <w:rsid w:val="00795898"/>
    <w:rsid w:val="007B4554"/>
    <w:rsid w:val="007F1389"/>
    <w:rsid w:val="007F344C"/>
    <w:rsid w:val="00804EDD"/>
    <w:rsid w:val="00806FC1"/>
    <w:rsid w:val="00830174"/>
    <w:rsid w:val="008424D9"/>
    <w:rsid w:val="008758B4"/>
    <w:rsid w:val="008869A6"/>
    <w:rsid w:val="008B6A8C"/>
    <w:rsid w:val="008C3A60"/>
    <w:rsid w:val="008C59AA"/>
    <w:rsid w:val="008E7A7B"/>
    <w:rsid w:val="008F4535"/>
    <w:rsid w:val="00917DF8"/>
    <w:rsid w:val="0092196B"/>
    <w:rsid w:val="009249B4"/>
    <w:rsid w:val="009378E2"/>
    <w:rsid w:val="00942413"/>
    <w:rsid w:val="00957780"/>
    <w:rsid w:val="00972A11"/>
    <w:rsid w:val="00980638"/>
    <w:rsid w:val="0098363F"/>
    <w:rsid w:val="00984FA6"/>
    <w:rsid w:val="0098632A"/>
    <w:rsid w:val="00994A6A"/>
    <w:rsid w:val="009A03A5"/>
    <w:rsid w:val="009B20EB"/>
    <w:rsid w:val="009C4DB5"/>
    <w:rsid w:val="009C702B"/>
    <w:rsid w:val="009D58B4"/>
    <w:rsid w:val="00A05E94"/>
    <w:rsid w:val="00A11581"/>
    <w:rsid w:val="00A202AF"/>
    <w:rsid w:val="00A43934"/>
    <w:rsid w:val="00A51851"/>
    <w:rsid w:val="00A541A3"/>
    <w:rsid w:val="00A82C39"/>
    <w:rsid w:val="00A8593F"/>
    <w:rsid w:val="00A92C59"/>
    <w:rsid w:val="00AA1DC0"/>
    <w:rsid w:val="00AA6691"/>
    <w:rsid w:val="00AC14AF"/>
    <w:rsid w:val="00AC6B73"/>
    <w:rsid w:val="00AD0F45"/>
    <w:rsid w:val="00AE6149"/>
    <w:rsid w:val="00AE74CF"/>
    <w:rsid w:val="00B10C19"/>
    <w:rsid w:val="00B21AEA"/>
    <w:rsid w:val="00B30CA0"/>
    <w:rsid w:val="00B96E10"/>
    <w:rsid w:val="00BB2358"/>
    <w:rsid w:val="00BB5939"/>
    <w:rsid w:val="00BC5697"/>
    <w:rsid w:val="00BE0A24"/>
    <w:rsid w:val="00C017A8"/>
    <w:rsid w:val="00C04FA0"/>
    <w:rsid w:val="00C051DB"/>
    <w:rsid w:val="00C06DCA"/>
    <w:rsid w:val="00C22982"/>
    <w:rsid w:val="00C26B71"/>
    <w:rsid w:val="00C6544D"/>
    <w:rsid w:val="00C71C2C"/>
    <w:rsid w:val="00C8277C"/>
    <w:rsid w:val="00C9066D"/>
    <w:rsid w:val="00CA39BF"/>
    <w:rsid w:val="00CA4112"/>
    <w:rsid w:val="00CA4E49"/>
    <w:rsid w:val="00CB48E4"/>
    <w:rsid w:val="00CB7CFA"/>
    <w:rsid w:val="00CC53AA"/>
    <w:rsid w:val="00CE3B76"/>
    <w:rsid w:val="00CF3750"/>
    <w:rsid w:val="00CF5EB5"/>
    <w:rsid w:val="00CF67E1"/>
    <w:rsid w:val="00D1306C"/>
    <w:rsid w:val="00D21513"/>
    <w:rsid w:val="00D506C4"/>
    <w:rsid w:val="00D87F82"/>
    <w:rsid w:val="00D917BE"/>
    <w:rsid w:val="00D91B28"/>
    <w:rsid w:val="00D924B0"/>
    <w:rsid w:val="00D938C2"/>
    <w:rsid w:val="00D94FE4"/>
    <w:rsid w:val="00DA1C46"/>
    <w:rsid w:val="00DB4F61"/>
    <w:rsid w:val="00DB6E6E"/>
    <w:rsid w:val="00DC071A"/>
    <w:rsid w:val="00DC2B76"/>
    <w:rsid w:val="00DF407B"/>
    <w:rsid w:val="00E01062"/>
    <w:rsid w:val="00E077F0"/>
    <w:rsid w:val="00E136A0"/>
    <w:rsid w:val="00E2462E"/>
    <w:rsid w:val="00E27622"/>
    <w:rsid w:val="00E30ACC"/>
    <w:rsid w:val="00E90A65"/>
    <w:rsid w:val="00EA2736"/>
    <w:rsid w:val="00EA6104"/>
    <w:rsid w:val="00EC15C1"/>
    <w:rsid w:val="00EC61F1"/>
    <w:rsid w:val="00EE3A12"/>
    <w:rsid w:val="00EF09B1"/>
    <w:rsid w:val="00EF254A"/>
    <w:rsid w:val="00EF720B"/>
    <w:rsid w:val="00F04F9A"/>
    <w:rsid w:val="00F05F13"/>
    <w:rsid w:val="00F179AD"/>
    <w:rsid w:val="00F36D97"/>
    <w:rsid w:val="00F45D51"/>
    <w:rsid w:val="00F5668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2Char">
    <w:name w:val="Heading 2 Char"/>
    <w:basedOn w:val="DefaultParagraphFont"/>
    <w:link w:val="Heading2"/>
    <w:rsid w:val="0054389A"/>
    <w:rPr>
      <w:sz w:val="24"/>
    </w:rPr>
  </w:style>
  <w:style w:type="paragraph" w:styleId="ListParagraph">
    <w:name w:val="List Paragraph"/>
    <w:basedOn w:val="Normal"/>
    <w:uiPriority w:val="34"/>
    <w:qFormat/>
    <w:rsid w:val="00EA6104"/>
    <w:pPr>
      <w:ind w:left="720"/>
      <w:contextualSpacing/>
    </w:pPr>
  </w:style>
  <w:style w:type="paragraph" w:styleId="Revision">
    <w:name w:val="Revision"/>
    <w:hidden/>
    <w:uiPriority w:val="99"/>
    <w:semiHidden/>
    <w:rsid w:val="00602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753161">
      <w:bodyDiv w:val="1"/>
      <w:marLeft w:val="0"/>
      <w:marRight w:val="0"/>
      <w:marTop w:val="0"/>
      <w:marBottom w:val="0"/>
      <w:divBdr>
        <w:top w:val="none" w:sz="0" w:space="0" w:color="auto"/>
        <w:left w:val="none" w:sz="0" w:space="0" w:color="auto"/>
        <w:bottom w:val="none" w:sz="0" w:space="0" w:color="auto"/>
        <w:right w:val="none" w:sz="0" w:space="0" w:color="auto"/>
      </w:divBdr>
    </w:div>
    <w:div w:id="21252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2ECD59-3A5E-4F5E-BD9F-EF2DCDD45B17}">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Complete</Progres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8" ma:contentTypeDescription="Create a new document." ma:contentTypeScope="" ma:versionID="4c4d052bb73902e964aa582eee4e682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aa3b68c573947eabdaa67b3179145df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812C64A5-5E94-46B4-8B36-414C50755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79</cp:revision>
  <cp:lastPrinted>2011-03-01T22:07:00Z</cp:lastPrinted>
  <dcterms:created xsi:type="dcterms:W3CDTF">2019-08-13T15:50:00Z</dcterms:created>
  <dcterms:modified xsi:type="dcterms:W3CDTF">2023-12-06T19:56:00Z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