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12F1" w14:textId="77777777" w:rsidR="00AA6023" w:rsidRPr="00477EDF" w:rsidRDefault="00AA6023" w:rsidP="00AA6023">
      <w:pPr>
        <w:widowControl/>
        <w:pBdr>
          <w:bottom w:val="single" w:sz="4" w:space="1" w:color="auto"/>
        </w:pBdr>
        <w:autoSpaceDE/>
        <w:autoSpaceDN/>
        <w:jc w:val="both"/>
        <w:rPr>
          <w:b/>
          <w:smallCaps/>
        </w:rPr>
      </w:pPr>
      <w:r w:rsidRPr="00477EDF">
        <w:rPr>
          <w:b/>
          <w:smallCaps/>
        </w:rPr>
        <w:t>Sample Text for Describing the U.S. Receivership Regime in Resolution Plans</w:t>
      </w:r>
    </w:p>
    <w:p w14:paraId="2329A595" w14:textId="77777777" w:rsidR="00AA6023" w:rsidRPr="00477EDF" w:rsidRDefault="00AA6023" w:rsidP="00AA6023">
      <w:pPr>
        <w:widowControl/>
        <w:autoSpaceDE/>
        <w:autoSpaceDN/>
        <w:jc w:val="both"/>
        <w:rPr>
          <w:bdr w:val="none" w:sz="0" w:space="0" w:color="auto" w:frame="1"/>
        </w:rPr>
      </w:pPr>
    </w:p>
    <w:p w14:paraId="0FC20CB0" w14:textId="77777777" w:rsidR="00AA6023" w:rsidRPr="00477EDF" w:rsidRDefault="00AA6023" w:rsidP="00AA6023">
      <w:pPr>
        <w:widowControl/>
        <w:autoSpaceDE/>
        <w:autoSpaceDN/>
        <w:jc w:val="both"/>
        <w:rPr>
          <w:bdr w:val="none" w:sz="0" w:space="0" w:color="auto" w:frame="1"/>
        </w:rPr>
      </w:pPr>
      <w:r w:rsidRPr="00477EDF">
        <w:rPr>
          <w:bdr w:val="none" w:sz="0" w:space="0" w:color="auto" w:frame="1"/>
        </w:rPr>
        <w:t xml:space="preserve">The following is sample text that may be used by a U.S. lead state to describe the U.S. receivership regime within resolution plans or to facilitate dialogue with international supervisors during Supervisory Colleges and Crisis Management Group (CMG) discussions. </w:t>
      </w:r>
    </w:p>
    <w:p w14:paraId="226D8153" w14:textId="77777777" w:rsidR="00AA6023" w:rsidRPr="00477EDF" w:rsidRDefault="00AA6023" w:rsidP="00AA6023">
      <w:pPr>
        <w:widowControl/>
        <w:autoSpaceDE/>
        <w:autoSpaceDN/>
        <w:jc w:val="both"/>
        <w:rPr>
          <w:bdr w:val="none" w:sz="0" w:space="0" w:color="auto" w:frame="1"/>
        </w:rPr>
      </w:pPr>
    </w:p>
    <w:p w14:paraId="5E070845" w14:textId="77777777" w:rsidR="00AA6023" w:rsidRPr="00477EDF" w:rsidRDefault="00AA6023" w:rsidP="00AA6023">
      <w:pPr>
        <w:widowControl/>
        <w:autoSpaceDE/>
        <w:autoSpaceDN/>
        <w:jc w:val="both"/>
        <w:rPr>
          <w:bdr w:val="none" w:sz="0" w:space="0" w:color="auto" w:frame="1"/>
        </w:rPr>
      </w:pPr>
      <w:r w:rsidRPr="00477EDF">
        <w:rPr>
          <w:bdr w:val="none" w:sz="0" w:space="0" w:color="auto" w:frame="1"/>
        </w:rPr>
        <w:t xml:space="preserve">This sample text does NOT constitute a complete resolution plan, but rather focuses on one element of a resolution plan—a description of the receivership process in the U.S. </w:t>
      </w:r>
    </w:p>
    <w:p w14:paraId="4ED524F8" w14:textId="77777777" w:rsidR="00AA6023" w:rsidRPr="00477EDF" w:rsidRDefault="00AA6023" w:rsidP="00AA6023">
      <w:pPr>
        <w:widowControl/>
        <w:autoSpaceDE/>
        <w:autoSpaceDN/>
        <w:jc w:val="both"/>
        <w:rPr>
          <w:bdr w:val="none" w:sz="0" w:space="0" w:color="auto" w:frame="1"/>
        </w:rPr>
      </w:pPr>
    </w:p>
    <w:p w14:paraId="61F81921" w14:textId="77777777" w:rsidR="00AA6023" w:rsidRPr="00477EDF" w:rsidRDefault="00AA6023" w:rsidP="00AA6023">
      <w:pPr>
        <w:widowControl/>
        <w:autoSpaceDE/>
        <w:autoSpaceDN/>
        <w:jc w:val="both"/>
        <w:rPr>
          <w:bdr w:val="none" w:sz="0" w:space="0" w:color="auto" w:frame="1"/>
        </w:rPr>
      </w:pPr>
      <w:r w:rsidRPr="00477EDF">
        <w:rPr>
          <w:bdr w:val="none" w:sz="0" w:space="0" w:color="auto" w:frame="1"/>
        </w:rPr>
        <w:t>The sample text must be modified for the individual state’s laws, regulations, and receivership practices, and supplemented with specific insurer scenarios and information depending on the nature and complexity of the insurer for which the resolution plan or Supervisory College/CMG discussion applies.</w:t>
      </w:r>
    </w:p>
    <w:p w14:paraId="05E8FB6E" w14:textId="77777777" w:rsidR="00AA6023" w:rsidRPr="00477EDF" w:rsidRDefault="00AA6023" w:rsidP="00AA6023">
      <w:pPr>
        <w:widowControl/>
        <w:autoSpaceDE/>
        <w:autoSpaceDN/>
        <w:jc w:val="both"/>
        <w:rPr>
          <w:bdr w:val="none" w:sz="0" w:space="0" w:color="auto" w:frame="1"/>
        </w:rPr>
      </w:pPr>
    </w:p>
    <w:p w14:paraId="560268C7" w14:textId="77777777" w:rsidR="00AA6023" w:rsidRPr="00477EDF" w:rsidRDefault="00AA6023" w:rsidP="00AA6023">
      <w:pPr>
        <w:widowControl/>
        <w:pBdr>
          <w:bottom w:val="single" w:sz="4" w:space="1" w:color="auto"/>
        </w:pBdr>
        <w:autoSpaceDE/>
        <w:autoSpaceDN/>
        <w:jc w:val="both"/>
        <w:rPr>
          <w:rFonts w:eastAsia="Calibri"/>
          <w:b/>
          <w:smallCaps/>
        </w:rPr>
      </w:pPr>
      <w:r w:rsidRPr="00477EDF">
        <w:rPr>
          <w:rFonts w:eastAsia="Calibri"/>
          <w:b/>
          <w:smallCaps/>
        </w:rPr>
        <w:t>Triggers for Resolution</w:t>
      </w:r>
    </w:p>
    <w:p w14:paraId="357A6E83" w14:textId="77777777" w:rsidR="00AA6023" w:rsidRPr="00477EDF" w:rsidRDefault="00AA6023" w:rsidP="00AA6023">
      <w:pPr>
        <w:widowControl/>
        <w:autoSpaceDE/>
        <w:autoSpaceDN/>
        <w:jc w:val="both"/>
        <w:rPr>
          <w:rFonts w:eastAsia="Calibri"/>
        </w:rPr>
      </w:pPr>
    </w:p>
    <w:p w14:paraId="34EE77B9" w14:textId="77777777" w:rsidR="00AA6023" w:rsidRPr="00477EDF" w:rsidRDefault="00AA6023" w:rsidP="00AA6023">
      <w:pPr>
        <w:widowControl/>
        <w:autoSpaceDE/>
        <w:autoSpaceDN/>
        <w:jc w:val="both"/>
        <w:rPr>
          <w:rFonts w:eastAsia="Calibri"/>
          <w:i/>
          <w:iCs/>
        </w:rPr>
      </w:pPr>
      <w:r w:rsidRPr="00477EDF">
        <w:rPr>
          <w:rFonts w:eastAsia="Calibri"/>
        </w:rPr>
        <w:t>[Insert this state’s Commissioner/Director/Superintendent title] has broad discretion to take regulatory action if any of the hazardous conditions listed in [Insurance Code] are triggered.</w:t>
      </w:r>
      <w:r w:rsidRPr="00477EDF">
        <w:rPr>
          <w:rFonts w:eastAsia="Calibri"/>
          <w:shd w:val="clear" w:color="auto" w:fill="EAF1DD"/>
        </w:rPr>
        <w:t xml:space="preserve"> </w:t>
      </w:r>
      <w:r w:rsidRPr="00477EDF">
        <w:rPr>
          <w:rFonts w:eastAsia="Calibri"/>
          <w:i/>
          <w:iCs/>
        </w:rPr>
        <w:t>[Insert details from the insurance code for hazardous financial condition law.]</w:t>
      </w:r>
    </w:p>
    <w:p w14:paraId="3B73CFC5" w14:textId="77777777" w:rsidR="00AA6023" w:rsidRPr="00477EDF" w:rsidRDefault="00AA6023" w:rsidP="00AA6023">
      <w:pPr>
        <w:widowControl/>
        <w:autoSpaceDE/>
        <w:autoSpaceDN/>
        <w:ind w:left="720"/>
        <w:jc w:val="both"/>
        <w:rPr>
          <w:rFonts w:eastAsia="Calibri"/>
        </w:rPr>
      </w:pPr>
    </w:p>
    <w:p w14:paraId="64F6910E" w14:textId="77777777" w:rsidR="00AA6023" w:rsidRPr="00477EDF" w:rsidRDefault="00AA6023" w:rsidP="00AA6023">
      <w:pPr>
        <w:widowControl/>
        <w:autoSpaceDE/>
        <w:autoSpaceDN/>
        <w:jc w:val="both"/>
        <w:rPr>
          <w:rFonts w:eastAsia="Calibri"/>
        </w:rPr>
      </w:pPr>
      <w:r w:rsidRPr="00477EDF">
        <w:rPr>
          <w:rFonts w:eastAsia="Calibri"/>
        </w:rPr>
        <w:t>The Commissioner would also be required to take regulatory action if the risk-based capital (RBC) level falls to or below the Mandatory Control Level as defined by the NAIC RBC model or [</w:t>
      </w:r>
      <w:r w:rsidRPr="00477EDF">
        <w:rPr>
          <w:rFonts w:eastAsia="Calibri"/>
          <w:i/>
          <w:iCs/>
        </w:rPr>
        <w:t>Insert the Insurance Code for RBC]</w:t>
      </w:r>
      <w:r w:rsidRPr="00477EDF">
        <w:rPr>
          <w:rFonts w:eastAsia="Calibri"/>
        </w:rPr>
        <w:t>. Below are the Authorized Control Level (ACL) RBC trigger points.</w:t>
      </w:r>
    </w:p>
    <w:p w14:paraId="6227B3C7" w14:textId="77777777" w:rsidR="00AA6023" w:rsidRPr="00477EDF" w:rsidRDefault="00AA6023" w:rsidP="00AA6023">
      <w:pPr>
        <w:widowControl/>
        <w:autoSpaceDE/>
        <w:autoSpaceDN/>
        <w:ind w:left="720"/>
        <w:jc w:val="both"/>
        <w:rPr>
          <w:rFonts w:eastAsia="Calibri"/>
        </w:rPr>
      </w:pPr>
    </w:p>
    <w:tbl>
      <w:tblPr>
        <w:tblStyle w:val="TableGrid2"/>
        <w:tblW w:w="0" w:type="auto"/>
        <w:tblInd w:w="720" w:type="dxa"/>
        <w:tblLook w:val="04A0" w:firstRow="1" w:lastRow="0" w:firstColumn="1" w:lastColumn="0" w:noHBand="0" w:noVBand="1"/>
      </w:tblPr>
      <w:tblGrid>
        <w:gridCol w:w="2232"/>
        <w:gridCol w:w="6398"/>
      </w:tblGrid>
      <w:tr w:rsidR="00AA6023" w:rsidRPr="00477EDF" w14:paraId="0C3A88F7" w14:textId="77777777" w:rsidTr="008005B4">
        <w:tc>
          <w:tcPr>
            <w:tcW w:w="2268" w:type="dxa"/>
          </w:tcPr>
          <w:p w14:paraId="2828D680" w14:textId="77777777" w:rsidR="00AA6023" w:rsidRPr="00477EDF" w:rsidRDefault="00AA6023" w:rsidP="008005B4">
            <w:pPr>
              <w:jc w:val="both"/>
              <w:rPr>
                <w:rFonts w:eastAsia="Calibri"/>
                <w:b/>
                <w:sz w:val="22"/>
                <w:szCs w:val="22"/>
              </w:rPr>
            </w:pPr>
            <w:r w:rsidRPr="00477EDF">
              <w:rPr>
                <w:rFonts w:eastAsia="Calibri"/>
                <w:b/>
                <w:sz w:val="22"/>
                <w:szCs w:val="22"/>
              </w:rPr>
              <w:t>ACL RBC Percentage</w:t>
            </w:r>
          </w:p>
        </w:tc>
        <w:tc>
          <w:tcPr>
            <w:tcW w:w="6588" w:type="dxa"/>
          </w:tcPr>
          <w:p w14:paraId="41B9B3FB" w14:textId="77777777" w:rsidR="00AA6023" w:rsidRPr="00477EDF" w:rsidRDefault="00AA6023" w:rsidP="008005B4">
            <w:pPr>
              <w:jc w:val="both"/>
              <w:rPr>
                <w:rFonts w:eastAsia="Calibri"/>
                <w:b/>
                <w:sz w:val="22"/>
                <w:szCs w:val="22"/>
              </w:rPr>
            </w:pPr>
            <w:r w:rsidRPr="00477EDF">
              <w:rPr>
                <w:rFonts w:eastAsia="Calibri"/>
                <w:b/>
                <w:sz w:val="22"/>
                <w:szCs w:val="22"/>
              </w:rPr>
              <w:t>RBC Action Levels</w:t>
            </w:r>
          </w:p>
        </w:tc>
      </w:tr>
      <w:tr w:rsidR="00AA6023" w:rsidRPr="00477EDF" w14:paraId="4E3E1F52" w14:textId="77777777" w:rsidTr="008005B4">
        <w:tc>
          <w:tcPr>
            <w:tcW w:w="2268" w:type="dxa"/>
          </w:tcPr>
          <w:p w14:paraId="3CA52AF8" w14:textId="77777777" w:rsidR="00AA6023" w:rsidRPr="00477EDF" w:rsidRDefault="00AA6023" w:rsidP="008005B4">
            <w:pPr>
              <w:jc w:val="both"/>
              <w:rPr>
                <w:rFonts w:eastAsia="Calibri"/>
                <w:sz w:val="22"/>
                <w:szCs w:val="22"/>
              </w:rPr>
            </w:pPr>
            <w:r w:rsidRPr="00477EDF">
              <w:rPr>
                <w:rFonts w:eastAsia="Calibri"/>
                <w:sz w:val="22"/>
                <w:szCs w:val="22"/>
              </w:rPr>
              <w:t>Above 200%</w:t>
            </w:r>
          </w:p>
        </w:tc>
        <w:tc>
          <w:tcPr>
            <w:tcW w:w="6588" w:type="dxa"/>
          </w:tcPr>
          <w:p w14:paraId="276E51A0" w14:textId="77777777" w:rsidR="00AA6023" w:rsidRPr="00477EDF" w:rsidRDefault="00AA6023" w:rsidP="008005B4">
            <w:pPr>
              <w:jc w:val="both"/>
              <w:rPr>
                <w:rFonts w:eastAsia="Calibri"/>
                <w:sz w:val="22"/>
                <w:szCs w:val="22"/>
              </w:rPr>
            </w:pPr>
            <w:r w:rsidRPr="00477EDF">
              <w:rPr>
                <w:rFonts w:eastAsia="Calibri"/>
                <w:sz w:val="22"/>
                <w:szCs w:val="22"/>
              </w:rPr>
              <w:t>No negative trend, no action</w:t>
            </w:r>
          </w:p>
        </w:tc>
      </w:tr>
      <w:tr w:rsidR="00AA6023" w:rsidRPr="00477EDF" w14:paraId="56E1CD62" w14:textId="77777777" w:rsidTr="008005B4">
        <w:tc>
          <w:tcPr>
            <w:tcW w:w="2268" w:type="dxa"/>
          </w:tcPr>
          <w:p w14:paraId="40446F78" w14:textId="77777777" w:rsidR="00AA6023" w:rsidRPr="00477EDF" w:rsidRDefault="00AA6023" w:rsidP="008005B4">
            <w:pPr>
              <w:jc w:val="both"/>
              <w:rPr>
                <w:rFonts w:eastAsia="Calibri"/>
                <w:sz w:val="22"/>
                <w:szCs w:val="22"/>
              </w:rPr>
            </w:pPr>
            <w:r w:rsidRPr="00477EDF">
              <w:rPr>
                <w:rFonts w:eastAsia="Calibri"/>
                <w:sz w:val="22"/>
                <w:szCs w:val="22"/>
              </w:rPr>
              <w:t>150% to 200%</w:t>
            </w:r>
          </w:p>
        </w:tc>
        <w:tc>
          <w:tcPr>
            <w:tcW w:w="6588" w:type="dxa"/>
          </w:tcPr>
          <w:p w14:paraId="1C7530E7" w14:textId="77777777" w:rsidR="00AA6023" w:rsidRPr="00477EDF" w:rsidRDefault="00AA6023" w:rsidP="008005B4">
            <w:pPr>
              <w:jc w:val="both"/>
              <w:rPr>
                <w:rFonts w:eastAsia="Calibri"/>
                <w:sz w:val="22"/>
                <w:szCs w:val="22"/>
              </w:rPr>
            </w:pPr>
            <w:r w:rsidRPr="00477EDF">
              <w:rPr>
                <w:rFonts w:eastAsia="Calibri"/>
                <w:sz w:val="22"/>
                <w:szCs w:val="22"/>
              </w:rPr>
              <w:t>Company Action Level – company submits a plan to improve capital</w:t>
            </w:r>
          </w:p>
        </w:tc>
      </w:tr>
      <w:tr w:rsidR="00AA6023" w:rsidRPr="00477EDF" w14:paraId="199E0B05" w14:textId="77777777" w:rsidTr="008005B4">
        <w:tc>
          <w:tcPr>
            <w:tcW w:w="2268" w:type="dxa"/>
          </w:tcPr>
          <w:p w14:paraId="2F90FCAC" w14:textId="77777777" w:rsidR="00AA6023" w:rsidRPr="00477EDF" w:rsidRDefault="00AA6023" w:rsidP="008005B4">
            <w:pPr>
              <w:jc w:val="both"/>
              <w:rPr>
                <w:rFonts w:eastAsia="Calibri"/>
                <w:sz w:val="22"/>
                <w:szCs w:val="22"/>
              </w:rPr>
            </w:pPr>
            <w:r w:rsidRPr="00477EDF">
              <w:rPr>
                <w:rFonts w:eastAsia="Calibri"/>
                <w:sz w:val="22"/>
                <w:szCs w:val="22"/>
              </w:rPr>
              <w:t>100% to 150%</w:t>
            </w:r>
          </w:p>
        </w:tc>
        <w:tc>
          <w:tcPr>
            <w:tcW w:w="6588" w:type="dxa"/>
          </w:tcPr>
          <w:p w14:paraId="683A24AE" w14:textId="77777777" w:rsidR="00AA6023" w:rsidRPr="00477EDF" w:rsidRDefault="00AA6023" w:rsidP="008005B4">
            <w:pPr>
              <w:jc w:val="both"/>
              <w:rPr>
                <w:rFonts w:eastAsia="Calibri"/>
                <w:sz w:val="22"/>
                <w:szCs w:val="22"/>
              </w:rPr>
            </w:pPr>
            <w:r w:rsidRPr="00477EDF">
              <w:rPr>
                <w:rFonts w:eastAsia="Calibri"/>
                <w:sz w:val="22"/>
                <w:szCs w:val="22"/>
              </w:rPr>
              <w:t>Regulatory Action Level – the regulator specifies correction actions</w:t>
            </w:r>
          </w:p>
        </w:tc>
      </w:tr>
      <w:tr w:rsidR="00AA6023" w:rsidRPr="00477EDF" w14:paraId="777213D2" w14:textId="77777777" w:rsidTr="008005B4">
        <w:tc>
          <w:tcPr>
            <w:tcW w:w="2268" w:type="dxa"/>
          </w:tcPr>
          <w:p w14:paraId="5F197031" w14:textId="77777777" w:rsidR="00AA6023" w:rsidRPr="00477EDF" w:rsidRDefault="00AA6023" w:rsidP="008005B4">
            <w:pPr>
              <w:jc w:val="both"/>
              <w:rPr>
                <w:rFonts w:eastAsia="Calibri"/>
                <w:sz w:val="22"/>
                <w:szCs w:val="22"/>
              </w:rPr>
            </w:pPr>
            <w:r w:rsidRPr="00477EDF">
              <w:rPr>
                <w:rFonts w:eastAsia="Calibri"/>
                <w:sz w:val="22"/>
                <w:szCs w:val="22"/>
              </w:rPr>
              <w:t>70% to 100%</w:t>
            </w:r>
          </w:p>
        </w:tc>
        <w:tc>
          <w:tcPr>
            <w:tcW w:w="6588" w:type="dxa"/>
          </w:tcPr>
          <w:p w14:paraId="6DF1FC89" w14:textId="77777777" w:rsidR="00AA6023" w:rsidRPr="00477EDF" w:rsidRDefault="00AA6023" w:rsidP="008005B4">
            <w:pPr>
              <w:jc w:val="both"/>
              <w:rPr>
                <w:rFonts w:eastAsia="Calibri"/>
                <w:sz w:val="22"/>
                <w:szCs w:val="22"/>
              </w:rPr>
            </w:pPr>
            <w:r w:rsidRPr="00477EDF">
              <w:rPr>
                <w:rFonts w:eastAsia="Calibri"/>
                <w:sz w:val="22"/>
                <w:szCs w:val="22"/>
              </w:rPr>
              <w:t>Authorized Control Level – the regulator may take control of company</w:t>
            </w:r>
          </w:p>
        </w:tc>
      </w:tr>
      <w:tr w:rsidR="00AA6023" w:rsidRPr="00477EDF" w14:paraId="54EDD0E5" w14:textId="77777777" w:rsidTr="008005B4">
        <w:tc>
          <w:tcPr>
            <w:tcW w:w="2268" w:type="dxa"/>
          </w:tcPr>
          <w:p w14:paraId="6E6F4976" w14:textId="77777777" w:rsidR="00AA6023" w:rsidRPr="00477EDF" w:rsidRDefault="00AA6023" w:rsidP="008005B4">
            <w:pPr>
              <w:jc w:val="both"/>
              <w:rPr>
                <w:rFonts w:eastAsia="Calibri"/>
                <w:sz w:val="22"/>
                <w:szCs w:val="22"/>
              </w:rPr>
            </w:pPr>
            <w:r w:rsidRPr="00477EDF">
              <w:rPr>
                <w:rFonts w:eastAsia="Calibri"/>
                <w:sz w:val="22"/>
                <w:szCs w:val="22"/>
              </w:rPr>
              <w:t>Below 70%</w:t>
            </w:r>
          </w:p>
        </w:tc>
        <w:tc>
          <w:tcPr>
            <w:tcW w:w="6588" w:type="dxa"/>
          </w:tcPr>
          <w:p w14:paraId="3E621C8B" w14:textId="77777777" w:rsidR="00AA6023" w:rsidRPr="00477EDF" w:rsidRDefault="00AA6023" w:rsidP="008005B4">
            <w:pPr>
              <w:jc w:val="both"/>
              <w:rPr>
                <w:rFonts w:eastAsia="Calibri"/>
                <w:sz w:val="22"/>
                <w:szCs w:val="22"/>
              </w:rPr>
            </w:pPr>
            <w:r w:rsidRPr="00477EDF">
              <w:rPr>
                <w:rFonts w:eastAsia="Calibri"/>
                <w:sz w:val="22"/>
                <w:szCs w:val="22"/>
              </w:rPr>
              <w:t>Mandatory Control Level – the regulator is required to take control</w:t>
            </w:r>
          </w:p>
        </w:tc>
      </w:tr>
    </w:tbl>
    <w:p w14:paraId="4273B736" w14:textId="77777777" w:rsidR="00AA6023" w:rsidRPr="00477EDF" w:rsidRDefault="00AA6023" w:rsidP="00AA6023">
      <w:pPr>
        <w:widowControl/>
        <w:autoSpaceDE/>
        <w:autoSpaceDN/>
        <w:ind w:left="720"/>
        <w:jc w:val="both"/>
        <w:rPr>
          <w:rFonts w:eastAsia="Calibri"/>
        </w:rPr>
      </w:pPr>
    </w:p>
    <w:p w14:paraId="6C485A2C" w14:textId="77777777" w:rsidR="00AA6023" w:rsidRPr="00477EDF" w:rsidRDefault="00AA6023" w:rsidP="00AA6023">
      <w:pPr>
        <w:widowControl/>
        <w:autoSpaceDE/>
        <w:autoSpaceDN/>
        <w:jc w:val="both"/>
        <w:rPr>
          <w:rFonts w:eastAsia="Calibri"/>
          <w:i/>
          <w:iCs/>
        </w:rPr>
      </w:pPr>
      <w:r w:rsidRPr="00477EDF">
        <w:rPr>
          <w:rFonts w:eastAsia="Calibri"/>
          <w:i/>
          <w:iCs/>
        </w:rPr>
        <w:t>[Insert any differences between the ACL RBC triggers and the triggers outlined in the Recovery Plan (if appliable) or elsewhere in the Resolution plan].</w:t>
      </w:r>
    </w:p>
    <w:p w14:paraId="2EB835BC" w14:textId="77777777" w:rsidR="00AA6023" w:rsidRPr="00477EDF" w:rsidRDefault="00AA6023" w:rsidP="00AA6023">
      <w:pPr>
        <w:widowControl/>
        <w:autoSpaceDE/>
        <w:autoSpaceDN/>
        <w:ind w:left="720"/>
        <w:jc w:val="both"/>
        <w:rPr>
          <w:rFonts w:eastAsia="Calibri"/>
        </w:rPr>
      </w:pPr>
    </w:p>
    <w:p w14:paraId="6BF22890" w14:textId="77777777" w:rsidR="00AA6023" w:rsidRPr="00477EDF" w:rsidRDefault="00AA6023" w:rsidP="00AA6023">
      <w:pPr>
        <w:widowControl/>
        <w:autoSpaceDE/>
        <w:autoSpaceDN/>
        <w:jc w:val="both"/>
        <w:rPr>
          <w:rFonts w:eastAsia="Calibri"/>
          <w:i/>
          <w:iCs/>
        </w:rPr>
      </w:pPr>
      <w:r w:rsidRPr="00477EDF">
        <w:rPr>
          <w:rFonts w:eastAsia="Calibri"/>
          <w:i/>
          <w:iCs/>
        </w:rPr>
        <w:t>[Insert additional summary information describing RBC. For example, include a description of the applicable trend test calculation for life, health, or P&amp;C.]</w:t>
      </w:r>
    </w:p>
    <w:p w14:paraId="440B1027" w14:textId="77777777" w:rsidR="00AA6023" w:rsidRPr="00477EDF" w:rsidRDefault="00AA6023" w:rsidP="00AA6023">
      <w:pPr>
        <w:widowControl/>
        <w:autoSpaceDE/>
        <w:autoSpaceDN/>
        <w:jc w:val="both"/>
        <w:rPr>
          <w:rFonts w:eastAsia="Calibri"/>
        </w:rPr>
      </w:pPr>
    </w:p>
    <w:p w14:paraId="77777B1C" w14:textId="77777777" w:rsidR="00AA6023" w:rsidRPr="00477EDF" w:rsidRDefault="00AA6023" w:rsidP="00AA6023">
      <w:pPr>
        <w:widowControl/>
        <w:autoSpaceDE/>
        <w:autoSpaceDN/>
        <w:jc w:val="both"/>
        <w:rPr>
          <w:bdr w:val="none" w:sz="0" w:space="0" w:color="auto" w:frame="1"/>
        </w:rPr>
      </w:pPr>
      <w:r w:rsidRPr="00477EDF">
        <w:rPr>
          <w:rFonts w:eastAsia="Calibri"/>
        </w:rPr>
        <w:t>In addition to triggers for hazardous conditions and RBC action levels, the receivership statute within</w:t>
      </w:r>
      <w:r w:rsidRPr="00477EDF">
        <w:rPr>
          <w:rFonts w:eastAsia="Calibri"/>
          <w:i/>
          <w:iCs/>
        </w:rPr>
        <w:t xml:space="preserve"> [Insurance Code] </w:t>
      </w:r>
      <w:r w:rsidRPr="00477EDF">
        <w:rPr>
          <w:rFonts w:eastAsia="Calibri"/>
        </w:rPr>
        <w:t xml:space="preserve">provides the following grounds for receivership. </w:t>
      </w:r>
      <w:r w:rsidRPr="00477EDF">
        <w:rPr>
          <w:rFonts w:eastAsia="Calibri"/>
          <w:i/>
          <w:iCs/>
        </w:rPr>
        <w:t xml:space="preserve">[If the state’s receivership law contains additional triggers for receivership, add or combine with the above.] </w:t>
      </w:r>
    </w:p>
    <w:p w14:paraId="3DBAE44C" w14:textId="77777777" w:rsidR="00AA6023" w:rsidRPr="00477EDF" w:rsidRDefault="00AA6023" w:rsidP="00AA6023">
      <w:pPr>
        <w:widowControl/>
        <w:pBdr>
          <w:bottom w:val="single" w:sz="4" w:space="1" w:color="auto"/>
        </w:pBdr>
        <w:autoSpaceDE/>
        <w:autoSpaceDN/>
        <w:jc w:val="both"/>
        <w:rPr>
          <w:rFonts w:eastAsia="Calibri"/>
          <w:b/>
          <w:smallCaps/>
        </w:rPr>
      </w:pPr>
    </w:p>
    <w:p w14:paraId="45D50CA7" w14:textId="77777777" w:rsidR="00AA6023" w:rsidRPr="00477EDF" w:rsidRDefault="00AA6023" w:rsidP="00AA6023">
      <w:pPr>
        <w:widowControl/>
        <w:pBdr>
          <w:bottom w:val="single" w:sz="4" w:space="1" w:color="auto"/>
        </w:pBdr>
        <w:autoSpaceDE/>
        <w:autoSpaceDN/>
        <w:jc w:val="both"/>
        <w:rPr>
          <w:rFonts w:eastAsia="Calibri"/>
          <w:b/>
          <w:smallCaps/>
        </w:rPr>
      </w:pPr>
    </w:p>
    <w:p w14:paraId="195342BB" w14:textId="77777777" w:rsidR="00AA6023" w:rsidRPr="00477EDF" w:rsidRDefault="00AA6023" w:rsidP="00AA6023">
      <w:pPr>
        <w:keepNext/>
        <w:widowControl/>
        <w:pBdr>
          <w:bottom w:val="single" w:sz="4" w:space="1" w:color="auto"/>
        </w:pBdr>
        <w:autoSpaceDE/>
        <w:autoSpaceDN/>
        <w:jc w:val="both"/>
        <w:rPr>
          <w:rFonts w:eastAsia="Calibri"/>
          <w:b/>
          <w:smallCaps/>
        </w:rPr>
      </w:pPr>
      <w:r w:rsidRPr="00477EDF">
        <w:rPr>
          <w:rFonts w:eastAsia="Calibri"/>
          <w:b/>
          <w:smallCaps/>
        </w:rPr>
        <w:t xml:space="preserve">Impact on Policyholder Protection Scheme </w:t>
      </w:r>
    </w:p>
    <w:p w14:paraId="2A33AE2A" w14:textId="77777777" w:rsidR="00AA6023" w:rsidRPr="00477EDF" w:rsidRDefault="00AA6023" w:rsidP="00AA6023">
      <w:pPr>
        <w:keepNext/>
        <w:widowControl/>
        <w:autoSpaceDE/>
        <w:autoSpaceDN/>
        <w:ind w:left="720"/>
        <w:jc w:val="both"/>
        <w:rPr>
          <w:rFonts w:eastAsia="Calibri"/>
        </w:rPr>
      </w:pPr>
    </w:p>
    <w:p w14:paraId="1BAD5DDF" w14:textId="77777777" w:rsidR="00AA6023" w:rsidRPr="00477EDF" w:rsidRDefault="00AA6023" w:rsidP="00AA6023">
      <w:pPr>
        <w:widowControl/>
        <w:autoSpaceDE/>
        <w:autoSpaceDN/>
        <w:jc w:val="both"/>
        <w:rPr>
          <w:rFonts w:eastAsia="Calibri"/>
        </w:rPr>
      </w:pPr>
      <w:r w:rsidRPr="00477EDF">
        <w:rPr>
          <w:rFonts w:eastAsia="Calibri"/>
        </w:rPr>
        <w:t xml:space="preserve">Policyholder protection mechanisms are in place in all U.S. states and several of its territories. These mechanisms, commonly known as "guaranty associations" or "guaranty funds", pay certain policy claims and/or continue certain policy coverages, generally upon the issuance of a liquidation order with a finding of insolvency by a court in the appropriate U.S. jurisdiction. The operation and obligations of guaranty associations are governed by statute. Funding to support the guaranty associations' statutory obligations comes from the remaining assets of the insolvent insurer, assessments on certain licensed insurance </w:t>
      </w:r>
      <w:r w:rsidRPr="00477EDF">
        <w:rPr>
          <w:rFonts w:eastAsia="Calibri"/>
        </w:rPr>
        <w:lastRenderedPageBreak/>
        <w:t xml:space="preserve">companies that are "members" of the guaranty associations, future premiums (if applicable), and statutory deposits collected by the states (if available). </w:t>
      </w:r>
    </w:p>
    <w:p w14:paraId="64F6FAF8" w14:textId="77777777" w:rsidR="00AA6023" w:rsidRPr="00477EDF" w:rsidRDefault="00AA6023" w:rsidP="00AA6023">
      <w:pPr>
        <w:widowControl/>
        <w:autoSpaceDE/>
        <w:autoSpaceDN/>
        <w:jc w:val="both"/>
        <w:rPr>
          <w:rFonts w:eastAsia="Calibri"/>
        </w:rPr>
      </w:pPr>
    </w:p>
    <w:p w14:paraId="7206D674" w14:textId="77777777" w:rsidR="00AA6023" w:rsidRPr="00477EDF" w:rsidRDefault="00AA6023" w:rsidP="00AA6023">
      <w:pPr>
        <w:widowControl/>
        <w:autoSpaceDE/>
        <w:autoSpaceDN/>
        <w:jc w:val="both"/>
        <w:rPr>
          <w:rFonts w:eastAsia="Calibri"/>
        </w:rPr>
      </w:pPr>
      <w:r w:rsidRPr="00477EDF">
        <w:rPr>
          <w:rFonts w:eastAsia="Calibri"/>
        </w:rPr>
        <w:t xml:space="preserve">While the laws governing state insurance guaranty associations vary somewhat, most states have laws patterned after the </w:t>
      </w:r>
      <w:r w:rsidRPr="00477EDF">
        <w:rPr>
          <w:rFonts w:eastAsia="Calibri"/>
          <w:i/>
          <w:iCs/>
        </w:rPr>
        <w:t xml:space="preserve">Life and Health Insurance Guaranty Association Model Act (#520) </w:t>
      </w:r>
      <w:r w:rsidRPr="00477EDF">
        <w:rPr>
          <w:rFonts w:eastAsia="Calibri"/>
        </w:rPr>
        <w:t>and the</w:t>
      </w:r>
      <w:r w:rsidRPr="00477EDF">
        <w:rPr>
          <w:rFonts w:eastAsia="Calibri"/>
          <w:i/>
          <w:iCs/>
        </w:rPr>
        <w:t xml:space="preserve"> Property and Casualty Insurance Guaranty Association Model Act (#540)</w:t>
      </w:r>
      <w:r w:rsidRPr="00477EDF">
        <w:rPr>
          <w:rFonts w:eastAsia="Calibri"/>
        </w:rPr>
        <w:t xml:space="preserve"> adopted by the National Association of Insurance Commissioners (NAIC). Under the Model Act, a state’s guaranty association generally must cover resident claims against an insolvent member insurer (placed into liquidation with a finding of insolvency). This means that usually, the guaranty association of the policyholder/claimant’s state of residence is responsible for paying policyholder protection claims, subject to that state’s laws, regardless of where the insurer is domiciled. For life and health insurers, the guaranty associations also continue in-force policies and annuities of an insolvent insurer. Life and health guaranty associations have discretionary authority to provide coverage or continue policies/annuities for policies of an impaired insurer (placed into rehabilitation and not an insolvent insurer)</w:t>
      </w:r>
      <w:r w:rsidRPr="00477EDF">
        <w:rPr>
          <w:rFonts w:eastAsia="Calibri"/>
          <w:i/>
          <w:iCs/>
        </w:rPr>
        <w:t>.</w:t>
      </w:r>
      <w:r w:rsidRPr="00477EDF">
        <w:rPr>
          <w:rFonts w:eastAsia="Calibri"/>
        </w:rPr>
        <w:t xml:space="preserve"> Due to concerns and challenges associated with this authority, it has not been used in multi-state insolvencies and has only rarely been used in single state cases. If a policyholder/claimant is not fully covered by the applicable guaranty association, the policyholder/claimant’s rights against the estate of the insurer would be governed by the receivership laws of the insurer’s domiciliary jurisdiction, as discussed more fully below.</w:t>
      </w:r>
    </w:p>
    <w:p w14:paraId="0B5E2298" w14:textId="77777777" w:rsidR="00AA6023" w:rsidRPr="00477EDF" w:rsidRDefault="00AA6023" w:rsidP="00AA6023">
      <w:pPr>
        <w:widowControl/>
        <w:autoSpaceDE/>
        <w:autoSpaceDN/>
        <w:jc w:val="both"/>
        <w:rPr>
          <w:rFonts w:eastAsia="Calibri"/>
        </w:rPr>
      </w:pPr>
    </w:p>
    <w:p w14:paraId="3561DDD6" w14:textId="77777777" w:rsidR="00AA6023" w:rsidRPr="00477EDF" w:rsidRDefault="00AA6023" w:rsidP="00AA6023">
      <w:pPr>
        <w:widowControl/>
        <w:autoSpaceDE/>
        <w:autoSpaceDN/>
        <w:jc w:val="both"/>
        <w:rPr>
          <w:rFonts w:eastAsia="Calibri"/>
        </w:rPr>
      </w:pPr>
      <w:r w:rsidRPr="00477EDF">
        <w:rPr>
          <w:rFonts w:eastAsia="Calibri"/>
        </w:rPr>
        <w:t>Additional information about the guaranty system is available on the websites of the National Organization of Life and Health Insurance Guaranty Associations (NOLHGA) and the National Conference of Insurance Guaranty Funds (NCIGF).</w:t>
      </w:r>
    </w:p>
    <w:p w14:paraId="06883290" w14:textId="77777777" w:rsidR="00AA6023" w:rsidRPr="00477EDF" w:rsidRDefault="00AA6023" w:rsidP="00AA6023">
      <w:pPr>
        <w:widowControl/>
        <w:autoSpaceDE/>
        <w:autoSpaceDN/>
        <w:jc w:val="both"/>
        <w:rPr>
          <w:rFonts w:eastAsia="Calibri"/>
        </w:rPr>
      </w:pPr>
    </w:p>
    <w:p w14:paraId="32086D4B" w14:textId="77777777" w:rsidR="00AA6023" w:rsidRPr="00477EDF" w:rsidRDefault="00AA6023" w:rsidP="00AA6023">
      <w:pPr>
        <w:widowControl/>
        <w:autoSpaceDE/>
        <w:autoSpaceDN/>
        <w:jc w:val="both"/>
        <w:rPr>
          <w:rFonts w:eastAsia="Calibri"/>
        </w:rPr>
      </w:pPr>
      <w:r w:rsidRPr="00477EDF">
        <w:rPr>
          <w:rFonts w:eastAsia="Calibri"/>
        </w:rPr>
        <w:t xml:space="preserve">Benefit limits are generally consistent but can vary somewhat by state. </w:t>
      </w:r>
    </w:p>
    <w:p w14:paraId="0855ABD1" w14:textId="77777777" w:rsidR="00AA6023" w:rsidRPr="00477EDF" w:rsidRDefault="00AA6023" w:rsidP="00AA6023">
      <w:pPr>
        <w:widowControl/>
        <w:autoSpaceDE/>
        <w:autoSpaceDN/>
        <w:jc w:val="both"/>
        <w:rPr>
          <w:rFonts w:eastAsia="Calibri"/>
        </w:rPr>
      </w:pPr>
    </w:p>
    <w:p w14:paraId="59AD3509" w14:textId="77777777" w:rsidR="00AA6023" w:rsidRPr="00477EDF" w:rsidRDefault="00AA6023" w:rsidP="00AA6023">
      <w:pPr>
        <w:widowControl/>
        <w:autoSpaceDE/>
        <w:autoSpaceDN/>
        <w:jc w:val="both"/>
        <w:rPr>
          <w:rFonts w:eastAsia="Calibri"/>
        </w:rPr>
      </w:pPr>
      <w:r w:rsidRPr="00477EDF">
        <w:rPr>
          <w:rFonts w:eastAsia="Calibri"/>
        </w:rPr>
        <w:t xml:space="preserve">The </w:t>
      </w:r>
      <w:r w:rsidRPr="00477EDF">
        <w:rPr>
          <w:rFonts w:eastAsia="Calibri"/>
          <w:i/>
          <w:iCs/>
        </w:rPr>
        <w:t>Life and Health Insurance Guaranty Association Model Act</w:t>
      </w:r>
      <w:r w:rsidRPr="00477EDF">
        <w:rPr>
          <w:rFonts w:eastAsia="Calibri"/>
        </w:rPr>
        <w:t xml:space="preserve"> proposes the following benefit limits, with respect to one life, regardless of the number of policies or contracts: </w:t>
      </w:r>
    </w:p>
    <w:p w14:paraId="64D87861" w14:textId="77777777" w:rsidR="00AA6023" w:rsidRPr="00477EDF" w:rsidRDefault="00AA6023" w:rsidP="00AA6023">
      <w:pPr>
        <w:widowControl/>
        <w:numPr>
          <w:ilvl w:val="0"/>
          <w:numId w:val="6"/>
        </w:numPr>
        <w:autoSpaceDE/>
        <w:autoSpaceDN/>
        <w:spacing w:after="240"/>
        <w:contextualSpacing/>
        <w:jc w:val="both"/>
        <w:rPr>
          <w:rFonts w:eastAsia="Calibri"/>
        </w:rPr>
      </w:pPr>
      <w:r w:rsidRPr="00477EDF">
        <w:rPr>
          <w:rFonts w:eastAsia="Calibri"/>
        </w:rPr>
        <w:t xml:space="preserve">$300,000 in life insurance death benefits, but not more than $100,000 in net cash surrender and net cash withdrawal values for life insurance, </w:t>
      </w:r>
    </w:p>
    <w:p w14:paraId="5F8F0078" w14:textId="77777777" w:rsidR="00AA6023" w:rsidRPr="00477EDF" w:rsidRDefault="00AA6023" w:rsidP="00AA6023">
      <w:pPr>
        <w:widowControl/>
        <w:numPr>
          <w:ilvl w:val="0"/>
          <w:numId w:val="6"/>
        </w:numPr>
        <w:autoSpaceDE/>
        <w:autoSpaceDN/>
        <w:spacing w:after="240"/>
        <w:contextualSpacing/>
        <w:jc w:val="both"/>
        <w:rPr>
          <w:rFonts w:eastAsia="Calibri"/>
        </w:rPr>
      </w:pPr>
      <w:r w:rsidRPr="00477EDF">
        <w:rPr>
          <w:rFonts w:eastAsia="Calibri"/>
        </w:rPr>
        <w:t xml:space="preserve">Health insurance benefits: </w:t>
      </w:r>
    </w:p>
    <w:p w14:paraId="0C11F6A1" w14:textId="77777777" w:rsidR="00AA6023" w:rsidRPr="00477EDF" w:rsidRDefault="00AA6023" w:rsidP="00AA6023">
      <w:pPr>
        <w:widowControl/>
        <w:numPr>
          <w:ilvl w:val="1"/>
          <w:numId w:val="7"/>
        </w:numPr>
        <w:autoSpaceDE/>
        <w:autoSpaceDN/>
        <w:spacing w:after="240"/>
        <w:contextualSpacing/>
        <w:jc w:val="both"/>
        <w:rPr>
          <w:rFonts w:eastAsia="Calibri"/>
        </w:rPr>
      </w:pPr>
      <w:r w:rsidRPr="00477EDF">
        <w:rPr>
          <w:rFonts w:eastAsia="Calibri"/>
        </w:rPr>
        <w:t xml:space="preserve">$100,000 for coverages not defined as disability insurance or health benefit plans or long-term care insurance including any net cash surrender and net cash withdrawal values, </w:t>
      </w:r>
    </w:p>
    <w:p w14:paraId="282F3BB5" w14:textId="77777777" w:rsidR="00AA6023" w:rsidRPr="00477EDF" w:rsidRDefault="00AA6023" w:rsidP="00AA6023">
      <w:pPr>
        <w:widowControl/>
        <w:numPr>
          <w:ilvl w:val="1"/>
          <w:numId w:val="7"/>
        </w:numPr>
        <w:autoSpaceDE/>
        <w:autoSpaceDN/>
        <w:spacing w:after="240"/>
        <w:contextualSpacing/>
        <w:jc w:val="both"/>
        <w:rPr>
          <w:rFonts w:eastAsia="Calibri"/>
        </w:rPr>
      </w:pPr>
      <w:r w:rsidRPr="00477EDF">
        <w:rPr>
          <w:rFonts w:eastAsia="Calibri"/>
        </w:rPr>
        <w:t>$300,000 for disability insurance,</w:t>
      </w:r>
    </w:p>
    <w:p w14:paraId="37125197" w14:textId="77777777" w:rsidR="00AA6023" w:rsidRPr="00477EDF" w:rsidRDefault="00AA6023" w:rsidP="00AA6023">
      <w:pPr>
        <w:widowControl/>
        <w:numPr>
          <w:ilvl w:val="1"/>
          <w:numId w:val="7"/>
        </w:numPr>
        <w:autoSpaceDE/>
        <w:autoSpaceDN/>
        <w:spacing w:after="240"/>
        <w:contextualSpacing/>
        <w:jc w:val="both"/>
        <w:rPr>
          <w:rFonts w:eastAsia="Calibri"/>
        </w:rPr>
      </w:pPr>
      <w:r w:rsidRPr="00477EDF">
        <w:rPr>
          <w:rFonts w:eastAsia="Calibri"/>
        </w:rPr>
        <w:t xml:space="preserve">$300,000 for long-term care insurance, </w:t>
      </w:r>
    </w:p>
    <w:p w14:paraId="54D0E898" w14:textId="77777777" w:rsidR="00AA6023" w:rsidRPr="00477EDF" w:rsidRDefault="00AA6023" w:rsidP="00AA6023">
      <w:pPr>
        <w:widowControl/>
        <w:numPr>
          <w:ilvl w:val="1"/>
          <w:numId w:val="7"/>
        </w:numPr>
        <w:autoSpaceDE/>
        <w:autoSpaceDN/>
        <w:spacing w:after="240"/>
        <w:contextualSpacing/>
        <w:jc w:val="both"/>
        <w:rPr>
          <w:rFonts w:eastAsia="Calibri"/>
        </w:rPr>
      </w:pPr>
      <w:r w:rsidRPr="00477EDF">
        <w:rPr>
          <w:rFonts w:eastAsia="Calibri"/>
        </w:rPr>
        <w:t>$500,000 for health benefit plans, and,</w:t>
      </w:r>
    </w:p>
    <w:p w14:paraId="6D77E7C8" w14:textId="77777777" w:rsidR="00AA6023" w:rsidRPr="00477EDF" w:rsidRDefault="00AA6023" w:rsidP="00AA6023">
      <w:pPr>
        <w:widowControl/>
        <w:numPr>
          <w:ilvl w:val="0"/>
          <w:numId w:val="6"/>
        </w:numPr>
        <w:autoSpaceDE/>
        <w:autoSpaceDN/>
        <w:spacing w:after="240"/>
        <w:contextualSpacing/>
        <w:jc w:val="both"/>
        <w:rPr>
          <w:rFonts w:eastAsia="Calibri"/>
        </w:rPr>
      </w:pPr>
      <w:r w:rsidRPr="00477EDF">
        <w:rPr>
          <w:rFonts w:eastAsia="Calibri"/>
        </w:rPr>
        <w:t xml:space="preserve">$250,000 in the present value of annuity benefits, including any net cash surrender and net cash withdrawal values. </w:t>
      </w:r>
    </w:p>
    <w:p w14:paraId="2C03D852" w14:textId="77777777" w:rsidR="00AA6023" w:rsidRPr="00477EDF" w:rsidRDefault="00AA6023" w:rsidP="00AA6023">
      <w:pPr>
        <w:widowControl/>
        <w:autoSpaceDE/>
        <w:autoSpaceDN/>
        <w:jc w:val="both"/>
        <w:rPr>
          <w:rFonts w:eastAsia="Calibri"/>
        </w:rPr>
      </w:pPr>
    </w:p>
    <w:p w14:paraId="2A8E9496" w14:textId="77777777" w:rsidR="00AA6023" w:rsidRPr="00477EDF" w:rsidRDefault="00AA6023" w:rsidP="00AA6023">
      <w:pPr>
        <w:widowControl/>
        <w:autoSpaceDE/>
        <w:autoSpaceDN/>
        <w:jc w:val="both"/>
        <w:rPr>
          <w:rFonts w:eastAsia="Calibri"/>
        </w:rPr>
      </w:pPr>
      <w:r w:rsidRPr="00477EDF">
        <w:rPr>
          <w:rFonts w:eastAsia="Calibri"/>
        </w:rPr>
        <w:t>Aggregate limits and other rules may apply.</w:t>
      </w:r>
    </w:p>
    <w:p w14:paraId="3AE70D51" w14:textId="77777777" w:rsidR="00AA6023" w:rsidRPr="00477EDF" w:rsidRDefault="00AA6023" w:rsidP="00AA6023">
      <w:pPr>
        <w:widowControl/>
        <w:autoSpaceDE/>
        <w:autoSpaceDN/>
        <w:jc w:val="both"/>
        <w:rPr>
          <w:rFonts w:eastAsia="Calibri"/>
          <w:highlight w:val="yellow"/>
        </w:rPr>
      </w:pPr>
    </w:p>
    <w:p w14:paraId="4CF6B990" w14:textId="77777777" w:rsidR="00AA6023" w:rsidRPr="00477EDF" w:rsidRDefault="00AA6023" w:rsidP="00AA6023">
      <w:pPr>
        <w:widowControl/>
        <w:autoSpaceDE/>
        <w:autoSpaceDN/>
        <w:jc w:val="both"/>
        <w:rPr>
          <w:rFonts w:eastAsia="Calibri"/>
        </w:rPr>
      </w:pPr>
      <w:r w:rsidRPr="00477EDF">
        <w:rPr>
          <w:rFonts w:eastAsia="Calibri"/>
        </w:rPr>
        <w:t xml:space="preserve">The </w:t>
      </w:r>
      <w:r w:rsidRPr="00477EDF">
        <w:rPr>
          <w:rFonts w:eastAsia="Calibri"/>
          <w:i/>
          <w:iCs/>
        </w:rPr>
        <w:t>Property and Casualty Insurance Guaranty Association Model Act</w:t>
      </w:r>
      <w:r w:rsidRPr="00477EDF">
        <w:rPr>
          <w:rFonts w:eastAsia="Calibri"/>
        </w:rPr>
        <w:t xml:space="preserve"> proposes the following benefit limits, </w:t>
      </w:r>
    </w:p>
    <w:p w14:paraId="30399AB0" w14:textId="77777777" w:rsidR="00AA6023" w:rsidRPr="00477EDF" w:rsidRDefault="00AA6023" w:rsidP="00AA6023">
      <w:pPr>
        <w:widowControl/>
        <w:numPr>
          <w:ilvl w:val="0"/>
          <w:numId w:val="8"/>
        </w:numPr>
        <w:autoSpaceDE/>
        <w:autoSpaceDN/>
        <w:spacing w:after="240"/>
        <w:contextualSpacing/>
        <w:jc w:val="both"/>
        <w:rPr>
          <w:rFonts w:eastAsia="Calibri"/>
        </w:rPr>
      </w:pPr>
      <w:r w:rsidRPr="00477EDF">
        <w:rPr>
          <w:rFonts w:eastAsia="Calibri"/>
        </w:rPr>
        <w:t>Full amount of workers’ compensation insurance coverage,</w:t>
      </w:r>
    </w:p>
    <w:p w14:paraId="2CF00F75" w14:textId="77777777" w:rsidR="00AA6023" w:rsidRPr="00477EDF" w:rsidRDefault="00AA6023" w:rsidP="00AA6023">
      <w:pPr>
        <w:widowControl/>
        <w:numPr>
          <w:ilvl w:val="0"/>
          <w:numId w:val="8"/>
        </w:numPr>
        <w:autoSpaceDE/>
        <w:autoSpaceDN/>
        <w:spacing w:after="240"/>
        <w:contextualSpacing/>
        <w:jc w:val="both"/>
        <w:rPr>
          <w:rFonts w:eastAsia="Calibri"/>
        </w:rPr>
      </w:pPr>
      <w:r w:rsidRPr="00477EDF">
        <w:rPr>
          <w:rFonts w:eastAsia="Calibri"/>
        </w:rPr>
        <w:t>$10,000 per policy, for return of unearned premium for a covered claim, and,</w:t>
      </w:r>
    </w:p>
    <w:p w14:paraId="108DB3DA" w14:textId="77777777" w:rsidR="00AA6023" w:rsidRPr="00477EDF" w:rsidRDefault="00AA6023" w:rsidP="00AA6023">
      <w:pPr>
        <w:widowControl/>
        <w:numPr>
          <w:ilvl w:val="0"/>
          <w:numId w:val="8"/>
        </w:numPr>
        <w:autoSpaceDE/>
        <w:autoSpaceDN/>
        <w:spacing w:after="240"/>
        <w:contextualSpacing/>
        <w:jc w:val="both"/>
        <w:rPr>
          <w:rFonts w:eastAsia="Calibri"/>
        </w:rPr>
      </w:pPr>
      <w:r w:rsidRPr="00477EDF">
        <w:rPr>
          <w:rFonts w:eastAsia="Calibri"/>
        </w:rPr>
        <w:t>$500,000 per claimant for all other covered claims.</w:t>
      </w:r>
    </w:p>
    <w:p w14:paraId="27397C73" w14:textId="77777777" w:rsidR="00AA6023" w:rsidRPr="00477EDF" w:rsidRDefault="00AA6023" w:rsidP="00AA6023">
      <w:pPr>
        <w:widowControl/>
        <w:autoSpaceDE/>
        <w:autoSpaceDN/>
        <w:jc w:val="both"/>
        <w:rPr>
          <w:rFonts w:eastAsia="Calibri"/>
        </w:rPr>
      </w:pPr>
    </w:p>
    <w:p w14:paraId="636821D7" w14:textId="77777777" w:rsidR="00AA6023" w:rsidRPr="00477EDF" w:rsidRDefault="00AA6023" w:rsidP="00AA6023">
      <w:pPr>
        <w:widowControl/>
        <w:autoSpaceDE/>
        <w:autoSpaceDN/>
        <w:jc w:val="both"/>
        <w:rPr>
          <w:rFonts w:eastAsia="Calibri"/>
        </w:rPr>
      </w:pPr>
      <w:r w:rsidRPr="00477EDF">
        <w:rPr>
          <w:rFonts w:eastAsia="Calibri"/>
        </w:rPr>
        <w:t>High net worth limitations and other rules apply in many jurisdictions for property and casualty claims. These limitations generally exclude or call for recovery of claims by or against policyholders that have a net worth exceeding the threshold. The thresholds vary by jurisdiction but typically range from $10 million to $50 million.</w:t>
      </w:r>
    </w:p>
    <w:p w14:paraId="2CE71BAF" w14:textId="77777777" w:rsidR="00AA6023" w:rsidRPr="00477EDF" w:rsidRDefault="00AA6023" w:rsidP="00AA6023">
      <w:pPr>
        <w:widowControl/>
        <w:tabs>
          <w:tab w:val="left" w:pos="540"/>
        </w:tabs>
        <w:autoSpaceDE/>
        <w:autoSpaceDN/>
        <w:jc w:val="both"/>
        <w:rPr>
          <w:rFonts w:eastAsia="Calibri"/>
        </w:rPr>
      </w:pPr>
    </w:p>
    <w:p w14:paraId="391DD59A" w14:textId="77777777" w:rsidR="00AA6023" w:rsidRPr="00477EDF" w:rsidRDefault="00AA6023" w:rsidP="00AA6023">
      <w:pPr>
        <w:widowControl/>
        <w:tabs>
          <w:tab w:val="left" w:pos="540"/>
        </w:tabs>
        <w:autoSpaceDE/>
        <w:autoSpaceDN/>
        <w:jc w:val="both"/>
        <w:rPr>
          <w:rFonts w:eastAsia="Calibri"/>
          <w:i/>
          <w:iCs/>
        </w:rPr>
      </w:pPr>
      <w:r w:rsidRPr="00477EDF">
        <w:rPr>
          <w:rFonts w:eastAsia="Calibri"/>
          <w:i/>
          <w:iCs/>
        </w:rPr>
        <w:lastRenderedPageBreak/>
        <w:t xml:space="preserve">The coverage limits for each guaranty association and information about certain limitations on coverage can be found on NOLHGA's website and NCIGF's website. </w:t>
      </w:r>
    </w:p>
    <w:p w14:paraId="4898444B" w14:textId="77777777" w:rsidR="00AA6023" w:rsidRPr="00477EDF" w:rsidRDefault="00AA6023" w:rsidP="00AA6023">
      <w:pPr>
        <w:widowControl/>
        <w:tabs>
          <w:tab w:val="left" w:pos="540"/>
        </w:tabs>
        <w:autoSpaceDE/>
        <w:autoSpaceDN/>
        <w:jc w:val="both"/>
        <w:rPr>
          <w:rFonts w:eastAsia="Calibri"/>
          <w:i/>
          <w:iCs/>
        </w:rPr>
      </w:pPr>
    </w:p>
    <w:p w14:paraId="1480D8CD" w14:textId="77777777" w:rsidR="00AA6023" w:rsidRPr="00477EDF" w:rsidRDefault="00AA6023" w:rsidP="00AA6023">
      <w:pPr>
        <w:widowControl/>
        <w:tabs>
          <w:tab w:val="left" w:pos="540"/>
        </w:tabs>
        <w:autoSpaceDE/>
        <w:autoSpaceDN/>
        <w:jc w:val="both"/>
        <w:rPr>
          <w:rFonts w:eastAsia="Calibri"/>
        </w:rPr>
      </w:pPr>
      <w:r w:rsidRPr="00477EDF">
        <w:rPr>
          <w:rFonts w:eastAsia="Calibri"/>
          <w:i/>
          <w:iCs/>
        </w:rPr>
        <w:t>[The above reference the NAIC Model Act. For a resolution plan, modify the above to the affected state’s guaranty Association acts or describe any material differences between the affected state guaranty association act(s) and the two NAIC Model Acts.]</w:t>
      </w:r>
    </w:p>
    <w:p w14:paraId="2E09E500" w14:textId="77777777" w:rsidR="00AA6023" w:rsidRPr="00477EDF" w:rsidRDefault="00AA6023" w:rsidP="00AA6023">
      <w:pPr>
        <w:widowControl/>
        <w:tabs>
          <w:tab w:val="left" w:pos="540"/>
        </w:tabs>
        <w:autoSpaceDE/>
        <w:autoSpaceDN/>
        <w:jc w:val="both"/>
        <w:rPr>
          <w:rFonts w:eastAsia="Calibri"/>
        </w:rPr>
      </w:pPr>
    </w:p>
    <w:p w14:paraId="4CA2F123" w14:textId="77777777" w:rsidR="00AA6023" w:rsidRPr="00477EDF" w:rsidRDefault="00AA6023" w:rsidP="00AA6023">
      <w:pPr>
        <w:keepNext/>
        <w:widowControl/>
        <w:pBdr>
          <w:bottom w:val="single" w:sz="4" w:space="1" w:color="auto"/>
        </w:pBdr>
        <w:autoSpaceDE/>
        <w:autoSpaceDN/>
        <w:jc w:val="both"/>
        <w:rPr>
          <w:rFonts w:eastAsia="Calibri"/>
          <w:b/>
          <w:smallCaps/>
        </w:rPr>
      </w:pPr>
      <w:r w:rsidRPr="00477EDF">
        <w:rPr>
          <w:rFonts w:eastAsia="Calibri"/>
          <w:b/>
          <w:smallCaps/>
        </w:rPr>
        <w:t>Overview of a Resolution Regime</w:t>
      </w:r>
    </w:p>
    <w:p w14:paraId="2209B823" w14:textId="77777777" w:rsidR="00AA6023" w:rsidRPr="00477EDF" w:rsidRDefault="00AA6023" w:rsidP="00AA6023">
      <w:pPr>
        <w:keepNext/>
        <w:widowControl/>
        <w:autoSpaceDE/>
        <w:autoSpaceDN/>
        <w:jc w:val="both"/>
        <w:rPr>
          <w:rFonts w:eastAsia="Calibri"/>
          <w:i/>
          <w:iCs/>
        </w:rPr>
      </w:pPr>
    </w:p>
    <w:p w14:paraId="69E9EA2F" w14:textId="77777777" w:rsidR="00AA6023" w:rsidRPr="00477EDF" w:rsidRDefault="00AA6023" w:rsidP="00AA6023">
      <w:pPr>
        <w:widowControl/>
        <w:autoSpaceDE/>
        <w:autoSpaceDN/>
        <w:jc w:val="both"/>
        <w:rPr>
          <w:rFonts w:eastAsia="Calibri"/>
        </w:rPr>
      </w:pPr>
      <w:r w:rsidRPr="00477EDF">
        <w:rPr>
          <w:rFonts w:eastAsia="Calibri"/>
        </w:rPr>
        <w:t>Receivership actions would be independent for each individual insurance legal entity and would be conducted by their respective domiciliary jurisdictions. Factors would be considered independently such as minimum capital requirements or RBC levels in determining whether it should be placed into any receivership proceeding. An insolvency at the holding company level would be outside the scope of state insurance receivership laws and would be within the jurisdiction of the federal Bankruptcy Courts. Insurance regulators would coordinate to avoid contagion in the event of the insolvency or threatened insolvency of [Insurance Holding Company Name] [or its parent(s) or affiliate(s)].</w:t>
      </w:r>
    </w:p>
    <w:p w14:paraId="4DC9F440" w14:textId="77777777" w:rsidR="00AA6023" w:rsidRPr="00477EDF" w:rsidRDefault="00AA6023" w:rsidP="00AA6023">
      <w:pPr>
        <w:widowControl/>
        <w:autoSpaceDE/>
        <w:autoSpaceDN/>
        <w:jc w:val="both"/>
        <w:rPr>
          <w:rFonts w:eastAsia="Calibri"/>
        </w:rPr>
      </w:pPr>
    </w:p>
    <w:p w14:paraId="57AC19A9" w14:textId="77777777" w:rsidR="00AA6023" w:rsidRPr="00477EDF" w:rsidRDefault="00AA6023" w:rsidP="00AA6023">
      <w:pPr>
        <w:widowControl/>
        <w:autoSpaceDE/>
        <w:autoSpaceDN/>
        <w:jc w:val="both"/>
        <w:rPr>
          <w:rFonts w:eastAsia="Calibri"/>
          <w:i/>
          <w:iCs/>
        </w:rPr>
      </w:pPr>
      <w:r w:rsidRPr="00477EDF">
        <w:rPr>
          <w:rFonts w:eastAsia="Calibri"/>
          <w:i/>
          <w:iCs/>
        </w:rPr>
        <w:t>[Modify or eliminate the above paragraph if there is no holding company subject to federal bankruptcy jurisdiction, or if the holding company is within scope of the Dodd-Frank Act.]</w:t>
      </w:r>
    </w:p>
    <w:p w14:paraId="00613D25" w14:textId="77777777" w:rsidR="00AA6023" w:rsidRPr="00477EDF" w:rsidRDefault="00AA6023" w:rsidP="00AA6023">
      <w:pPr>
        <w:widowControl/>
        <w:tabs>
          <w:tab w:val="left" w:pos="540"/>
        </w:tabs>
        <w:autoSpaceDE/>
        <w:autoSpaceDN/>
        <w:jc w:val="both"/>
        <w:rPr>
          <w:rFonts w:eastAsia="Calibri"/>
        </w:rPr>
      </w:pPr>
    </w:p>
    <w:p w14:paraId="2D735244" w14:textId="77777777" w:rsidR="00AA6023" w:rsidRPr="00477EDF" w:rsidRDefault="00AA6023" w:rsidP="00AA6023">
      <w:pPr>
        <w:widowControl/>
        <w:adjustRightInd w:val="0"/>
        <w:jc w:val="both"/>
        <w:rPr>
          <w:rFonts w:eastAsia="Calibri"/>
        </w:rPr>
      </w:pPr>
      <w:r w:rsidRPr="00477EDF">
        <w:rPr>
          <w:rFonts w:eastAsia="Calibri"/>
        </w:rPr>
        <w:t>A resolution of [Insurer Name(s)] would be handled under the insurance laws of the state of [this state].  The Commissioner of [this state] would be appointed as the receiver by a judge from the [Name and location of the court]. Receivership proceedings are conducted in state courts because insurance companies are specifically exempted from the provisions of the U.S. Federal Bankruptcy Code (See 11 U.S.C. § 109(b)). The state court would oversee and be required to approve any significant actions taken by the receiver. [Insurance Code] provides the statutory authority and creditor priority for any receivership proceeding of an insurer domiciled in [this state]. [</w:t>
      </w:r>
      <w:r w:rsidRPr="00477EDF">
        <w:rPr>
          <w:rFonts w:eastAsia="Calibri"/>
          <w:i/>
          <w:iCs/>
        </w:rPr>
        <w:t>Insert a comment on who handles receivership within the state – internal department or outside firm, and who appoints that firm.</w:t>
      </w:r>
      <w:r w:rsidRPr="00477EDF">
        <w:rPr>
          <w:rFonts w:eastAsia="Calibri"/>
        </w:rPr>
        <w:t xml:space="preserve">]  </w:t>
      </w:r>
    </w:p>
    <w:p w14:paraId="3C27B96C" w14:textId="77777777" w:rsidR="00AA6023" w:rsidRPr="00477EDF" w:rsidRDefault="00AA6023" w:rsidP="00AA6023">
      <w:pPr>
        <w:widowControl/>
        <w:autoSpaceDE/>
        <w:autoSpaceDN/>
        <w:ind w:left="1440"/>
        <w:contextualSpacing/>
        <w:jc w:val="both"/>
        <w:rPr>
          <w:rFonts w:eastAsia="Calibri"/>
        </w:rPr>
      </w:pPr>
    </w:p>
    <w:p w14:paraId="5B01275E" w14:textId="77777777" w:rsidR="00AA6023" w:rsidRPr="00477EDF" w:rsidRDefault="00AA6023" w:rsidP="00AA6023">
      <w:pPr>
        <w:widowControl/>
        <w:autoSpaceDE/>
        <w:autoSpaceDN/>
        <w:jc w:val="both"/>
        <w:rPr>
          <w:rFonts w:eastAsia="Calibri"/>
        </w:rPr>
      </w:pPr>
      <w:r w:rsidRPr="00477EDF">
        <w:rPr>
          <w:rFonts w:eastAsia="Calibri"/>
        </w:rPr>
        <w:t>A multi-state resolution will be undertaken with a high degree of national coordination under the state-based system. The NAIC’s Financial Analysis Working Group is a group of senior financial regulators that coordinates and provides peer review for the oversight of financially troubled insurers. Likewise, through the NAIC’s Receivership Financial Analysis Working Group, senior resolution professionals can coordinate planning and execution of multi-state receiverships. NOLHGA and NCIGF coordinate policyholder protection for multi-state insolvencies.</w:t>
      </w:r>
    </w:p>
    <w:p w14:paraId="565037C2" w14:textId="77777777" w:rsidR="00AA6023" w:rsidRPr="00477EDF" w:rsidRDefault="00AA6023" w:rsidP="00AA6023">
      <w:pPr>
        <w:widowControl/>
        <w:autoSpaceDE/>
        <w:autoSpaceDN/>
        <w:jc w:val="both"/>
        <w:rPr>
          <w:rFonts w:eastAsia="Calibri"/>
        </w:rPr>
      </w:pPr>
    </w:p>
    <w:p w14:paraId="5E77FBEB" w14:textId="77777777" w:rsidR="00AA6023" w:rsidRPr="00477EDF" w:rsidRDefault="00AA6023" w:rsidP="00AA6023">
      <w:pPr>
        <w:widowControl/>
        <w:autoSpaceDE/>
        <w:autoSpaceDN/>
        <w:jc w:val="both"/>
        <w:rPr>
          <w:rFonts w:eastAsia="Calibri"/>
        </w:rPr>
      </w:pPr>
      <w:r w:rsidRPr="00477EDF">
        <w:rPr>
          <w:rFonts w:eastAsia="Calibri"/>
        </w:rPr>
        <w:t>Timelines to complete a receivership depend on factors such as size and complexity of the insurer, ability to sell assets including selling books of business and affiliated assets, legal issues including handling affiliated or third-party agreements, stays and injunctions, timeline for asset recovery (including through litigation), and coordination with other states and jurisdictions where the insurer has business. Therefore, the length of any receivership action is difficult to predict and may take years to complete to effectuate the best possible outcome for policyholders and other creditors.</w:t>
      </w:r>
    </w:p>
    <w:p w14:paraId="3C085C89" w14:textId="77777777" w:rsidR="00AA6023" w:rsidRPr="00477EDF" w:rsidRDefault="00AA6023" w:rsidP="00AA6023">
      <w:pPr>
        <w:widowControl/>
        <w:autoSpaceDE/>
        <w:autoSpaceDN/>
        <w:ind w:left="720"/>
        <w:jc w:val="both"/>
        <w:rPr>
          <w:rFonts w:eastAsia="Calibri"/>
        </w:rPr>
      </w:pPr>
    </w:p>
    <w:p w14:paraId="27D2B868" w14:textId="77777777" w:rsidR="00AA6023" w:rsidRPr="00477EDF" w:rsidRDefault="00AA6023" w:rsidP="00AA6023">
      <w:pPr>
        <w:widowControl/>
        <w:autoSpaceDE/>
        <w:autoSpaceDN/>
        <w:jc w:val="both"/>
        <w:rPr>
          <w:rFonts w:eastAsia="Calibri"/>
          <w:i/>
          <w:iCs/>
        </w:rPr>
      </w:pPr>
      <w:r w:rsidRPr="00477EDF">
        <w:rPr>
          <w:rFonts w:eastAsia="Calibri"/>
        </w:rPr>
        <w:t>The [other state insurance department(s)] would handle any resolution of [affiliated insurance entity(</w:t>
      </w:r>
      <w:proofErr w:type="spellStart"/>
      <w:r w:rsidRPr="00477EDF">
        <w:rPr>
          <w:rFonts w:eastAsia="Calibri"/>
        </w:rPr>
        <w:t>ies</w:t>
      </w:r>
      <w:proofErr w:type="spellEnd"/>
      <w:r w:rsidRPr="00477EDF">
        <w:rPr>
          <w:rFonts w:eastAsia="Calibri"/>
        </w:rPr>
        <w:t xml:space="preserve">) domiciled in another state(s)].  [Other state]’s receivership scheme is </w:t>
      </w:r>
      <w:proofErr w:type="gramStart"/>
      <w:r w:rsidRPr="00477EDF">
        <w:rPr>
          <w:rFonts w:eastAsia="Calibri"/>
        </w:rPr>
        <w:t>similar to</w:t>
      </w:r>
      <w:proofErr w:type="gramEnd"/>
      <w:r w:rsidRPr="00477EDF">
        <w:rPr>
          <w:rFonts w:eastAsia="Calibri"/>
        </w:rPr>
        <w:t xml:space="preserve"> [this state]’s scheme in that any receivership would be overseen by the local court. (For simplicity, the District of Columbia is referred to here as a state.)  </w:t>
      </w:r>
      <w:r w:rsidRPr="00477EDF">
        <w:rPr>
          <w:rFonts w:eastAsia="Calibri"/>
          <w:i/>
          <w:iCs/>
        </w:rPr>
        <w:t xml:space="preserve">[Omit last sentence if group does not do business in DC.  Add additional explanatory material if group has operations in territories and possessions, or has subsidiaries domiciled outside the US or foreign branches that might be subject to foreign resolution laws.] </w:t>
      </w:r>
    </w:p>
    <w:p w14:paraId="59F92FF1" w14:textId="77777777" w:rsidR="00AA6023" w:rsidRPr="00477EDF" w:rsidRDefault="00AA6023" w:rsidP="00AA6023">
      <w:pPr>
        <w:widowControl/>
        <w:autoSpaceDE/>
        <w:autoSpaceDN/>
        <w:ind w:left="720"/>
        <w:jc w:val="both"/>
        <w:rPr>
          <w:rFonts w:eastAsia="Calibri"/>
        </w:rPr>
      </w:pPr>
    </w:p>
    <w:p w14:paraId="47B1194D" w14:textId="77777777" w:rsidR="00AA6023" w:rsidRPr="00477EDF" w:rsidRDefault="00AA6023" w:rsidP="00AA6023">
      <w:pPr>
        <w:widowControl/>
        <w:autoSpaceDE/>
        <w:autoSpaceDN/>
        <w:jc w:val="both"/>
        <w:rPr>
          <w:rFonts w:eastAsia="Calibri"/>
        </w:rPr>
      </w:pPr>
      <w:r w:rsidRPr="00477EDF">
        <w:rPr>
          <w:rFonts w:eastAsia="Calibri"/>
        </w:rPr>
        <w:lastRenderedPageBreak/>
        <w:t xml:space="preserve">To provide an indication of relative size, the following sets out some comparative details for the insurer and its insurance subsidiaries as of December 31, 20xx. </w:t>
      </w:r>
      <w:r w:rsidRPr="00477EDF">
        <w:rPr>
          <w:rFonts w:eastAsia="Calibri"/>
          <w:i/>
          <w:iCs/>
        </w:rPr>
        <w:t>[Customize the following table or other information to the U.S. insurers within the scope of the resolution plan.]</w:t>
      </w:r>
    </w:p>
    <w:p w14:paraId="70247643" w14:textId="77777777" w:rsidR="00AA6023" w:rsidRPr="00477EDF" w:rsidRDefault="00AA6023" w:rsidP="00AA6023">
      <w:pPr>
        <w:widowControl/>
        <w:autoSpaceDE/>
        <w:autoSpaceDN/>
        <w:ind w:left="720"/>
        <w:jc w:val="both"/>
        <w:rPr>
          <w:rFonts w:eastAsia="Calibri"/>
        </w:rPr>
      </w:pPr>
    </w:p>
    <w:tbl>
      <w:tblPr>
        <w:tblStyle w:val="TableGrid2"/>
        <w:tblW w:w="0" w:type="auto"/>
        <w:tblInd w:w="85" w:type="dxa"/>
        <w:tblLayout w:type="fixed"/>
        <w:tblLook w:val="04A0" w:firstRow="1" w:lastRow="0" w:firstColumn="1" w:lastColumn="0" w:noHBand="0" w:noVBand="1"/>
      </w:tblPr>
      <w:tblGrid>
        <w:gridCol w:w="3420"/>
        <w:gridCol w:w="1350"/>
        <w:gridCol w:w="1440"/>
        <w:gridCol w:w="1330"/>
      </w:tblGrid>
      <w:tr w:rsidR="00AA6023" w:rsidRPr="00477EDF" w14:paraId="47A3AABF" w14:textId="77777777" w:rsidTr="008005B4">
        <w:tc>
          <w:tcPr>
            <w:tcW w:w="3420" w:type="dxa"/>
          </w:tcPr>
          <w:p w14:paraId="41D9D9A2" w14:textId="77777777" w:rsidR="00AA6023" w:rsidRPr="00477EDF" w:rsidRDefault="00AA6023" w:rsidP="008005B4">
            <w:pPr>
              <w:jc w:val="both"/>
              <w:rPr>
                <w:rFonts w:eastAsia="Calibri"/>
                <w:sz w:val="22"/>
                <w:szCs w:val="22"/>
              </w:rPr>
            </w:pPr>
          </w:p>
        </w:tc>
        <w:tc>
          <w:tcPr>
            <w:tcW w:w="1350" w:type="dxa"/>
          </w:tcPr>
          <w:p w14:paraId="5D7EE7E7" w14:textId="77777777" w:rsidR="00AA6023" w:rsidRPr="00477EDF" w:rsidRDefault="00AA6023" w:rsidP="008005B4">
            <w:pPr>
              <w:jc w:val="both"/>
              <w:rPr>
                <w:rFonts w:eastAsia="Calibri"/>
                <w:b/>
                <w:sz w:val="22"/>
                <w:szCs w:val="22"/>
              </w:rPr>
            </w:pPr>
            <w:r w:rsidRPr="00477EDF">
              <w:rPr>
                <w:rFonts w:eastAsia="Calibri"/>
                <w:b/>
                <w:sz w:val="22"/>
                <w:szCs w:val="22"/>
              </w:rPr>
              <w:t>Insurer #1</w:t>
            </w:r>
          </w:p>
        </w:tc>
        <w:tc>
          <w:tcPr>
            <w:tcW w:w="1440" w:type="dxa"/>
          </w:tcPr>
          <w:p w14:paraId="689370C4" w14:textId="77777777" w:rsidR="00AA6023" w:rsidRPr="00477EDF" w:rsidRDefault="00AA6023" w:rsidP="008005B4">
            <w:pPr>
              <w:jc w:val="both"/>
              <w:rPr>
                <w:rFonts w:eastAsia="Calibri"/>
                <w:b/>
                <w:sz w:val="22"/>
                <w:szCs w:val="22"/>
              </w:rPr>
            </w:pPr>
            <w:r w:rsidRPr="00477EDF">
              <w:rPr>
                <w:rFonts w:eastAsia="Calibri"/>
                <w:b/>
                <w:sz w:val="22"/>
                <w:szCs w:val="22"/>
              </w:rPr>
              <w:t>Insurer #2</w:t>
            </w:r>
          </w:p>
        </w:tc>
        <w:tc>
          <w:tcPr>
            <w:tcW w:w="1330" w:type="dxa"/>
          </w:tcPr>
          <w:p w14:paraId="7B5A05F6" w14:textId="77777777" w:rsidR="00AA6023" w:rsidRPr="00477EDF" w:rsidRDefault="00AA6023" w:rsidP="008005B4">
            <w:pPr>
              <w:jc w:val="both"/>
              <w:rPr>
                <w:rFonts w:eastAsia="Calibri"/>
                <w:b/>
                <w:sz w:val="22"/>
                <w:szCs w:val="22"/>
              </w:rPr>
            </w:pPr>
            <w:r w:rsidRPr="00477EDF">
              <w:rPr>
                <w:rFonts w:eastAsia="Calibri"/>
                <w:b/>
                <w:sz w:val="22"/>
                <w:szCs w:val="22"/>
              </w:rPr>
              <w:t>Insurer #3</w:t>
            </w:r>
          </w:p>
        </w:tc>
      </w:tr>
      <w:tr w:rsidR="00AA6023" w:rsidRPr="00477EDF" w14:paraId="0D8149BA" w14:textId="77777777" w:rsidTr="008005B4">
        <w:tc>
          <w:tcPr>
            <w:tcW w:w="3420" w:type="dxa"/>
          </w:tcPr>
          <w:p w14:paraId="6CDA4F4E" w14:textId="77777777" w:rsidR="00AA6023" w:rsidRPr="00477EDF" w:rsidRDefault="00AA6023" w:rsidP="008005B4">
            <w:pPr>
              <w:jc w:val="both"/>
              <w:rPr>
                <w:rFonts w:eastAsia="Calibri"/>
                <w:sz w:val="22"/>
                <w:szCs w:val="22"/>
              </w:rPr>
            </w:pPr>
            <w:r w:rsidRPr="00477EDF">
              <w:rPr>
                <w:rFonts w:eastAsia="Calibri"/>
                <w:sz w:val="22"/>
                <w:szCs w:val="22"/>
              </w:rPr>
              <w:t>General Account Assets</w:t>
            </w:r>
          </w:p>
        </w:tc>
        <w:tc>
          <w:tcPr>
            <w:tcW w:w="1350" w:type="dxa"/>
          </w:tcPr>
          <w:p w14:paraId="0E214F16" w14:textId="77777777" w:rsidR="00AA6023" w:rsidRPr="00477EDF" w:rsidRDefault="00AA6023" w:rsidP="008005B4">
            <w:pPr>
              <w:jc w:val="both"/>
              <w:rPr>
                <w:rFonts w:eastAsia="Calibri"/>
                <w:sz w:val="22"/>
                <w:szCs w:val="22"/>
              </w:rPr>
            </w:pPr>
          </w:p>
        </w:tc>
        <w:tc>
          <w:tcPr>
            <w:tcW w:w="1440" w:type="dxa"/>
          </w:tcPr>
          <w:p w14:paraId="2EE3BA43" w14:textId="77777777" w:rsidR="00AA6023" w:rsidRPr="00477EDF" w:rsidRDefault="00AA6023" w:rsidP="008005B4">
            <w:pPr>
              <w:jc w:val="both"/>
              <w:rPr>
                <w:rFonts w:eastAsia="Calibri"/>
                <w:sz w:val="22"/>
                <w:szCs w:val="22"/>
              </w:rPr>
            </w:pPr>
          </w:p>
        </w:tc>
        <w:tc>
          <w:tcPr>
            <w:tcW w:w="1330" w:type="dxa"/>
          </w:tcPr>
          <w:p w14:paraId="716D69D0" w14:textId="77777777" w:rsidR="00AA6023" w:rsidRPr="00477EDF" w:rsidRDefault="00AA6023" w:rsidP="008005B4">
            <w:pPr>
              <w:jc w:val="both"/>
              <w:rPr>
                <w:rFonts w:eastAsia="Calibri"/>
                <w:sz w:val="22"/>
                <w:szCs w:val="22"/>
              </w:rPr>
            </w:pPr>
          </w:p>
        </w:tc>
      </w:tr>
      <w:tr w:rsidR="00AA6023" w:rsidRPr="00477EDF" w14:paraId="6FAFFC1F" w14:textId="77777777" w:rsidTr="008005B4">
        <w:tc>
          <w:tcPr>
            <w:tcW w:w="3420" w:type="dxa"/>
          </w:tcPr>
          <w:p w14:paraId="33F60D1C" w14:textId="77777777" w:rsidR="00AA6023" w:rsidRPr="00477EDF" w:rsidRDefault="00AA6023" w:rsidP="008005B4">
            <w:pPr>
              <w:jc w:val="both"/>
              <w:rPr>
                <w:rFonts w:eastAsia="Calibri"/>
                <w:sz w:val="22"/>
                <w:szCs w:val="22"/>
              </w:rPr>
            </w:pPr>
            <w:r w:rsidRPr="00477EDF">
              <w:rPr>
                <w:rFonts w:eastAsia="Calibri"/>
                <w:sz w:val="22"/>
                <w:szCs w:val="22"/>
              </w:rPr>
              <w:t>(Separate Account Assets for L/H or Protected Cell Assets for P&amp;C)</w:t>
            </w:r>
          </w:p>
        </w:tc>
        <w:tc>
          <w:tcPr>
            <w:tcW w:w="1350" w:type="dxa"/>
          </w:tcPr>
          <w:p w14:paraId="0161A8EB" w14:textId="77777777" w:rsidR="00AA6023" w:rsidRPr="00477EDF" w:rsidRDefault="00AA6023" w:rsidP="008005B4">
            <w:pPr>
              <w:jc w:val="both"/>
              <w:rPr>
                <w:rFonts w:eastAsia="Calibri"/>
                <w:sz w:val="22"/>
                <w:szCs w:val="22"/>
              </w:rPr>
            </w:pPr>
          </w:p>
        </w:tc>
        <w:tc>
          <w:tcPr>
            <w:tcW w:w="1440" w:type="dxa"/>
          </w:tcPr>
          <w:p w14:paraId="1A99E643" w14:textId="77777777" w:rsidR="00AA6023" w:rsidRPr="00477EDF" w:rsidRDefault="00AA6023" w:rsidP="008005B4">
            <w:pPr>
              <w:jc w:val="both"/>
              <w:rPr>
                <w:rFonts w:eastAsia="Calibri"/>
                <w:sz w:val="22"/>
                <w:szCs w:val="22"/>
              </w:rPr>
            </w:pPr>
          </w:p>
        </w:tc>
        <w:tc>
          <w:tcPr>
            <w:tcW w:w="1330" w:type="dxa"/>
          </w:tcPr>
          <w:p w14:paraId="1D23563C" w14:textId="77777777" w:rsidR="00AA6023" w:rsidRPr="00477EDF" w:rsidRDefault="00AA6023" w:rsidP="008005B4">
            <w:pPr>
              <w:jc w:val="both"/>
              <w:rPr>
                <w:rFonts w:eastAsia="Calibri"/>
                <w:sz w:val="22"/>
                <w:szCs w:val="22"/>
              </w:rPr>
            </w:pPr>
          </w:p>
        </w:tc>
      </w:tr>
      <w:tr w:rsidR="00AA6023" w:rsidRPr="00477EDF" w14:paraId="20AFDB71" w14:textId="77777777" w:rsidTr="008005B4">
        <w:tc>
          <w:tcPr>
            <w:tcW w:w="3420" w:type="dxa"/>
          </w:tcPr>
          <w:p w14:paraId="4D681BEC" w14:textId="77777777" w:rsidR="00AA6023" w:rsidRPr="00477EDF" w:rsidRDefault="00AA6023" w:rsidP="008005B4">
            <w:pPr>
              <w:jc w:val="both"/>
              <w:rPr>
                <w:rFonts w:eastAsia="Calibri"/>
                <w:sz w:val="22"/>
                <w:szCs w:val="22"/>
              </w:rPr>
            </w:pPr>
            <w:r w:rsidRPr="00477EDF">
              <w:rPr>
                <w:rFonts w:eastAsia="Calibri"/>
                <w:sz w:val="22"/>
                <w:szCs w:val="22"/>
              </w:rPr>
              <w:t>Total Assets</w:t>
            </w:r>
          </w:p>
        </w:tc>
        <w:tc>
          <w:tcPr>
            <w:tcW w:w="1350" w:type="dxa"/>
          </w:tcPr>
          <w:p w14:paraId="2E04091F" w14:textId="77777777" w:rsidR="00AA6023" w:rsidRPr="00477EDF" w:rsidRDefault="00AA6023" w:rsidP="008005B4">
            <w:pPr>
              <w:jc w:val="both"/>
              <w:rPr>
                <w:rFonts w:eastAsia="Calibri"/>
                <w:sz w:val="22"/>
                <w:szCs w:val="22"/>
              </w:rPr>
            </w:pPr>
          </w:p>
        </w:tc>
        <w:tc>
          <w:tcPr>
            <w:tcW w:w="1440" w:type="dxa"/>
          </w:tcPr>
          <w:p w14:paraId="6BDEC2AD" w14:textId="77777777" w:rsidR="00AA6023" w:rsidRPr="00477EDF" w:rsidRDefault="00AA6023" w:rsidP="008005B4">
            <w:pPr>
              <w:jc w:val="both"/>
              <w:rPr>
                <w:rFonts w:eastAsia="Calibri"/>
                <w:sz w:val="22"/>
                <w:szCs w:val="22"/>
              </w:rPr>
            </w:pPr>
          </w:p>
        </w:tc>
        <w:tc>
          <w:tcPr>
            <w:tcW w:w="1330" w:type="dxa"/>
          </w:tcPr>
          <w:p w14:paraId="5BDF4D93" w14:textId="77777777" w:rsidR="00AA6023" w:rsidRPr="00477EDF" w:rsidRDefault="00AA6023" w:rsidP="008005B4">
            <w:pPr>
              <w:jc w:val="both"/>
              <w:rPr>
                <w:rFonts w:eastAsia="Calibri"/>
                <w:sz w:val="22"/>
                <w:szCs w:val="22"/>
              </w:rPr>
            </w:pPr>
          </w:p>
        </w:tc>
      </w:tr>
      <w:tr w:rsidR="00AA6023" w:rsidRPr="00477EDF" w14:paraId="5EF6B6E8" w14:textId="77777777" w:rsidTr="008005B4">
        <w:tc>
          <w:tcPr>
            <w:tcW w:w="3420" w:type="dxa"/>
          </w:tcPr>
          <w:p w14:paraId="15824C21" w14:textId="77777777" w:rsidR="00AA6023" w:rsidRPr="00477EDF" w:rsidRDefault="00AA6023" w:rsidP="008005B4">
            <w:pPr>
              <w:jc w:val="both"/>
              <w:rPr>
                <w:rFonts w:eastAsia="Calibri"/>
                <w:sz w:val="22"/>
                <w:szCs w:val="22"/>
              </w:rPr>
            </w:pPr>
            <w:r w:rsidRPr="00477EDF">
              <w:rPr>
                <w:rFonts w:eastAsia="Calibri"/>
                <w:sz w:val="22"/>
                <w:szCs w:val="22"/>
              </w:rPr>
              <w:t>General Account Liabilities</w:t>
            </w:r>
          </w:p>
        </w:tc>
        <w:tc>
          <w:tcPr>
            <w:tcW w:w="1350" w:type="dxa"/>
          </w:tcPr>
          <w:p w14:paraId="42AF4BCE" w14:textId="77777777" w:rsidR="00AA6023" w:rsidRPr="00477EDF" w:rsidRDefault="00AA6023" w:rsidP="008005B4">
            <w:pPr>
              <w:jc w:val="both"/>
              <w:rPr>
                <w:rFonts w:eastAsia="Calibri"/>
                <w:sz w:val="22"/>
                <w:szCs w:val="22"/>
              </w:rPr>
            </w:pPr>
          </w:p>
        </w:tc>
        <w:tc>
          <w:tcPr>
            <w:tcW w:w="1440" w:type="dxa"/>
          </w:tcPr>
          <w:p w14:paraId="59FBF20E" w14:textId="77777777" w:rsidR="00AA6023" w:rsidRPr="00477EDF" w:rsidRDefault="00AA6023" w:rsidP="008005B4">
            <w:pPr>
              <w:jc w:val="both"/>
              <w:rPr>
                <w:rFonts w:eastAsia="Calibri"/>
                <w:sz w:val="22"/>
                <w:szCs w:val="22"/>
              </w:rPr>
            </w:pPr>
          </w:p>
        </w:tc>
        <w:tc>
          <w:tcPr>
            <w:tcW w:w="1330" w:type="dxa"/>
          </w:tcPr>
          <w:p w14:paraId="3181E338" w14:textId="77777777" w:rsidR="00AA6023" w:rsidRPr="00477EDF" w:rsidRDefault="00AA6023" w:rsidP="008005B4">
            <w:pPr>
              <w:jc w:val="both"/>
              <w:rPr>
                <w:rFonts w:eastAsia="Calibri"/>
                <w:sz w:val="22"/>
                <w:szCs w:val="22"/>
              </w:rPr>
            </w:pPr>
          </w:p>
        </w:tc>
      </w:tr>
      <w:tr w:rsidR="00AA6023" w:rsidRPr="00477EDF" w14:paraId="0AF2385E" w14:textId="77777777" w:rsidTr="008005B4">
        <w:tc>
          <w:tcPr>
            <w:tcW w:w="3420" w:type="dxa"/>
          </w:tcPr>
          <w:p w14:paraId="39D3BAC6" w14:textId="77777777" w:rsidR="00AA6023" w:rsidRPr="00477EDF" w:rsidRDefault="00AA6023" w:rsidP="008005B4">
            <w:pPr>
              <w:jc w:val="both"/>
              <w:rPr>
                <w:rFonts w:eastAsia="Calibri"/>
                <w:sz w:val="22"/>
                <w:szCs w:val="22"/>
              </w:rPr>
            </w:pPr>
            <w:r w:rsidRPr="00477EDF">
              <w:rPr>
                <w:rFonts w:eastAsia="Calibri"/>
                <w:sz w:val="22"/>
                <w:szCs w:val="22"/>
              </w:rPr>
              <w:t xml:space="preserve">Separate Account Liabilities for L/H or Protected Cell Liabilities for P&amp;C) </w:t>
            </w:r>
          </w:p>
        </w:tc>
        <w:tc>
          <w:tcPr>
            <w:tcW w:w="1350" w:type="dxa"/>
          </w:tcPr>
          <w:p w14:paraId="0AB10544" w14:textId="77777777" w:rsidR="00AA6023" w:rsidRPr="00477EDF" w:rsidRDefault="00AA6023" w:rsidP="008005B4">
            <w:pPr>
              <w:jc w:val="both"/>
              <w:rPr>
                <w:rFonts w:eastAsia="Calibri"/>
                <w:sz w:val="22"/>
                <w:szCs w:val="22"/>
              </w:rPr>
            </w:pPr>
          </w:p>
        </w:tc>
        <w:tc>
          <w:tcPr>
            <w:tcW w:w="1440" w:type="dxa"/>
          </w:tcPr>
          <w:p w14:paraId="4423B22F" w14:textId="77777777" w:rsidR="00AA6023" w:rsidRPr="00477EDF" w:rsidRDefault="00AA6023" w:rsidP="008005B4">
            <w:pPr>
              <w:jc w:val="both"/>
              <w:rPr>
                <w:rFonts w:eastAsia="Calibri"/>
                <w:sz w:val="22"/>
                <w:szCs w:val="22"/>
              </w:rPr>
            </w:pPr>
          </w:p>
        </w:tc>
        <w:tc>
          <w:tcPr>
            <w:tcW w:w="1330" w:type="dxa"/>
          </w:tcPr>
          <w:p w14:paraId="28777C8F" w14:textId="77777777" w:rsidR="00AA6023" w:rsidRPr="00477EDF" w:rsidRDefault="00AA6023" w:rsidP="008005B4">
            <w:pPr>
              <w:jc w:val="both"/>
              <w:rPr>
                <w:rFonts w:eastAsia="Calibri"/>
                <w:sz w:val="22"/>
                <w:szCs w:val="22"/>
              </w:rPr>
            </w:pPr>
          </w:p>
        </w:tc>
      </w:tr>
      <w:tr w:rsidR="00AA6023" w:rsidRPr="00477EDF" w14:paraId="30543742" w14:textId="77777777" w:rsidTr="008005B4">
        <w:tc>
          <w:tcPr>
            <w:tcW w:w="3420" w:type="dxa"/>
          </w:tcPr>
          <w:p w14:paraId="09692D64" w14:textId="77777777" w:rsidR="00AA6023" w:rsidRPr="00477EDF" w:rsidRDefault="00AA6023" w:rsidP="008005B4">
            <w:pPr>
              <w:jc w:val="both"/>
              <w:rPr>
                <w:rFonts w:eastAsia="Calibri"/>
                <w:sz w:val="22"/>
                <w:szCs w:val="22"/>
              </w:rPr>
            </w:pPr>
            <w:r w:rsidRPr="00477EDF">
              <w:rPr>
                <w:rFonts w:eastAsia="Calibri"/>
                <w:sz w:val="22"/>
                <w:szCs w:val="22"/>
              </w:rPr>
              <w:t>Total Liabilities</w:t>
            </w:r>
          </w:p>
        </w:tc>
        <w:tc>
          <w:tcPr>
            <w:tcW w:w="1350" w:type="dxa"/>
          </w:tcPr>
          <w:p w14:paraId="22FF147F" w14:textId="77777777" w:rsidR="00AA6023" w:rsidRPr="00477EDF" w:rsidRDefault="00AA6023" w:rsidP="008005B4">
            <w:pPr>
              <w:jc w:val="both"/>
              <w:rPr>
                <w:rFonts w:eastAsia="Calibri"/>
                <w:sz w:val="22"/>
                <w:szCs w:val="22"/>
              </w:rPr>
            </w:pPr>
          </w:p>
        </w:tc>
        <w:tc>
          <w:tcPr>
            <w:tcW w:w="1440" w:type="dxa"/>
          </w:tcPr>
          <w:p w14:paraId="2EC20456" w14:textId="77777777" w:rsidR="00AA6023" w:rsidRPr="00477EDF" w:rsidRDefault="00AA6023" w:rsidP="008005B4">
            <w:pPr>
              <w:jc w:val="both"/>
              <w:rPr>
                <w:rFonts w:eastAsia="Calibri"/>
                <w:sz w:val="22"/>
                <w:szCs w:val="22"/>
              </w:rPr>
            </w:pPr>
          </w:p>
        </w:tc>
        <w:tc>
          <w:tcPr>
            <w:tcW w:w="1330" w:type="dxa"/>
          </w:tcPr>
          <w:p w14:paraId="642D138F" w14:textId="77777777" w:rsidR="00AA6023" w:rsidRPr="00477EDF" w:rsidRDefault="00AA6023" w:rsidP="008005B4">
            <w:pPr>
              <w:jc w:val="both"/>
              <w:rPr>
                <w:rFonts w:eastAsia="Calibri"/>
                <w:sz w:val="22"/>
                <w:szCs w:val="22"/>
              </w:rPr>
            </w:pPr>
          </w:p>
        </w:tc>
      </w:tr>
      <w:tr w:rsidR="00AA6023" w:rsidRPr="00477EDF" w14:paraId="7A1A064F" w14:textId="77777777" w:rsidTr="008005B4">
        <w:tc>
          <w:tcPr>
            <w:tcW w:w="3420" w:type="dxa"/>
          </w:tcPr>
          <w:p w14:paraId="29D89E71" w14:textId="77777777" w:rsidR="00AA6023" w:rsidRPr="00477EDF" w:rsidRDefault="00AA6023" w:rsidP="008005B4">
            <w:pPr>
              <w:jc w:val="both"/>
              <w:rPr>
                <w:rFonts w:eastAsia="Calibri"/>
                <w:sz w:val="22"/>
                <w:szCs w:val="22"/>
              </w:rPr>
            </w:pPr>
            <w:r w:rsidRPr="00477EDF">
              <w:rPr>
                <w:rFonts w:eastAsia="Calibri"/>
                <w:sz w:val="22"/>
                <w:szCs w:val="22"/>
              </w:rPr>
              <w:t>Total Policyholder Surplus</w:t>
            </w:r>
          </w:p>
        </w:tc>
        <w:tc>
          <w:tcPr>
            <w:tcW w:w="1350" w:type="dxa"/>
          </w:tcPr>
          <w:p w14:paraId="7643291E" w14:textId="77777777" w:rsidR="00AA6023" w:rsidRPr="00477EDF" w:rsidRDefault="00AA6023" w:rsidP="008005B4">
            <w:pPr>
              <w:jc w:val="both"/>
              <w:rPr>
                <w:rFonts w:eastAsia="Calibri"/>
                <w:sz w:val="22"/>
                <w:szCs w:val="22"/>
              </w:rPr>
            </w:pPr>
          </w:p>
        </w:tc>
        <w:tc>
          <w:tcPr>
            <w:tcW w:w="1440" w:type="dxa"/>
          </w:tcPr>
          <w:p w14:paraId="098D5C76" w14:textId="77777777" w:rsidR="00AA6023" w:rsidRPr="00477EDF" w:rsidRDefault="00AA6023" w:rsidP="008005B4">
            <w:pPr>
              <w:jc w:val="both"/>
              <w:rPr>
                <w:rFonts w:eastAsia="Calibri"/>
                <w:sz w:val="22"/>
                <w:szCs w:val="22"/>
              </w:rPr>
            </w:pPr>
          </w:p>
        </w:tc>
        <w:tc>
          <w:tcPr>
            <w:tcW w:w="1330" w:type="dxa"/>
          </w:tcPr>
          <w:p w14:paraId="0F20D863" w14:textId="77777777" w:rsidR="00AA6023" w:rsidRPr="00477EDF" w:rsidRDefault="00AA6023" w:rsidP="008005B4">
            <w:pPr>
              <w:jc w:val="both"/>
              <w:rPr>
                <w:rFonts w:eastAsia="Calibri"/>
                <w:sz w:val="22"/>
                <w:szCs w:val="22"/>
              </w:rPr>
            </w:pPr>
          </w:p>
        </w:tc>
      </w:tr>
      <w:tr w:rsidR="00AA6023" w:rsidRPr="00477EDF" w14:paraId="118F93BE" w14:textId="77777777" w:rsidTr="008005B4">
        <w:tc>
          <w:tcPr>
            <w:tcW w:w="3420" w:type="dxa"/>
          </w:tcPr>
          <w:p w14:paraId="5370F551" w14:textId="77777777" w:rsidR="00AA6023" w:rsidRPr="00477EDF" w:rsidRDefault="00AA6023" w:rsidP="008005B4">
            <w:pPr>
              <w:jc w:val="both"/>
              <w:rPr>
                <w:rFonts w:eastAsia="Calibri"/>
                <w:sz w:val="22"/>
                <w:szCs w:val="22"/>
              </w:rPr>
            </w:pPr>
            <w:r w:rsidRPr="00477EDF">
              <w:rPr>
                <w:rFonts w:eastAsia="Calibri"/>
                <w:sz w:val="22"/>
                <w:szCs w:val="22"/>
              </w:rPr>
              <w:t>Total (Direct/Net) Premiums</w:t>
            </w:r>
          </w:p>
        </w:tc>
        <w:tc>
          <w:tcPr>
            <w:tcW w:w="1350" w:type="dxa"/>
          </w:tcPr>
          <w:p w14:paraId="2F7FFE91" w14:textId="77777777" w:rsidR="00AA6023" w:rsidRPr="00477EDF" w:rsidRDefault="00AA6023" w:rsidP="008005B4">
            <w:pPr>
              <w:jc w:val="both"/>
              <w:rPr>
                <w:rFonts w:eastAsia="Calibri"/>
                <w:sz w:val="22"/>
                <w:szCs w:val="22"/>
              </w:rPr>
            </w:pPr>
          </w:p>
        </w:tc>
        <w:tc>
          <w:tcPr>
            <w:tcW w:w="1440" w:type="dxa"/>
          </w:tcPr>
          <w:p w14:paraId="5C55C7DB" w14:textId="77777777" w:rsidR="00AA6023" w:rsidRPr="00477EDF" w:rsidRDefault="00AA6023" w:rsidP="008005B4">
            <w:pPr>
              <w:jc w:val="both"/>
              <w:rPr>
                <w:rFonts w:eastAsia="Calibri"/>
                <w:sz w:val="22"/>
                <w:szCs w:val="22"/>
              </w:rPr>
            </w:pPr>
          </w:p>
        </w:tc>
        <w:tc>
          <w:tcPr>
            <w:tcW w:w="1330" w:type="dxa"/>
          </w:tcPr>
          <w:p w14:paraId="61E10BD3" w14:textId="77777777" w:rsidR="00AA6023" w:rsidRPr="00477EDF" w:rsidRDefault="00AA6023" w:rsidP="008005B4">
            <w:pPr>
              <w:jc w:val="both"/>
              <w:rPr>
                <w:rFonts w:eastAsia="Calibri"/>
                <w:sz w:val="22"/>
                <w:szCs w:val="22"/>
              </w:rPr>
            </w:pPr>
          </w:p>
        </w:tc>
      </w:tr>
      <w:tr w:rsidR="00AA6023" w:rsidRPr="00477EDF" w14:paraId="4F2AA461" w14:textId="77777777" w:rsidTr="008005B4">
        <w:tc>
          <w:tcPr>
            <w:tcW w:w="3420" w:type="dxa"/>
          </w:tcPr>
          <w:p w14:paraId="4C239DB0" w14:textId="77777777" w:rsidR="00AA6023" w:rsidRPr="00477EDF" w:rsidRDefault="00AA6023" w:rsidP="008005B4">
            <w:pPr>
              <w:jc w:val="both"/>
              <w:rPr>
                <w:rFonts w:eastAsia="Calibri"/>
                <w:sz w:val="22"/>
                <w:szCs w:val="22"/>
              </w:rPr>
            </w:pPr>
            <w:r w:rsidRPr="00477EDF">
              <w:rPr>
                <w:rFonts w:eastAsia="Calibri"/>
                <w:sz w:val="22"/>
                <w:szCs w:val="22"/>
              </w:rPr>
              <w:t>Largest Line of Business</w:t>
            </w:r>
          </w:p>
        </w:tc>
        <w:tc>
          <w:tcPr>
            <w:tcW w:w="1350" w:type="dxa"/>
          </w:tcPr>
          <w:p w14:paraId="0D655596" w14:textId="77777777" w:rsidR="00AA6023" w:rsidRPr="00477EDF" w:rsidRDefault="00AA6023" w:rsidP="008005B4">
            <w:pPr>
              <w:jc w:val="both"/>
              <w:rPr>
                <w:rFonts w:eastAsia="Calibri"/>
                <w:sz w:val="22"/>
                <w:szCs w:val="22"/>
              </w:rPr>
            </w:pPr>
          </w:p>
        </w:tc>
        <w:tc>
          <w:tcPr>
            <w:tcW w:w="1440" w:type="dxa"/>
          </w:tcPr>
          <w:p w14:paraId="03911D82" w14:textId="77777777" w:rsidR="00AA6023" w:rsidRPr="00477EDF" w:rsidRDefault="00AA6023" w:rsidP="008005B4">
            <w:pPr>
              <w:jc w:val="both"/>
              <w:rPr>
                <w:rFonts w:eastAsia="Calibri"/>
                <w:sz w:val="22"/>
                <w:szCs w:val="22"/>
              </w:rPr>
            </w:pPr>
          </w:p>
        </w:tc>
        <w:tc>
          <w:tcPr>
            <w:tcW w:w="1330" w:type="dxa"/>
          </w:tcPr>
          <w:p w14:paraId="7125B8AC" w14:textId="77777777" w:rsidR="00AA6023" w:rsidRPr="00477EDF" w:rsidRDefault="00AA6023" w:rsidP="008005B4">
            <w:pPr>
              <w:jc w:val="both"/>
              <w:rPr>
                <w:rFonts w:eastAsia="Calibri"/>
                <w:sz w:val="22"/>
                <w:szCs w:val="22"/>
              </w:rPr>
            </w:pPr>
          </w:p>
        </w:tc>
      </w:tr>
      <w:tr w:rsidR="00AA6023" w:rsidRPr="00477EDF" w14:paraId="04F6D234" w14:textId="77777777" w:rsidTr="008005B4">
        <w:tc>
          <w:tcPr>
            <w:tcW w:w="3420" w:type="dxa"/>
          </w:tcPr>
          <w:p w14:paraId="31F10DDB" w14:textId="77777777" w:rsidR="00AA6023" w:rsidRPr="00477EDF" w:rsidRDefault="00AA6023" w:rsidP="008005B4">
            <w:pPr>
              <w:jc w:val="both"/>
              <w:rPr>
                <w:rFonts w:eastAsia="Calibri"/>
                <w:sz w:val="22"/>
                <w:szCs w:val="22"/>
              </w:rPr>
            </w:pPr>
            <w:r w:rsidRPr="00477EDF">
              <w:rPr>
                <w:rFonts w:eastAsia="Calibri"/>
                <w:sz w:val="22"/>
                <w:szCs w:val="22"/>
              </w:rPr>
              <w:t>Net Income or Loss</w:t>
            </w:r>
          </w:p>
        </w:tc>
        <w:tc>
          <w:tcPr>
            <w:tcW w:w="1350" w:type="dxa"/>
          </w:tcPr>
          <w:p w14:paraId="07AD64A0" w14:textId="77777777" w:rsidR="00AA6023" w:rsidRPr="00477EDF" w:rsidRDefault="00AA6023" w:rsidP="008005B4">
            <w:pPr>
              <w:jc w:val="both"/>
              <w:rPr>
                <w:rFonts w:eastAsia="Calibri"/>
                <w:sz w:val="22"/>
                <w:szCs w:val="22"/>
              </w:rPr>
            </w:pPr>
          </w:p>
        </w:tc>
        <w:tc>
          <w:tcPr>
            <w:tcW w:w="1440" w:type="dxa"/>
          </w:tcPr>
          <w:p w14:paraId="21FA0E57" w14:textId="77777777" w:rsidR="00AA6023" w:rsidRPr="00477EDF" w:rsidRDefault="00AA6023" w:rsidP="008005B4">
            <w:pPr>
              <w:jc w:val="both"/>
              <w:rPr>
                <w:rFonts w:eastAsia="Calibri"/>
                <w:sz w:val="22"/>
                <w:szCs w:val="22"/>
              </w:rPr>
            </w:pPr>
          </w:p>
        </w:tc>
        <w:tc>
          <w:tcPr>
            <w:tcW w:w="1330" w:type="dxa"/>
          </w:tcPr>
          <w:p w14:paraId="1104ECA3" w14:textId="77777777" w:rsidR="00AA6023" w:rsidRPr="00477EDF" w:rsidRDefault="00AA6023" w:rsidP="008005B4">
            <w:pPr>
              <w:jc w:val="both"/>
              <w:rPr>
                <w:rFonts w:eastAsia="Calibri"/>
                <w:sz w:val="22"/>
                <w:szCs w:val="22"/>
              </w:rPr>
            </w:pPr>
          </w:p>
        </w:tc>
      </w:tr>
      <w:tr w:rsidR="00AA6023" w:rsidRPr="00477EDF" w14:paraId="1959A9F8" w14:textId="77777777" w:rsidTr="008005B4">
        <w:tc>
          <w:tcPr>
            <w:tcW w:w="3420" w:type="dxa"/>
          </w:tcPr>
          <w:p w14:paraId="0BEAD615" w14:textId="77777777" w:rsidR="00AA6023" w:rsidRPr="00477EDF" w:rsidRDefault="00AA6023" w:rsidP="008005B4">
            <w:pPr>
              <w:jc w:val="both"/>
              <w:rPr>
                <w:rFonts w:eastAsia="Calibri"/>
                <w:sz w:val="22"/>
                <w:szCs w:val="22"/>
              </w:rPr>
            </w:pPr>
            <w:r w:rsidRPr="00477EDF">
              <w:rPr>
                <w:rFonts w:eastAsia="Calibri"/>
                <w:sz w:val="22"/>
                <w:szCs w:val="22"/>
              </w:rPr>
              <w:t>ACL Risk-Based Capital %</w:t>
            </w:r>
          </w:p>
        </w:tc>
        <w:tc>
          <w:tcPr>
            <w:tcW w:w="1350" w:type="dxa"/>
          </w:tcPr>
          <w:p w14:paraId="4B239827" w14:textId="77777777" w:rsidR="00AA6023" w:rsidRPr="00477EDF" w:rsidRDefault="00AA6023" w:rsidP="008005B4">
            <w:pPr>
              <w:jc w:val="both"/>
              <w:rPr>
                <w:rFonts w:eastAsia="Calibri"/>
                <w:sz w:val="22"/>
                <w:szCs w:val="22"/>
              </w:rPr>
            </w:pPr>
          </w:p>
        </w:tc>
        <w:tc>
          <w:tcPr>
            <w:tcW w:w="1440" w:type="dxa"/>
          </w:tcPr>
          <w:p w14:paraId="2F90F6AC" w14:textId="77777777" w:rsidR="00AA6023" w:rsidRPr="00477EDF" w:rsidRDefault="00AA6023" w:rsidP="008005B4">
            <w:pPr>
              <w:jc w:val="both"/>
              <w:rPr>
                <w:rFonts w:eastAsia="Calibri"/>
                <w:sz w:val="22"/>
                <w:szCs w:val="22"/>
              </w:rPr>
            </w:pPr>
          </w:p>
        </w:tc>
        <w:tc>
          <w:tcPr>
            <w:tcW w:w="1330" w:type="dxa"/>
          </w:tcPr>
          <w:p w14:paraId="6753EA8A" w14:textId="77777777" w:rsidR="00AA6023" w:rsidRPr="00477EDF" w:rsidRDefault="00AA6023" w:rsidP="008005B4">
            <w:pPr>
              <w:jc w:val="both"/>
              <w:rPr>
                <w:rFonts w:eastAsia="Calibri"/>
                <w:sz w:val="22"/>
                <w:szCs w:val="22"/>
              </w:rPr>
            </w:pPr>
          </w:p>
        </w:tc>
      </w:tr>
    </w:tbl>
    <w:p w14:paraId="1FDA4FE9" w14:textId="77777777" w:rsidR="00AA6023" w:rsidRPr="00477EDF" w:rsidRDefault="00AA6023" w:rsidP="00AA6023">
      <w:pPr>
        <w:widowControl/>
        <w:autoSpaceDE/>
        <w:autoSpaceDN/>
        <w:ind w:left="720"/>
        <w:jc w:val="both"/>
        <w:rPr>
          <w:rFonts w:eastAsia="Calibri"/>
        </w:rPr>
      </w:pPr>
    </w:p>
    <w:p w14:paraId="153855B2" w14:textId="77777777" w:rsidR="00AA6023" w:rsidRPr="00477EDF" w:rsidRDefault="00AA6023" w:rsidP="00AA6023">
      <w:pPr>
        <w:widowControl/>
        <w:autoSpaceDE/>
        <w:autoSpaceDN/>
        <w:jc w:val="both"/>
        <w:rPr>
          <w:rFonts w:eastAsia="Calibri"/>
        </w:rPr>
      </w:pPr>
      <w:r w:rsidRPr="00477EDF">
        <w:rPr>
          <w:rFonts w:eastAsia="Calibri"/>
        </w:rPr>
        <w:t xml:space="preserve">Should there be an insolvency of the insurer, [this state] must coordinate its activities on the receivership with [this state’s] guaranty association and the national state-based guaranty system. Attached is </w:t>
      </w:r>
      <w:proofErr w:type="gramStart"/>
      <w:r w:rsidRPr="00477EDF">
        <w:rPr>
          <w:rFonts w:eastAsia="Calibri"/>
        </w:rPr>
        <w:t>[Insurance</w:t>
      </w:r>
      <w:proofErr w:type="gramEnd"/>
      <w:r w:rsidRPr="00477EDF">
        <w:rPr>
          <w:rFonts w:eastAsia="Calibri"/>
        </w:rPr>
        <w:t xml:space="preserve"> Code] that provides the statutory authority of [this state’s] guaranty association, and coverage limits provided by the association. The guaranty funds in all the states where the insurer was licensed would be triggered to cover policyholder liabilities in accordance with the guaranty association laws of those states. The Commissioner as receiver and [this state’s guaranty association] would work with NOLHGA or NCIGF to coordinate the efforts of all the affected guaranty associations. Once triggered, the guaranty association will begin to pay claims and, for life/health insurance liquidations, continue coverage, typically without delay. </w:t>
      </w:r>
    </w:p>
    <w:p w14:paraId="2D3C3C0C" w14:textId="77777777" w:rsidR="00AA6023" w:rsidRPr="00477EDF" w:rsidRDefault="00AA6023" w:rsidP="00AA6023">
      <w:pPr>
        <w:widowControl/>
        <w:autoSpaceDE/>
        <w:autoSpaceDN/>
        <w:jc w:val="both"/>
        <w:rPr>
          <w:rFonts w:eastAsia="Calibri"/>
        </w:rPr>
      </w:pPr>
    </w:p>
    <w:p w14:paraId="7AD85C8A" w14:textId="77777777" w:rsidR="00AA6023" w:rsidRPr="00477EDF" w:rsidRDefault="00AA6023" w:rsidP="00AA6023">
      <w:pPr>
        <w:widowControl/>
        <w:autoSpaceDE/>
        <w:autoSpaceDN/>
        <w:jc w:val="both"/>
        <w:rPr>
          <w:rFonts w:eastAsia="Calibri"/>
        </w:rPr>
      </w:pPr>
      <w:r w:rsidRPr="00477EDF">
        <w:rPr>
          <w:rFonts w:eastAsia="Calibri"/>
        </w:rPr>
        <w:t xml:space="preserve">[Insurance Code] provides the Commissioner with several regulatory tools that can be used when insurance companies experience financial difficulties. Regulatory action is taken when insurance companies trigger any of the hazardous financial condition standards delineated in [Insurance Code], including RBC standards as developed by the NAIC and adopted by [this state], which give the Commissioner authority to </w:t>
      </w:r>
      <w:proofErr w:type="gramStart"/>
      <w:r w:rsidRPr="00477EDF">
        <w:rPr>
          <w:rFonts w:eastAsia="Calibri"/>
        </w:rPr>
        <w:t>take action</w:t>
      </w:r>
      <w:proofErr w:type="gramEnd"/>
      <w:r w:rsidRPr="00477EDF">
        <w:rPr>
          <w:rFonts w:eastAsia="Calibri"/>
        </w:rPr>
        <w:t xml:space="preserve"> before a company is insolvent. Failure to meet RBC requirements requires specific prescribed actions that must be taken based upon the RBC level of the reporting entity; the required actions escalate with each RBC threshold that is breached. The hazardous condition criteria are much broader in nature and include qualitative as well as quantitative standards. [</w:t>
      </w:r>
      <w:r w:rsidRPr="00477EDF">
        <w:rPr>
          <w:rFonts w:eastAsia="Calibri"/>
          <w:i/>
          <w:iCs/>
        </w:rPr>
        <w:t>Specify the regulatory actions</w:t>
      </w:r>
      <w:r w:rsidRPr="00477EDF">
        <w:rPr>
          <w:rFonts w:eastAsia="Calibri"/>
        </w:rPr>
        <w:t xml:space="preserve">] within [Insurance Code] require a court order and oversight. </w:t>
      </w:r>
    </w:p>
    <w:p w14:paraId="59632593" w14:textId="77777777" w:rsidR="00AA6023" w:rsidRPr="00477EDF" w:rsidRDefault="00AA6023" w:rsidP="00AA6023">
      <w:pPr>
        <w:widowControl/>
        <w:numPr>
          <w:ilvl w:val="0"/>
          <w:numId w:val="2"/>
        </w:numPr>
        <w:autoSpaceDE/>
        <w:autoSpaceDN/>
        <w:spacing w:after="240"/>
        <w:ind w:left="720"/>
        <w:contextualSpacing/>
        <w:jc w:val="both"/>
        <w:rPr>
          <w:rFonts w:eastAsia="Calibri"/>
        </w:rPr>
      </w:pPr>
      <w:r w:rsidRPr="00477EDF">
        <w:rPr>
          <w:rFonts w:eastAsia="Calibri"/>
        </w:rPr>
        <w:t xml:space="preserve">Supervision is an order from the Commissioner that the insurance company take certain actions to abate hazardous conditions. Supervision is frequently used as the first step in a process to resolve financial issues within the insurer. </w:t>
      </w:r>
    </w:p>
    <w:p w14:paraId="4BA55397" w14:textId="77777777" w:rsidR="00AA6023" w:rsidRPr="00477EDF" w:rsidRDefault="00AA6023" w:rsidP="00AA6023">
      <w:pPr>
        <w:widowControl/>
        <w:numPr>
          <w:ilvl w:val="0"/>
          <w:numId w:val="2"/>
        </w:numPr>
        <w:autoSpaceDE/>
        <w:autoSpaceDN/>
        <w:spacing w:after="240"/>
        <w:ind w:left="720"/>
        <w:contextualSpacing/>
        <w:jc w:val="both"/>
        <w:rPr>
          <w:rFonts w:eastAsia="Calibri"/>
        </w:rPr>
      </w:pPr>
      <w:r w:rsidRPr="00477EDF">
        <w:rPr>
          <w:rFonts w:eastAsia="Calibri"/>
        </w:rPr>
        <w:t xml:space="preserve">If the issue is significant and needs immediate action to protect policyholders the Commissioner may decide Conservation, Seizure, Rehabilitation or Liquidation are appropriate, and petition the court. </w:t>
      </w:r>
    </w:p>
    <w:p w14:paraId="2084A3DF" w14:textId="77777777" w:rsidR="00AA6023" w:rsidRPr="00477EDF" w:rsidRDefault="00AA6023" w:rsidP="00AA6023">
      <w:pPr>
        <w:widowControl/>
        <w:autoSpaceDE/>
        <w:autoSpaceDN/>
        <w:jc w:val="both"/>
        <w:rPr>
          <w:rFonts w:eastAsia="Calibri"/>
        </w:rPr>
      </w:pPr>
    </w:p>
    <w:p w14:paraId="1B8F5797" w14:textId="77777777" w:rsidR="00AA6023" w:rsidRPr="00477EDF" w:rsidRDefault="00AA6023" w:rsidP="00AA6023">
      <w:pPr>
        <w:widowControl/>
        <w:autoSpaceDE/>
        <w:autoSpaceDN/>
        <w:jc w:val="both"/>
        <w:rPr>
          <w:rFonts w:eastAsia="Calibri"/>
        </w:rPr>
      </w:pPr>
      <w:r w:rsidRPr="00477EDF">
        <w:rPr>
          <w:rFonts w:eastAsia="Calibri"/>
        </w:rPr>
        <w:t>The most appropriate action(s) to take in a resolution of the insurer will depend on the cause and magnitude of the financial issues that are prompting the need for regulatory action. [</w:t>
      </w:r>
      <w:r w:rsidRPr="00477EDF">
        <w:rPr>
          <w:rFonts w:eastAsia="Calibri"/>
          <w:i/>
          <w:iCs/>
        </w:rPr>
        <w:t>Where applicable, note that a temporary moratorium may be imposed on policyholder withdrawals or surrenders.]</w:t>
      </w:r>
    </w:p>
    <w:p w14:paraId="651FEA75" w14:textId="77777777" w:rsidR="00AA6023" w:rsidRPr="00477EDF" w:rsidRDefault="00AA6023" w:rsidP="00AA6023">
      <w:pPr>
        <w:widowControl/>
        <w:autoSpaceDE/>
        <w:autoSpaceDN/>
        <w:ind w:left="720"/>
        <w:jc w:val="both"/>
        <w:rPr>
          <w:rFonts w:eastAsia="Calibri"/>
        </w:rPr>
      </w:pPr>
    </w:p>
    <w:p w14:paraId="147289F6" w14:textId="77777777" w:rsidR="00AA6023" w:rsidRPr="00477EDF" w:rsidRDefault="00AA6023" w:rsidP="00AA6023">
      <w:pPr>
        <w:widowControl/>
        <w:autoSpaceDE/>
        <w:autoSpaceDN/>
        <w:ind w:left="720"/>
        <w:jc w:val="both"/>
        <w:rPr>
          <w:rFonts w:eastAsia="Calibri"/>
        </w:rPr>
      </w:pPr>
    </w:p>
    <w:p w14:paraId="092354B9" w14:textId="77777777" w:rsidR="00AA6023" w:rsidRPr="00477EDF" w:rsidRDefault="00AA6023" w:rsidP="00AA6023">
      <w:pPr>
        <w:widowControl/>
        <w:pBdr>
          <w:bottom w:val="single" w:sz="4" w:space="1" w:color="auto"/>
        </w:pBdr>
        <w:autoSpaceDE/>
        <w:autoSpaceDN/>
        <w:jc w:val="both"/>
        <w:rPr>
          <w:rFonts w:eastAsia="Calibri"/>
          <w:b/>
          <w:smallCaps/>
        </w:rPr>
      </w:pPr>
      <w:r w:rsidRPr="00477EDF">
        <w:rPr>
          <w:rFonts w:eastAsia="Calibri"/>
          <w:b/>
          <w:smallCaps/>
        </w:rPr>
        <w:t>Resolution Differences</w:t>
      </w:r>
    </w:p>
    <w:p w14:paraId="2B75F315" w14:textId="77777777" w:rsidR="00AA6023" w:rsidRPr="00477EDF" w:rsidRDefault="00AA6023" w:rsidP="00AA6023">
      <w:pPr>
        <w:widowControl/>
        <w:autoSpaceDE/>
        <w:autoSpaceDN/>
        <w:jc w:val="both"/>
        <w:rPr>
          <w:rFonts w:eastAsia="Calibri"/>
        </w:rPr>
      </w:pPr>
    </w:p>
    <w:p w14:paraId="66FB371B" w14:textId="77777777" w:rsidR="00AA6023" w:rsidRPr="00477EDF" w:rsidRDefault="00AA6023" w:rsidP="00AA6023">
      <w:pPr>
        <w:widowControl/>
        <w:autoSpaceDE/>
        <w:autoSpaceDN/>
        <w:jc w:val="both"/>
        <w:rPr>
          <w:rFonts w:eastAsia="Calibri"/>
          <w:i/>
          <w:iCs/>
        </w:rPr>
      </w:pPr>
      <w:r w:rsidRPr="00477EDF">
        <w:rPr>
          <w:rFonts w:eastAsia="Calibri"/>
          <w:i/>
          <w:iCs/>
        </w:rPr>
        <w:t>[Include an explanation of any material differences in how resolution may be handled based on the unique nature of an insurer’s book of business, for example insurance products that require special legal and regulatory consideration, unique receivership processes and procedures; or that may not be covered by guaranty funds. Examples may include the following:]</w:t>
      </w:r>
    </w:p>
    <w:p w14:paraId="4E7DF5C7" w14:textId="77777777" w:rsidR="00AA6023" w:rsidRPr="00477EDF" w:rsidRDefault="00AA6023" w:rsidP="00AA6023">
      <w:pPr>
        <w:widowControl/>
        <w:autoSpaceDE/>
        <w:autoSpaceDN/>
        <w:jc w:val="both"/>
        <w:rPr>
          <w:rFonts w:eastAsia="Calibri"/>
        </w:rPr>
      </w:pPr>
      <w:r w:rsidRPr="00477EDF">
        <w:rPr>
          <w:rFonts w:eastAsia="Calibri"/>
        </w:rPr>
        <w:t xml:space="preserve"> </w:t>
      </w:r>
    </w:p>
    <w:p w14:paraId="514AAD82" w14:textId="77777777" w:rsidR="00AA6023" w:rsidRPr="00477EDF" w:rsidRDefault="00AA6023" w:rsidP="00AA6023">
      <w:pPr>
        <w:widowControl/>
        <w:autoSpaceDE/>
        <w:autoSpaceDN/>
        <w:ind w:left="720"/>
        <w:jc w:val="both"/>
        <w:rPr>
          <w:rFonts w:eastAsia="Calibri"/>
          <w:u w:val="single"/>
        </w:rPr>
      </w:pPr>
      <w:r w:rsidRPr="00477EDF">
        <w:rPr>
          <w:rFonts w:eastAsia="Calibri"/>
          <w:u w:val="single"/>
        </w:rPr>
        <w:t>General Account vs. Separate Account</w:t>
      </w:r>
    </w:p>
    <w:p w14:paraId="38EF2261" w14:textId="77777777" w:rsidR="00AA6023" w:rsidRPr="00477EDF" w:rsidRDefault="00AA6023" w:rsidP="00AA6023">
      <w:pPr>
        <w:widowControl/>
        <w:autoSpaceDE/>
        <w:autoSpaceDN/>
        <w:ind w:left="720"/>
        <w:jc w:val="both"/>
        <w:rPr>
          <w:rFonts w:eastAsia="Calibri"/>
        </w:rPr>
      </w:pPr>
      <w:r w:rsidRPr="00477EDF">
        <w:rPr>
          <w:rFonts w:eastAsia="Calibri"/>
        </w:rPr>
        <w:t xml:space="preserve">[This state] differentiates between the resolution of [the insurer’s] general account business and its separate account business. A separate account is an account, established by an insurer under [insert jurisdiction's legal/statutory provisions governing the creation of separate accounts] to segregate funds backing certain of the insurer's liabilities from the insurer's general assets. The term “separate account” must be used for variable insurance products to provide the investment options permitted by those products. Insurers have also used separate accounts to support certain fixed products, including fixed payout annuity obligations under pension risk transfer annuities. These accounts are maintained separately from the general account, and the purpose of each separate account is important in this context. </w:t>
      </w:r>
    </w:p>
    <w:p w14:paraId="4906A806" w14:textId="77777777" w:rsidR="00AA6023" w:rsidRPr="00477EDF" w:rsidRDefault="00AA6023" w:rsidP="00AA6023">
      <w:pPr>
        <w:widowControl/>
        <w:autoSpaceDE/>
        <w:autoSpaceDN/>
        <w:ind w:left="720"/>
        <w:jc w:val="both"/>
        <w:rPr>
          <w:rFonts w:eastAsia="Calibri"/>
        </w:rPr>
      </w:pPr>
    </w:p>
    <w:p w14:paraId="1F68BE48" w14:textId="77777777" w:rsidR="00AA6023" w:rsidRPr="00477EDF" w:rsidRDefault="00AA6023" w:rsidP="00AA6023">
      <w:pPr>
        <w:widowControl/>
        <w:autoSpaceDE/>
        <w:autoSpaceDN/>
        <w:ind w:left="720"/>
        <w:jc w:val="both"/>
        <w:rPr>
          <w:rFonts w:eastAsia="Calibri"/>
        </w:rPr>
      </w:pPr>
      <w:r w:rsidRPr="00477EDF">
        <w:rPr>
          <w:rFonts w:eastAsia="Calibri"/>
        </w:rPr>
        <w:t xml:space="preserve">The insurer’s separate account supports its </w:t>
      </w:r>
      <w:r w:rsidRPr="00477EDF">
        <w:rPr>
          <w:rFonts w:eastAsia="Calibri"/>
          <w:i/>
          <w:iCs/>
        </w:rPr>
        <w:t>[List the products included in the separate account</w:t>
      </w:r>
      <w:r w:rsidRPr="00477EDF">
        <w:rPr>
          <w:rFonts w:eastAsia="Calibri"/>
        </w:rPr>
        <w:t xml:space="preserve">]. In addition to being established under state insurance law, [the insurer’s] separate accounts used to support variable products are </w:t>
      </w:r>
      <w:r w:rsidRPr="00477EDF">
        <w:rPr>
          <w:rFonts w:eastAsia="Calibri"/>
          <w:i/>
          <w:iCs/>
        </w:rPr>
        <w:t>[Specify how they are considered under federal laws, such as</w:t>
      </w:r>
      <w:r w:rsidRPr="00477EDF">
        <w:rPr>
          <w:rFonts w:eastAsia="Calibri"/>
        </w:rPr>
        <w:t xml:space="preserve"> “unit investment trusts under federal securities law and registered as investment companies with the U.S. Securities and Exchange Commission”]. In any receivership proceeding, the receiver will need to communicate and consult with the U.S. Securities and Exchange Commission regarding the separate accounts used in support of the variable business. We also note that variable product policyholders may not be subject to any of the rehabilitation or liquidation moratoriums on policy withdrawals or surrenders funded by a separate account.</w:t>
      </w:r>
    </w:p>
    <w:p w14:paraId="10588A4E" w14:textId="77777777" w:rsidR="00AA6023" w:rsidRPr="00477EDF" w:rsidRDefault="00AA6023" w:rsidP="00AA6023">
      <w:pPr>
        <w:widowControl/>
        <w:autoSpaceDE/>
        <w:autoSpaceDN/>
        <w:ind w:left="720"/>
        <w:jc w:val="both"/>
        <w:rPr>
          <w:rFonts w:eastAsia="Calibri"/>
        </w:rPr>
      </w:pPr>
    </w:p>
    <w:p w14:paraId="2FBE8404" w14:textId="77777777" w:rsidR="00AA6023" w:rsidRPr="00477EDF" w:rsidRDefault="00AA6023" w:rsidP="00AA6023">
      <w:pPr>
        <w:widowControl/>
        <w:autoSpaceDE/>
        <w:autoSpaceDN/>
        <w:ind w:left="720"/>
        <w:jc w:val="both"/>
        <w:rPr>
          <w:rFonts w:eastAsia="Calibri"/>
          <w:i/>
          <w:iCs/>
        </w:rPr>
      </w:pPr>
      <w:r w:rsidRPr="00477EDF">
        <w:rPr>
          <w:rFonts w:eastAsia="Calibri"/>
        </w:rPr>
        <w:t xml:space="preserve">Pursuant to </w:t>
      </w:r>
      <w:proofErr w:type="gramStart"/>
      <w:r w:rsidRPr="00477EDF">
        <w:rPr>
          <w:rFonts w:eastAsia="Calibri"/>
        </w:rPr>
        <w:t>[Insurance</w:t>
      </w:r>
      <w:proofErr w:type="gramEnd"/>
      <w:r w:rsidRPr="00477EDF">
        <w:rPr>
          <w:rFonts w:eastAsia="Calibri"/>
        </w:rPr>
        <w:t xml:space="preserve"> Code], separate accounts are insulated from general account creditors and liquidation claims.  </w:t>
      </w:r>
      <w:r w:rsidRPr="00477EDF">
        <w:rPr>
          <w:rFonts w:eastAsia="Calibri"/>
          <w:i/>
          <w:iCs/>
        </w:rPr>
        <w:t>[Consider inserting sections of the insurance code that define insulated vs. non-insulated; that further define separate account and differentiate general account vs. separate account assets.]</w:t>
      </w:r>
    </w:p>
    <w:p w14:paraId="3ADB5157" w14:textId="77777777" w:rsidR="00AA6023" w:rsidRPr="00477EDF" w:rsidRDefault="00AA6023" w:rsidP="00AA6023">
      <w:pPr>
        <w:widowControl/>
        <w:autoSpaceDE/>
        <w:autoSpaceDN/>
        <w:ind w:left="720"/>
        <w:jc w:val="both"/>
        <w:rPr>
          <w:rFonts w:eastAsia="Calibri"/>
        </w:rPr>
      </w:pPr>
    </w:p>
    <w:p w14:paraId="0ACC3FD0" w14:textId="77777777" w:rsidR="00AA6023" w:rsidRPr="00477EDF" w:rsidRDefault="00AA6023" w:rsidP="00AA6023">
      <w:pPr>
        <w:widowControl/>
        <w:autoSpaceDE/>
        <w:autoSpaceDN/>
        <w:ind w:left="720"/>
        <w:jc w:val="both"/>
        <w:rPr>
          <w:rFonts w:eastAsia="Calibri"/>
        </w:rPr>
      </w:pPr>
      <w:r w:rsidRPr="00477EDF">
        <w:rPr>
          <w:rFonts w:eastAsia="Calibri"/>
          <w:u w:val="single"/>
        </w:rPr>
        <w:t>Reinsurance Assumed Business</w:t>
      </w:r>
      <w:r w:rsidRPr="00477EDF">
        <w:rPr>
          <w:rFonts w:eastAsia="Calibri"/>
        </w:rPr>
        <w:t xml:space="preserve"> </w:t>
      </w:r>
    </w:p>
    <w:p w14:paraId="58B8D3CC" w14:textId="77777777" w:rsidR="00AA6023" w:rsidRPr="00477EDF" w:rsidRDefault="00AA6023" w:rsidP="00AA6023">
      <w:pPr>
        <w:widowControl/>
        <w:autoSpaceDE/>
        <w:autoSpaceDN/>
        <w:ind w:left="720"/>
        <w:jc w:val="both"/>
        <w:rPr>
          <w:rFonts w:eastAsia="Calibri"/>
        </w:rPr>
      </w:pPr>
      <w:r w:rsidRPr="00477EDF">
        <w:rPr>
          <w:rFonts w:eastAsia="Calibri"/>
          <w:i/>
          <w:iCs/>
        </w:rPr>
        <w:t>[Where a US insurance entity is a professional reinsurer, the exclusion of assumed reinsurance from guaranty association coverage ceding insurers’ status as general creditors, and the potential complexity and multitude of the reinsurance agreements may result in different considerations of how to handle a receivership, including the choice between rehabilitation and liquidation, which should be described here.]</w:t>
      </w:r>
    </w:p>
    <w:p w14:paraId="45A20CA8" w14:textId="77777777" w:rsidR="00AA6023" w:rsidRPr="00477EDF" w:rsidRDefault="00AA6023" w:rsidP="00AA6023">
      <w:pPr>
        <w:widowControl/>
        <w:autoSpaceDE/>
        <w:autoSpaceDN/>
        <w:ind w:left="720"/>
        <w:jc w:val="both"/>
        <w:rPr>
          <w:rFonts w:eastAsia="Calibri"/>
          <w:highlight w:val="yellow"/>
          <w:u w:val="single"/>
        </w:rPr>
      </w:pPr>
    </w:p>
    <w:p w14:paraId="74CC50CF" w14:textId="77777777" w:rsidR="00AA6023" w:rsidRPr="00477EDF" w:rsidRDefault="00AA6023" w:rsidP="00AA6023">
      <w:pPr>
        <w:widowControl/>
        <w:autoSpaceDE/>
        <w:autoSpaceDN/>
        <w:ind w:left="720"/>
        <w:jc w:val="both"/>
        <w:rPr>
          <w:rFonts w:eastAsia="Calibri"/>
        </w:rPr>
      </w:pPr>
      <w:r w:rsidRPr="00477EDF">
        <w:rPr>
          <w:rFonts w:eastAsia="Calibri"/>
        </w:rPr>
        <w:t xml:space="preserve">Pursuant to [Insurance Code], policies or contracts of reinsurance are not covered by the guaranty association unless, in the case of life and health insolvencies, the assumption certificates have been issued by the reinsurer to the direct insureds. Property and casualty guaranty funds do not cover reinsurance in any situation. </w:t>
      </w:r>
    </w:p>
    <w:p w14:paraId="5D4515DA" w14:textId="77777777" w:rsidR="00AA6023" w:rsidRPr="00477EDF" w:rsidRDefault="00AA6023" w:rsidP="00AA6023">
      <w:pPr>
        <w:widowControl/>
        <w:autoSpaceDE/>
        <w:autoSpaceDN/>
        <w:ind w:left="720"/>
        <w:jc w:val="both"/>
        <w:rPr>
          <w:rFonts w:eastAsia="Calibri"/>
        </w:rPr>
      </w:pPr>
    </w:p>
    <w:p w14:paraId="3E642164" w14:textId="77777777" w:rsidR="00AA6023" w:rsidRPr="00477EDF" w:rsidRDefault="00AA6023" w:rsidP="00AA6023">
      <w:pPr>
        <w:widowControl/>
        <w:autoSpaceDE/>
        <w:autoSpaceDN/>
        <w:ind w:left="720"/>
        <w:jc w:val="both"/>
        <w:rPr>
          <w:rFonts w:eastAsia="Calibri"/>
          <w:u w:val="single"/>
        </w:rPr>
      </w:pPr>
      <w:r w:rsidRPr="00477EDF">
        <w:rPr>
          <w:rFonts w:eastAsia="Calibri"/>
          <w:u w:val="single"/>
        </w:rPr>
        <w:t xml:space="preserve">Unique Lines of Business or Insurance Entities in the Group </w:t>
      </w:r>
    </w:p>
    <w:p w14:paraId="2261C0F6" w14:textId="77777777" w:rsidR="00AA6023" w:rsidRPr="00477EDF" w:rsidRDefault="00AA6023" w:rsidP="00AA6023">
      <w:pPr>
        <w:widowControl/>
        <w:autoSpaceDE/>
        <w:autoSpaceDN/>
        <w:ind w:left="720"/>
        <w:jc w:val="both"/>
        <w:rPr>
          <w:rFonts w:eastAsia="Calibri"/>
          <w:i/>
          <w:iCs/>
        </w:rPr>
      </w:pPr>
      <w:r w:rsidRPr="00477EDF">
        <w:rPr>
          <w:rFonts w:eastAsia="Calibri"/>
          <w:i/>
          <w:iCs/>
        </w:rPr>
        <w:t>[If material to the insurer, consider adding a description or distinct considerations for how the exclusion of significant lines of business from guaranty association coverage would be handled in receivership.</w:t>
      </w:r>
    </w:p>
    <w:p w14:paraId="1B3469B9" w14:textId="77777777" w:rsidR="00AA6023" w:rsidRPr="00477EDF" w:rsidRDefault="00AA6023" w:rsidP="00AA6023">
      <w:pPr>
        <w:widowControl/>
        <w:autoSpaceDE/>
        <w:autoSpaceDN/>
        <w:ind w:left="720"/>
        <w:jc w:val="both"/>
        <w:rPr>
          <w:rFonts w:eastAsia="Calibri"/>
        </w:rPr>
      </w:pPr>
    </w:p>
    <w:p w14:paraId="44C89534" w14:textId="77777777" w:rsidR="00AA6023" w:rsidRPr="00477EDF" w:rsidRDefault="00AA6023" w:rsidP="00AA6023">
      <w:pPr>
        <w:widowControl/>
        <w:autoSpaceDE/>
        <w:autoSpaceDN/>
        <w:ind w:left="720"/>
        <w:jc w:val="both"/>
        <w:rPr>
          <w:rFonts w:eastAsia="Calibri"/>
          <w:i/>
          <w:iCs/>
        </w:rPr>
      </w:pPr>
      <w:r w:rsidRPr="00477EDF">
        <w:rPr>
          <w:rFonts w:eastAsia="Calibri"/>
          <w:i/>
          <w:iCs/>
        </w:rPr>
        <w:lastRenderedPageBreak/>
        <w:t xml:space="preserve">While domestic captive insurers and risk retention groups (RRGs) are subject to most states’ receivership laws, insureds within captives or RRGs generally do not have guaranty association coverage. Additionally, captives and RRGs may be subject to different parts of a states’ insurance code with respect to financial regulation. If material and applicable to the resolution of a unique domestic insurance entity in the group, consider including a description of any material insurance code provisions related to supervision, seizure, conservation, rehabilitation, and liquidation that may either apply or does not apply.] </w:t>
      </w:r>
    </w:p>
    <w:p w14:paraId="5E10D22B" w14:textId="77777777" w:rsidR="00AA6023" w:rsidRPr="00477EDF" w:rsidRDefault="00AA6023" w:rsidP="00AA6023">
      <w:pPr>
        <w:widowControl/>
        <w:autoSpaceDE/>
        <w:autoSpaceDN/>
        <w:ind w:left="720"/>
        <w:jc w:val="both"/>
        <w:rPr>
          <w:rFonts w:eastAsia="Calibri"/>
        </w:rPr>
      </w:pPr>
    </w:p>
    <w:p w14:paraId="465B9323" w14:textId="77777777" w:rsidR="00AA6023" w:rsidRPr="00477EDF" w:rsidRDefault="00AA6023" w:rsidP="00AA6023">
      <w:pPr>
        <w:widowControl/>
        <w:autoSpaceDE/>
        <w:autoSpaceDN/>
        <w:ind w:left="720"/>
        <w:jc w:val="both"/>
        <w:rPr>
          <w:rFonts w:eastAsia="Calibri"/>
        </w:rPr>
      </w:pPr>
    </w:p>
    <w:p w14:paraId="4228858C" w14:textId="77777777" w:rsidR="00AA6023" w:rsidRPr="00477EDF" w:rsidRDefault="00AA6023" w:rsidP="00AA6023">
      <w:pPr>
        <w:widowControl/>
        <w:pBdr>
          <w:bottom w:val="single" w:sz="4" w:space="1" w:color="auto"/>
        </w:pBdr>
        <w:autoSpaceDE/>
        <w:autoSpaceDN/>
        <w:jc w:val="both"/>
        <w:rPr>
          <w:rFonts w:eastAsia="Calibri"/>
          <w:b/>
          <w:smallCaps/>
        </w:rPr>
      </w:pPr>
      <w:r w:rsidRPr="00477EDF">
        <w:rPr>
          <w:rFonts w:eastAsia="Calibri"/>
          <w:b/>
          <w:smallCaps/>
        </w:rPr>
        <w:t xml:space="preserve">Delinquency and Resolution Actions </w:t>
      </w:r>
    </w:p>
    <w:p w14:paraId="279831EA" w14:textId="77777777" w:rsidR="00AA6023" w:rsidRPr="00477EDF" w:rsidRDefault="00AA6023" w:rsidP="00AA6023">
      <w:pPr>
        <w:widowControl/>
        <w:tabs>
          <w:tab w:val="left" w:pos="540"/>
        </w:tabs>
        <w:autoSpaceDE/>
        <w:autoSpaceDN/>
        <w:jc w:val="both"/>
        <w:rPr>
          <w:rFonts w:eastAsia="Calibri"/>
        </w:rPr>
      </w:pPr>
      <w:r w:rsidRPr="00477EDF">
        <w:rPr>
          <w:rFonts w:eastAsia="Calibri"/>
        </w:rPr>
        <w:t>The following defines each of the delinquency or resolution actions available in [this state].</w:t>
      </w:r>
    </w:p>
    <w:p w14:paraId="14BFA09F" w14:textId="77777777" w:rsidR="00AA6023" w:rsidRPr="00477EDF" w:rsidRDefault="00AA6023" w:rsidP="00AA6023">
      <w:pPr>
        <w:widowControl/>
        <w:tabs>
          <w:tab w:val="left" w:pos="540"/>
        </w:tabs>
        <w:autoSpaceDE/>
        <w:autoSpaceDN/>
        <w:jc w:val="both"/>
        <w:rPr>
          <w:rFonts w:eastAsia="Calibri"/>
        </w:rPr>
      </w:pPr>
    </w:p>
    <w:p w14:paraId="1681B999" w14:textId="77777777" w:rsidR="00AA6023" w:rsidRPr="00477EDF" w:rsidRDefault="00AA6023" w:rsidP="00AA6023">
      <w:pPr>
        <w:widowControl/>
        <w:autoSpaceDE/>
        <w:autoSpaceDN/>
        <w:jc w:val="both"/>
        <w:rPr>
          <w:rFonts w:eastAsia="Calibri"/>
        </w:rPr>
      </w:pPr>
      <w:r w:rsidRPr="00477EDF">
        <w:rPr>
          <w:rFonts w:eastAsia="Calibri"/>
        </w:rPr>
        <w:t xml:space="preserve">The order from the court on any Rehabilitation or Liquidation would give the receiver (this state’s Commissioner) the authority to marshal and take title to all assets of the insurer’s estate. </w:t>
      </w:r>
    </w:p>
    <w:p w14:paraId="09B9E127" w14:textId="77777777" w:rsidR="00AA6023" w:rsidRPr="00477EDF" w:rsidRDefault="00AA6023" w:rsidP="00AA6023">
      <w:pPr>
        <w:widowControl/>
        <w:tabs>
          <w:tab w:val="left" w:pos="540"/>
        </w:tabs>
        <w:autoSpaceDE/>
        <w:autoSpaceDN/>
        <w:jc w:val="both"/>
        <w:rPr>
          <w:rFonts w:eastAsia="Calibri"/>
          <w:u w:val="single"/>
        </w:rPr>
      </w:pPr>
    </w:p>
    <w:p w14:paraId="3AFF3BFB" w14:textId="77777777" w:rsidR="00AA6023" w:rsidRPr="00477EDF" w:rsidRDefault="00AA6023" w:rsidP="00AA6023">
      <w:pPr>
        <w:widowControl/>
        <w:tabs>
          <w:tab w:val="left" w:pos="540"/>
        </w:tabs>
        <w:autoSpaceDE/>
        <w:autoSpaceDN/>
        <w:jc w:val="both"/>
        <w:rPr>
          <w:rFonts w:eastAsia="Calibri"/>
          <w:u w:val="single"/>
        </w:rPr>
      </w:pPr>
      <w:r w:rsidRPr="00477EDF">
        <w:rPr>
          <w:rFonts w:eastAsia="Calibri"/>
          <w:u w:val="single"/>
        </w:rPr>
        <w:t>Administrative Supervision</w:t>
      </w:r>
    </w:p>
    <w:p w14:paraId="6CACE978" w14:textId="77777777" w:rsidR="00AA6023" w:rsidRPr="00477EDF" w:rsidRDefault="00AA6023" w:rsidP="00AA6023">
      <w:pPr>
        <w:widowControl/>
        <w:tabs>
          <w:tab w:val="left" w:pos="540"/>
        </w:tabs>
        <w:autoSpaceDE/>
        <w:autoSpaceDN/>
        <w:jc w:val="both"/>
        <w:rPr>
          <w:rFonts w:eastAsia="Calibri"/>
        </w:rPr>
      </w:pPr>
      <w:r w:rsidRPr="00477EDF">
        <w:rPr>
          <w:rFonts w:eastAsia="Calibri"/>
        </w:rPr>
        <w:t>[Insurance Code] allows the Commissioner to issue an order of Supervision, directing the insurer to take actions to abate the hazardous conditions as identified by the Commissioner. In this level of action, management and the board of directors remain in place, and continue to run the day-to-day operations subject to the obligation to comply with orders issued by the Commissioner.</w:t>
      </w:r>
    </w:p>
    <w:p w14:paraId="40857FE7" w14:textId="77777777" w:rsidR="00AA6023" w:rsidRPr="00477EDF" w:rsidRDefault="00AA6023" w:rsidP="00AA6023">
      <w:pPr>
        <w:widowControl/>
        <w:tabs>
          <w:tab w:val="left" w:pos="540"/>
        </w:tabs>
        <w:autoSpaceDE/>
        <w:autoSpaceDN/>
        <w:ind w:left="720"/>
        <w:jc w:val="both"/>
        <w:rPr>
          <w:rFonts w:eastAsia="Calibri"/>
        </w:rPr>
      </w:pPr>
    </w:p>
    <w:p w14:paraId="5C889C8E" w14:textId="77777777" w:rsidR="00AA6023" w:rsidRPr="00477EDF" w:rsidRDefault="00AA6023" w:rsidP="00AA6023">
      <w:pPr>
        <w:keepNext/>
        <w:widowControl/>
        <w:tabs>
          <w:tab w:val="left" w:pos="540"/>
        </w:tabs>
        <w:autoSpaceDE/>
        <w:autoSpaceDN/>
        <w:jc w:val="both"/>
        <w:rPr>
          <w:rFonts w:eastAsia="Calibri"/>
          <w:u w:val="single"/>
        </w:rPr>
      </w:pPr>
      <w:r w:rsidRPr="00477EDF">
        <w:rPr>
          <w:rFonts w:eastAsia="Calibri"/>
          <w:u w:val="single"/>
        </w:rPr>
        <w:t>Seizure or Conservation</w:t>
      </w:r>
    </w:p>
    <w:p w14:paraId="7FEAD30A" w14:textId="77777777" w:rsidR="00AA6023" w:rsidRPr="00477EDF" w:rsidRDefault="00AA6023" w:rsidP="00AA6023">
      <w:pPr>
        <w:widowControl/>
        <w:tabs>
          <w:tab w:val="left" w:pos="540"/>
        </w:tabs>
        <w:autoSpaceDE/>
        <w:autoSpaceDN/>
        <w:jc w:val="both"/>
        <w:rPr>
          <w:rFonts w:eastAsia="Calibri"/>
          <w:i/>
          <w:iCs/>
        </w:rPr>
      </w:pPr>
      <w:r w:rsidRPr="00477EDF">
        <w:rPr>
          <w:rFonts w:eastAsia="Calibri"/>
          <w:i/>
          <w:iCs/>
        </w:rPr>
        <w:t>[State laws vary as to the reference to Seizure or Conservation as a delinquency action, as these actions are generally similar. Include the description of the actions available under this state’s law.]</w:t>
      </w:r>
    </w:p>
    <w:p w14:paraId="6EAF3691" w14:textId="77777777" w:rsidR="00AA6023" w:rsidRPr="00477EDF" w:rsidRDefault="00AA6023" w:rsidP="00AA6023">
      <w:pPr>
        <w:widowControl/>
        <w:tabs>
          <w:tab w:val="left" w:pos="540"/>
        </w:tabs>
        <w:autoSpaceDE/>
        <w:autoSpaceDN/>
        <w:jc w:val="both"/>
        <w:rPr>
          <w:rFonts w:eastAsia="Calibri"/>
          <w:i/>
          <w:iCs/>
        </w:rPr>
      </w:pPr>
    </w:p>
    <w:p w14:paraId="52CD5654" w14:textId="77777777" w:rsidR="00AA6023" w:rsidRPr="00477EDF" w:rsidRDefault="00AA6023" w:rsidP="00AA6023">
      <w:pPr>
        <w:widowControl/>
        <w:tabs>
          <w:tab w:val="left" w:pos="540"/>
        </w:tabs>
        <w:autoSpaceDE/>
        <w:autoSpaceDN/>
        <w:jc w:val="both"/>
        <w:rPr>
          <w:rFonts w:eastAsia="Calibri"/>
        </w:rPr>
      </w:pPr>
      <w:r w:rsidRPr="00477EDF">
        <w:rPr>
          <w:rFonts w:eastAsia="Calibri"/>
        </w:rPr>
        <w:t xml:space="preserve">Another possible regulatory action is an order of Seizure [or Conservation]. This order is used to ensure assets remain in place and under control of the receiver and the general supervision of the court. This order </w:t>
      </w:r>
      <w:proofErr w:type="gramStart"/>
      <w:r w:rsidRPr="00477EDF">
        <w:rPr>
          <w:rFonts w:eastAsia="Calibri"/>
        </w:rPr>
        <w:t>would</w:t>
      </w:r>
      <w:proofErr w:type="gramEnd"/>
      <w:r w:rsidRPr="00477EDF">
        <w:rPr>
          <w:rFonts w:eastAsia="Calibri"/>
        </w:rPr>
        <w:t xml:space="preserve"> be issued by a judge at the [Name of Court].  [This state] would pursue the order privately in chambers with the judge, and not in a public forum or even with the company present. The company would have the right to contest the order after it is issued. Generally, this action gives the receiver the ability to control the assets but does not remove management or the board from running the day-to-day operations. </w:t>
      </w:r>
    </w:p>
    <w:p w14:paraId="2A75C5E2" w14:textId="77777777" w:rsidR="00AA6023" w:rsidRPr="00477EDF" w:rsidRDefault="00AA6023" w:rsidP="00AA6023">
      <w:pPr>
        <w:widowControl/>
        <w:tabs>
          <w:tab w:val="left" w:pos="540"/>
        </w:tabs>
        <w:autoSpaceDE/>
        <w:autoSpaceDN/>
        <w:ind w:left="720"/>
        <w:jc w:val="both"/>
        <w:rPr>
          <w:rFonts w:eastAsia="Calibri"/>
        </w:rPr>
      </w:pPr>
    </w:p>
    <w:p w14:paraId="03354220" w14:textId="77777777" w:rsidR="00AA6023" w:rsidRPr="00477EDF" w:rsidRDefault="00AA6023" w:rsidP="00AA6023">
      <w:pPr>
        <w:keepNext/>
        <w:widowControl/>
        <w:tabs>
          <w:tab w:val="left" w:pos="540"/>
        </w:tabs>
        <w:autoSpaceDE/>
        <w:autoSpaceDN/>
        <w:jc w:val="both"/>
        <w:rPr>
          <w:rFonts w:eastAsia="Calibri"/>
          <w:u w:val="single"/>
        </w:rPr>
      </w:pPr>
      <w:r w:rsidRPr="00477EDF">
        <w:rPr>
          <w:rFonts w:eastAsia="Calibri"/>
          <w:u w:val="single"/>
        </w:rPr>
        <w:t>Rehabilitation</w:t>
      </w:r>
    </w:p>
    <w:p w14:paraId="2D3682FE" w14:textId="77777777" w:rsidR="00AA6023" w:rsidRPr="00477EDF" w:rsidRDefault="00AA6023" w:rsidP="00AA6023">
      <w:pPr>
        <w:widowControl/>
        <w:tabs>
          <w:tab w:val="left" w:pos="540"/>
        </w:tabs>
        <w:autoSpaceDE/>
        <w:autoSpaceDN/>
        <w:jc w:val="both"/>
        <w:rPr>
          <w:rFonts w:eastAsia="Calibri"/>
        </w:rPr>
      </w:pPr>
      <w:r w:rsidRPr="00477EDF">
        <w:rPr>
          <w:rFonts w:eastAsia="Calibri"/>
        </w:rPr>
        <w:t xml:space="preserve">An order of Rehabilitation is sought when the Commissioner wants </w:t>
      </w:r>
      <w:proofErr w:type="gramStart"/>
      <w:r w:rsidRPr="00477EDF">
        <w:rPr>
          <w:rFonts w:eastAsia="Calibri"/>
        </w:rPr>
        <w:t>a period of time</w:t>
      </w:r>
      <w:proofErr w:type="gramEnd"/>
      <w:r w:rsidRPr="00477EDF">
        <w:rPr>
          <w:rFonts w:eastAsia="Calibri"/>
        </w:rPr>
        <w:t xml:space="preserve"> to evaluate whether actions can be taken to restore or transform the insurer and restore financial stability. The receiver is then granted authority to marshal and take title to all assets of the insurer’s estate and runs the day-to-day operations. An Order of Rehabilitation and Plan of Rehabilitation will be tailored to the specific circumstances around the rehabilitation and the goals of the receiver. In most U.S. jurisdictions, the Commissioner serves as receiver. (The appointment of deputy receivers and other consultants is discussed below.)  </w:t>
      </w:r>
    </w:p>
    <w:p w14:paraId="1F4C1B0D" w14:textId="77777777" w:rsidR="00AA6023" w:rsidRPr="00477EDF" w:rsidRDefault="00AA6023" w:rsidP="00AA6023">
      <w:pPr>
        <w:widowControl/>
        <w:tabs>
          <w:tab w:val="left" w:pos="540"/>
        </w:tabs>
        <w:autoSpaceDE/>
        <w:autoSpaceDN/>
        <w:ind w:left="720"/>
        <w:jc w:val="both"/>
        <w:rPr>
          <w:rFonts w:eastAsia="Calibri"/>
        </w:rPr>
      </w:pPr>
    </w:p>
    <w:p w14:paraId="45B684DC" w14:textId="77777777" w:rsidR="00AA6023" w:rsidRPr="00477EDF" w:rsidRDefault="00AA6023" w:rsidP="00AA6023">
      <w:pPr>
        <w:widowControl/>
        <w:tabs>
          <w:tab w:val="left" w:pos="540"/>
        </w:tabs>
        <w:autoSpaceDE/>
        <w:autoSpaceDN/>
        <w:jc w:val="both"/>
        <w:rPr>
          <w:rFonts w:eastAsia="Calibri"/>
          <w:u w:val="single"/>
        </w:rPr>
      </w:pPr>
      <w:r w:rsidRPr="00477EDF">
        <w:rPr>
          <w:rFonts w:eastAsia="Calibri"/>
          <w:u w:val="single"/>
        </w:rPr>
        <w:t>Liquidation</w:t>
      </w:r>
    </w:p>
    <w:p w14:paraId="0613BC2D" w14:textId="77777777" w:rsidR="00AA6023" w:rsidRPr="00477EDF" w:rsidRDefault="00AA6023" w:rsidP="00AA6023">
      <w:pPr>
        <w:widowControl/>
        <w:tabs>
          <w:tab w:val="left" w:pos="540"/>
        </w:tabs>
        <w:autoSpaceDE/>
        <w:autoSpaceDN/>
        <w:jc w:val="both"/>
        <w:rPr>
          <w:rFonts w:eastAsia="Calibri"/>
        </w:rPr>
      </w:pPr>
      <w:r w:rsidRPr="00477EDF">
        <w:rPr>
          <w:rFonts w:eastAsia="Calibri"/>
        </w:rPr>
        <w:t xml:space="preserve">An order of Liquidation is sought when the Commissioner determines that (further) efforts to rehabilitate the insurer would be futile or increase the risk of harm to policyholders, creditors or the public, and the best option to protect policyholders, creditors, and the public is to liquidate the insurer. In a Liquidation, all new and renewal business ceases. However, for life insurance, health insurance (including long-term care) and annuities, policies and contracts will be continued by the guaranty associations in accordance with the terms of the policies and contracts and applicable guaranty association statutes. Again, the receiver is granted authority to marshal and take title to all assets of the insurer’s estate. The liquidation order would also place a temporary stay </w:t>
      </w:r>
      <w:proofErr w:type="gramStart"/>
      <w:r w:rsidRPr="00477EDF">
        <w:rPr>
          <w:rFonts w:eastAsia="Calibri"/>
        </w:rPr>
        <w:t>on</w:t>
      </w:r>
      <w:proofErr w:type="gramEnd"/>
      <w:r w:rsidRPr="00477EDF">
        <w:rPr>
          <w:rFonts w:eastAsia="Calibri"/>
        </w:rPr>
        <w:t xml:space="preserve"> any litigation. The Board of Director’s powers would be suspended, and the receiver </w:t>
      </w:r>
      <w:r w:rsidRPr="00477EDF">
        <w:rPr>
          <w:rFonts w:eastAsia="Calibri"/>
        </w:rPr>
        <w:lastRenderedPageBreak/>
        <w:t>placed in charge of running the day-to-day operations. Some or all the insurer’s upper management could be terminated as determined by the receiver.</w:t>
      </w:r>
    </w:p>
    <w:p w14:paraId="3E26AC11" w14:textId="77777777" w:rsidR="00AA6023" w:rsidRPr="00477EDF" w:rsidRDefault="00AA6023" w:rsidP="00AA6023">
      <w:pPr>
        <w:widowControl/>
        <w:tabs>
          <w:tab w:val="left" w:pos="540"/>
        </w:tabs>
        <w:autoSpaceDE/>
        <w:autoSpaceDN/>
        <w:ind w:left="720"/>
        <w:jc w:val="both"/>
        <w:rPr>
          <w:rFonts w:eastAsia="Calibri"/>
        </w:rPr>
      </w:pPr>
    </w:p>
    <w:p w14:paraId="6CA3D7F9" w14:textId="77777777" w:rsidR="00AA6023" w:rsidRPr="00477EDF" w:rsidRDefault="00AA6023" w:rsidP="00AA6023">
      <w:pPr>
        <w:widowControl/>
        <w:tabs>
          <w:tab w:val="left" w:pos="540"/>
        </w:tabs>
        <w:autoSpaceDE/>
        <w:autoSpaceDN/>
        <w:jc w:val="both"/>
        <w:rPr>
          <w:rFonts w:eastAsia="Calibri"/>
        </w:rPr>
      </w:pPr>
      <w:r w:rsidRPr="00477EDF">
        <w:rPr>
          <w:rFonts w:eastAsia="Calibri"/>
        </w:rPr>
        <w:t>In all the above actions, dividends would cease, and it is likely [this state] would have stopped any dividends prior to the deterioration in financial condition to the point where regulatory action was necessary. Even in the ordinary course of business, an insurer may not pay extraordinary dividends without the prior approval of the Commissioner, .and the Commissioner has broad authority to object to ordinary dividends for cause.</w:t>
      </w:r>
    </w:p>
    <w:p w14:paraId="64A15674" w14:textId="77777777" w:rsidR="00AA6023" w:rsidRPr="00477EDF" w:rsidRDefault="00AA6023" w:rsidP="00AA6023">
      <w:pPr>
        <w:widowControl/>
        <w:tabs>
          <w:tab w:val="left" w:pos="540"/>
        </w:tabs>
        <w:autoSpaceDE/>
        <w:autoSpaceDN/>
        <w:jc w:val="both"/>
        <w:rPr>
          <w:rFonts w:eastAsia="Calibri"/>
        </w:rPr>
      </w:pPr>
    </w:p>
    <w:p w14:paraId="1C7E88AB" w14:textId="77777777" w:rsidR="00AA6023" w:rsidRPr="00477EDF" w:rsidRDefault="00AA6023" w:rsidP="00AA6023">
      <w:pPr>
        <w:widowControl/>
        <w:tabs>
          <w:tab w:val="left" w:pos="540"/>
        </w:tabs>
        <w:autoSpaceDE/>
        <w:autoSpaceDN/>
        <w:jc w:val="both"/>
        <w:rPr>
          <w:rFonts w:eastAsia="Calibri"/>
        </w:rPr>
      </w:pPr>
    </w:p>
    <w:p w14:paraId="3D4DCA82" w14:textId="77777777" w:rsidR="00AA6023" w:rsidRPr="00477EDF" w:rsidRDefault="00AA6023" w:rsidP="00AA6023">
      <w:pPr>
        <w:widowControl/>
        <w:pBdr>
          <w:bottom w:val="single" w:sz="4" w:space="1" w:color="auto"/>
        </w:pBdr>
        <w:autoSpaceDE/>
        <w:autoSpaceDN/>
        <w:jc w:val="both"/>
        <w:rPr>
          <w:rFonts w:eastAsia="Calibri"/>
          <w:b/>
          <w:smallCaps/>
        </w:rPr>
      </w:pPr>
      <w:r w:rsidRPr="00477EDF">
        <w:rPr>
          <w:rFonts w:eastAsia="Calibri"/>
          <w:b/>
          <w:smallCaps/>
        </w:rPr>
        <w:t>Analysis of Delinquency and Resolution Actions</w:t>
      </w:r>
    </w:p>
    <w:p w14:paraId="6C5EB484" w14:textId="77777777" w:rsidR="00AA6023" w:rsidRPr="00477EDF" w:rsidRDefault="00AA6023" w:rsidP="00AA6023">
      <w:pPr>
        <w:widowControl/>
        <w:autoSpaceDE/>
        <w:autoSpaceDN/>
        <w:jc w:val="both"/>
        <w:rPr>
          <w:rFonts w:eastAsia="Calibri"/>
        </w:rPr>
      </w:pPr>
      <w:r w:rsidRPr="00477EDF">
        <w:rPr>
          <w:rFonts w:eastAsia="Calibri"/>
        </w:rPr>
        <w:t xml:space="preserve">The following summarizes key elements of each of the delinquency or resolution actions available in [this state]. Notwithstanding the following, each receivership situation and cause is often unique to the insolvent entity. An analysis must be quickly made, and a plan developed for dealing with any event. The plan must also be continually reviewed and adjusted as events unfold. </w:t>
      </w:r>
    </w:p>
    <w:p w14:paraId="08401D40" w14:textId="77777777" w:rsidR="00AA6023" w:rsidRPr="00477EDF" w:rsidRDefault="00AA6023" w:rsidP="00AA6023">
      <w:pPr>
        <w:widowControl/>
        <w:tabs>
          <w:tab w:val="left" w:pos="540"/>
        </w:tabs>
        <w:autoSpaceDE/>
        <w:autoSpaceDN/>
        <w:jc w:val="both"/>
        <w:rPr>
          <w:rFonts w:eastAsia="Calibri"/>
        </w:rPr>
      </w:pPr>
    </w:p>
    <w:p w14:paraId="1EAEC5F1" w14:textId="77777777" w:rsidR="00AA6023" w:rsidRPr="00477EDF" w:rsidRDefault="00AA6023" w:rsidP="00AA6023">
      <w:pPr>
        <w:widowControl/>
        <w:numPr>
          <w:ilvl w:val="0"/>
          <w:numId w:val="3"/>
        </w:numPr>
        <w:pBdr>
          <w:bottom w:val="single" w:sz="4" w:space="1" w:color="auto"/>
        </w:pBdr>
        <w:autoSpaceDE/>
        <w:autoSpaceDN/>
        <w:spacing w:after="240"/>
        <w:contextualSpacing/>
        <w:jc w:val="both"/>
        <w:rPr>
          <w:rFonts w:eastAsia="Calibri"/>
          <w:b/>
          <w:smallCaps/>
        </w:rPr>
      </w:pPr>
      <w:r w:rsidRPr="00477EDF">
        <w:rPr>
          <w:rFonts w:eastAsia="Calibri"/>
          <w:b/>
          <w:smallCaps/>
        </w:rPr>
        <w:t>Order of Supervision</w:t>
      </w:r>
    </w:p>
    <w:p w14:paraId="31EC700A" w14:textId="77777777" w:rsidR="00AA6023" w:rsidRPr="00477EDF" w:rsidRDefault="00AA6023" w:rsidP="00AA6023">
      <w:pPr>
        <w:widowControl/>
        <w:tabs>
          <w:tab w:val="left" w:pos="540"/>
        </w:tabs>
        <w:autoSpaceDE/>
        <w:autoSpaceDN/>
        <w:ind w:left="720"/>
        <w:jc w:val="both"/>
        <w:rPr>
          <w:rFonts w:eastAsia="Calibri"/>
        </w:rPr>
      </w:pPr>
    </w:p>
    <w:p w14:paraId="56930008" w14:textId="77777777" w:rsidR="00AA6023" w:rsidRPr="00477EDF" w:rsidRDefault="00AA6023" w:rsidP="00AA6023">
      <w:pPr>
        <w:widowControl/>
        <w:adjustRightInd w:val="0"/>
        <w:jc w:val="both"/>
        <w:rPr>
          <w:rFonts w:eastAsia="Calibri"/>
        </w:rPr>
      </w:pPr>
      <w:r w:rsidRPr="00477EDF">
        <w:rPr>
          <w:rFonts w:eastAsia="Calibri"/>
        </w:rPr>
        <w:t>Supervision is the least severe delinquency action. It is dependent on correctly identifying the causes of the hazardous financial condition and taking efficient and timely actions to correct them. The correct identification of problem areas and developing an effective correction action plan is dependent on the skill and cooperation of the company employees, management, and board of directors, as well as having an adequate company infrastructure (e.g., IT systems) in place. Another factor to consider is the unexpected severity of the hazardous conditions. Administrative supervision orders are sometimes useful in temporarily stabilizing a deteriorating situation prior to the entry of an order of conservation, rehabilitation, or liquidation.</w:t>
      </w:r>
    </w:p>
    <w:p w14:paraId="607508EC" w14:textId="77777777" w:rsidR="00AA6023" w:rsidRPr="00477EDF" w:rsidRDefault="00AA6023" w:rsidP="00AA6023">
      <w:pPr>
        <w:widowControl/>
        <w:autoSpaceDE/>
        <w:autoSpaceDN/>
        <w:ind w:left="360"/>
        <w:jc w:val="both"/>
        <w:rPr>
          <w:rFonts w:eastAsia="Calibri"/>
        </w:rPr>
      </w:pPr>
    </w:p>
    <w:p w14:paraId="04E433A8"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The Order</w:t>
      </w:r>
    </w:p>
    <w:p w14:paraId="419E796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[Insurance Code] allows the Commissioner to issue an order of Supervision, which allows the Commissioner to order the insurer to take actions to abate the hazardous conditions identified by the Commissioner. Under Supervision there is no judicial oversight. </w:t>
      </w:r>
      <w:r w:rsidRPr="00477EDF">
        <w:rPr>
          <w:rFonts w:eastAsia="Calibri"/>
          <w:i/>
          <w:iCs/>
        </w:rPr>
        <w:t>[If judicial action is required in this state, replace applicable language.]</w:t>
      </w:r>
    </w:p>
    <w:p w14:paraId="77A4B8FD"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The Supervision order provides an [</w:t>
      </w:r>
      <w:r w:rsidRPr="00477EDF">
        <w:rPr>
          <w:rFonts w:eastAsia="Calibri"/>
          <w:i/>
          <w:iCs/>
        </w:rPr>
        <w:t>Insert timeframe</w:t>
      </w:r>
      <w:r w:rsidRPr="00477EDF">
        <w:rPr>
          <w:rFonts w:eastAsia="Calibri"/>
        </w:rPr>
        <w:t xml:space="preserve">] for the company to abate the hazardous conditions. The Commissioner may determine to extend the Supervision timeframe dependent on the company’s progress in abating the hazardous conditions or, if satisfactory progress has not been met, place the company in a more stringent delinquency proceeding (i.e., seizure, conservation, rehabilitation, liquidation). The Commissioner may also decide to suspend, revoke, or limit the company’s certificate of authority to do business. </w:t>
      </w:r>
    </w:p>
    <w:p w14:paraId="0559A7D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Supervision does not vest control or title of the company’s assets under the Commissioner. </w:t>
      </w:r>
    </w:p>
    <w:p w14:paraId="5B87B199"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Supervision typically is a confidential proceeding, allowing the Commissioner to work with the company to correct the hazardous financial conditions without raising concerns of policyholders, creditors, or others.  </w:t>
      </w:r>
    </w:p>
    <w:p w14:paraId="7FB52F04" w14:textId="77777777" w:rsidR="00AA6023" w:rsidRPr="00477EDF" w:rsidRDefault="00AA6023" w:rsidP="00AA6023">
      <w:pPr>
        <w:widowControl/>
        <w:numPr>
          <w:ilvl w:val="0"/>
          <w:numId w:val="1"/>
        </w:numPr>
        <w:autoSpaceDE/>
        <w:autoSpaceDN/>
        <w:spacing w:after="240"/>
        <w:ind w:left="720"/>
        <w:contextualSpacing/>
        <w:jc w:val="both"/>
        <w:rPr>
          <w:rFonts w:eastAsia="Calibri"/>
          <w:u w:val="single"/>
        </w:rPr>
      </w:pPr>
      <w:r w:rsidRPr="00477EDF">
        <w:rPr>
          <w:rFonts w:eastAsia="Calibri"/>
          <w:i/>
          <w:iCs/>
        </w:rPr>
        <w:t>[Consider other risk scenario specific comments.]</w:t>
      </w:r>
    </w:p>
    <w:p w14:paraId="64D9B6FE" w14:textId="77777777" w:rsidR="00AA6023" w:rsidRPr="00477EDF" w:rsidRDefault="00AA6023" w:rsidP="00AA6023">
      <w:pPr>
        <w:widowControl/>
        <w:autoSpaceDE/>
        <w:autoSpaceDN/>
        <w:ind w:left="720" w:hanging="360"/>
        <w:jc w:val="both"/>
        <w:rPr>
          <w:rFonts w:eastAsia="Calibri"/>
        </w:rPr>
      </w:pPr>
    </w:p>
    <w:p w14:paraId="0F4E28EF"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Operations of a Supervision</w:t>
      </w:r>
      <w:r w:rsidRPr="00477EDF">
        <w:rPr>
          <w:rFonts w:eastAsia="Calibri"/>
        </w:rPr>
        <w:t xml:space="preserve"> </w:t>
      </w:r>
      <w:r w:rsidRPr="00477EDF">
        <w:rPr>
          <w:rFonts w:eastAsia="Calibri"/>
          <w:u w:val="single"/>
        </w:rPr>
        <w:t>(subject to specific content of an order)</w:t>
      </w:r>
    </w:p>
    <w:p w14:paraId="44851990"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company continues to write and renew business and pay claims in the ordinary course of business subject to any corrective actions necessary to abate the causes of the hazardous financial condition. </w:t>
      </w:r>
    </w:p>
    <w:p w14:paraId="413280C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General creditors and vendors are also paid in the ordinary course of business. </w:t>
      </w:r>
    </w:p>
    <w:p w14:paraId="498244F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company’s board of directors and present management generally remain in place.</w:t>
      </w:r>
    </w:p>
    <w:p w14:paraId="259D14FF" w14:textId="77777777" w:rsidR="00AA6023" w:rsidRPr="00477EDF" w:rsidRDefault="00AA6023" w:rsidP="00AA6023">
      <w:pPr>
        <w:widowControl/>
        <w:autoSpaceDE/>
        <w:autoSpaceDN/>
        <w:ind w:left="720" w:hanging="360"/>
        <w:jc w:val="both"/>
        <w:rPr>
          <w:rFonts w:eastAsia="Calibri"/>
        </w:rPr>
      </w:pPr>
      <w:r w:rsidRPr="00477EDF">
        <w:rPr>
          <w:rFonts w:eastAsia="Calibri"/>
        </w:rPr>
        <w:lastRenderedPageBreak/>
        <w:t>•</w:t>
      </w:r>
      <w:r w:rsidRPr="00477EDF">
        <w:rPr>
          <w:rFonts w:eastAsia="Calibri"/>
        </w:rPr>
        <w:tab/>
        <w:t xml:space="preserve">The Supervisor (designated by the Commissioner) would meet with company management to ensure they understood the supervision order and the hazardous conditions that needed to be abated. The Supervisor would request the company develop a corrective action plan to address each specific hazardous condition along with a projected implementation timeframe. The Supervisor would then have ongoing meetings with company management to monitor progress </w:t>
      </w:r>
      <w:proofErr w:type="gramStart"/>
      <w:r w:rsidRPr="00477EDF">
        <w:rPr>
          <w:rFonts w:eastAsia="Calibri"/>
        </w:rPr>
        <w:t>and also</w:t>
      </w:r>
      <w:proofErr w:type="gramEnd"/>
      <w:r w:rsidRPr="00477EDF">
        <w:rPr>
          <w:rFonts w:eastAsia="Calibri"/>
        </w:rPr>
        <w:t xml:space="preserve"> verify the results of the corrective actions. </w:t>
      </w:r>
    </w:p>
    <w:p w14:paraId="163B3CE0"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In Supervision there would be no changes to policy benefits or coverage. </w:t>
      </w:r>
    </w:p>
    <w:p w14:paraId="799B26B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Supervisor would be empowered to prohibit the insurer from certain actions without prior approval, such as:  dispose, convey or encumber any of its assets or business in force; close bank accounts; lend or invest funds; terminate or </w:t>
      </w:r>
      <w:proofErr w:type="gramStart"/>
      <w:r w:rsidRPr="00477EDF">
        <w:rPr>
          <w:rFonts w:eastAsia="Calibri"/>
        </w:rPr>
        <w:t>enter into</w:t>
      </w:r>
      <w:proofErr w:type="gramEnd"/>
      <w:r w:rsidRPr="00477EDF">
        <w:rPr>
          <w:rFonts w:eastAsia="Calibri"/>
        </w:rPr>
        <w:t xml:space="preserve"> new reinsurance transactions; transfer property; incur debt; merger or consolidate with another insurer. </w:t>
      </w:r>
    </w:p>
    <w:p w14:paraId="5029A71A" w14:textId="77777777" w:rsidR="00AA6023" w:rsidRPr="00477EDF" w:rsidRDefault="00AA6023" w:rsidP="00AA6023">
      <w:pPr>
        <w:widowControl/>
        <w:autoSpaceDE/>
        <w:autoSpaceDN/>
        <w:ind w:left="720"/>
        <w:contextualSpacing/>
        <w:jc w:val="both"/>
        <w:rPr>
          <w:rFonts w:eastAsia="Calibri"/>
          <w:u w:val="single"/>
        </w:rPr>
      </w:pPr>
    </w:p>
    <w:p w14:paraId="68FC8242" w14:textId="77777777" w:rsidR="00AA6023" w:rsidRPr="00477EDF" w:rsidRDefault="00AA6023" w:rsidP="00AA6023">
      <w:pPr>
        <w:widowControl/>
        <w:autoSpaceDE/>
        <w:autoSpaceDN/>
        <w:jc w:val="both"/>
        <w:rPr>
          <w:rFonts w:eastAsia="Calibri"/>
          <w:u w:val="single"/>
        </w:rPr>
      </w:pPr>
      <w:r w:rsidRPr="00477EDF">
        <w:rPr>
          <w:rFonts w:eastAsia="Calibri"/>
          <w:u w:val="single"/>
        </w:rPr>
        <w:t>Confidentiality and Notification/Communication</w:t>
      </w:r>
    </w:p>
    <w:p w14:paraId="3A1E1ACF" w14:textId="77777777" w:rsidR="00AA6023" w:rsidRPr="00477EDF" w:rsidRDefault="00AA6023" w:rsidP="00AA6023">
      <w:pPr>
        <w:widowControl/>
        <w:autoSpaceDE/>
        <w:autoSpaceDN/>
        <w:ind w:left="720" w:hanging="360"/>
        <w:jc w:val="both"/>
        <w:rPr>
          <w:rFonts w:eastAsia="Calibri"/>
        </w:rPr>
      </w:pPr>
    </w:p>
    <w:p w14:paraId="2FF74234" w14:textId="77777777" w:rsidR="00AA6023" w:rsidRPr="00477EDF" w:rsidRDefault="00AA6023" w:rsidP="00AA6023">
      <w:pPr>
        <w:widowControl/>
        <w:numPr>
          <w:ilvl w:val="0"/>
          <w:numId w:val="5"/>
        </w:numPr>
        <w:autoSpaceDE/>
        <w:autoSpaceDN/>
        <w:spacing w:after="240"/>
        <w:ind w:left="720"/>
        <w:contextualSpacing/>
        <w:jc w:val="both"/>
        <w:rPr>
          <w:rFonts w:eastAsia="Calibri"/>
        </w:rPr>
      </w:pPr>
      <w:r w:rsidRPr="00477EDF">
        <w:rPr>
          <w:rFonts w:eastAsia="Calibri"/>
        </w:rPr>
        <w:t>The Supervisor would be responsible for providing updates to the Commissioner and impacted parties covered by the confidentiality provisions. [</w:t>
      </w:r>
      <w:r w:rsidRPr="00477EDF">
        <w:rPr>
          <w:rFonts w:eastAsia="Calibri"/>
          <w:i/>
          <w:iCs/>
        </w:rPr>
        <w:t>Insert a comment on the confidentiality of supervision orders in this state, such as</w:t>
      </w:r>
      <w:r w:rsidRPr="00477EDF">
        <w:rPr>
          <w:rFonts w:eastAsia="Calibri"/>
        </w:rPr>
        <w:t xml:space="preserve"> “</w:t>
      </w:r>
      <w:r w:rsidRPr="00477EDF">
        <w:rPr>
          <w:rFonts w:eastAsia="Calibri"/>
          <w:i/>
          <w:iCs/>
        </w:rPr>
        <w:t>Supervision orders are confidential, and the order may be shared with limited parties as designated by statute. Those parties include but are not limited to guaranty associations, reinsurers, insurance regulatory officials and debtors and creditors of the company and its affiliates. These parties are required to keep the Supervision confidential.”]</w:t>
      </w:r>
    </w:p>
    <w:p w14:paraId="3BB397E9" w14:textId="77777777" w:rsidR="00AA6023" w:rsidRPr="00477EDF" w:rsidRDefault="00AA6023" w:rsidP="00AA6023">
      <w:pPr>
        <w:widowControl/>
        <w:numPr>
          <w:ilvl w:val="0"/>
          <w:numId w:val="5"/>
        </w:numPr>
        <w:autoSpaceDE/>
        <w:autoSpaceDN/>
        <w:spacing w:after="240"/>
        <w:ind w:left="720"/>
        <w:contextualSpacing/>
        <w:jc w:val="both"/>
        <w:rPr>
          <w:rFonts w:eastAsia="Calibri"/>
          <w:i/>
          <w:iCs/>
        </w:rPr>
      </w:pPr>
      <w:r w:rsidRPr="00477EDF">
        <w:rPr>
          <w:rFonts w:eastAsia="Calibri"/>
        </w:rPr>
        <w:t xml:space="preserve">The Commissioner would coordinate actions with </w:t>
      </w:r>
      <w:r w:rsidRPr="00477EDF">
        <w:rPr>
          <w:rFonts w:eastAsia="Calibri"/>
          <w:i/>
          <w:iCs/>
        </w:rPr>
        <w:t>[Insert name(s) of other state insurance departments where multiple insurers are domiciled in multiple states, and federal and international supervisors, as applicable].</w:t>
      </w:r>
    </w:p>
    <w:p w14:paraId="73D7A95F" w14:textId="77777777" w:rsidR="00AA6023" w:rsidRPr="00477EDF" w:rsidRDefault="00AA6023" w:rsidP="00AA6023">
      <w:pPr>
        <w:widowControl/>
        <w:numPr>
          <w:ilvl w:val="0"/>
          <w:numId w:val="5"/>
        </w:numPr>
        <w:autoSpaceDE/>
        <w:autoSpaceDN/>
        <w:spacing w:after="240"/>
        <w:ind w:left="720"/>
        <w:contextualSpacing/>
        <w:jc w:val="both"/>
        <w:rPr>
          <w:rFonts w:eastAsia="Calibri"/>
        </w:rPr>
      </w:pPr>
      <w:r w:rsidRPr="00477EDF">
        <w:rPr>
          <w:rFonts w:eastAsia="Calibri"/>
        </w:rPr>
        <w:t xml:space="preserve">The Commissioner would inform </w:t>
      </w:r>
      <w:bookmarkStart w:id="0" w:name="_Hlk138918919"/>
      <w:r w:rsidRPr="00477EDF">
        <w:rPr>
          <w:rFonts w:eastAsia="Calibri"/>
        </w:rPr>
        <w:t xml:space="preserve">those parties </w:t>
      </w:r>
      <w:r w:rsidRPr="00477EDF">
        <w:rPr>
          <w:rFonts w:eastAsia="Calibri"/>
          <w:i/>
          <w:iCs/>
        </w:rPr>
        <w:t>[or insert a list]</w:t>
      </w:r>
      <w:r w:rsidRPr="00477EDF">
        <w:rPr>
          <w:rFonts w:eastAsia="Calibri"/>
        </w:rPr>
        <w:t xml:space="preserve"> covered by the statute’s confidentiality</w:t>
      </w:r>
      <w:bookmarkEnd w:id="0"/>
      <w:r w:rsidRPr="00477EDF">
        <w:rPr>
          <w:rFonts w:eastAsia="Calibri"/>
        </w:rPr>
        <w:t xml:space="preserve">, as to the provisions of the Supervision order. </w:t>
      </w:r>
    </w:p>
    <w:p w14:paraId="338998A6" w14:textId="77777777" w:rsidR="00AA6023" w:rsidRPr="00477EDF" w:rsidRDefault="00AA6023" w:rsidP="00AA6023">
      <w:pPr>
        <w:widowControl/>
        <w:numPr>
          <w:ilvl w:val="0"/>
          <w:numId w:val="5"/>
        </w:numPr>
        <w:autoSpaceDE/>
        <w:autoSpaceDN/>
        <w:spacing w:after="240"/>
        <w:ind w:left="720"/>
        <w:contextualSpacing/>
        <w:jc w:val="both"/>
        <w:rPr>
          <w:rFonts w:eastAsia="Calibri"/>
        </w:rPr>
      </w:pPr>
      <w:r w:rsidRPr="00477EDF">
        <w:rPr>
          <w:rFonts w:eastAsia="Calibri"/>
        </w:rPr>
        <w:t>Under Supervision, guaranty associations are not triggered. However, the Supervisor may discuss the Supervision with the guaranty associations, where the guaranty associations are covered by [</w:t>
      </w:r>
      <w:r w:rsidRPr="00477EDF">
        <w:rPr>
          <w:rFonts w:eastAsia="Calibri"/>
          <w:i/>
          <w:iCs/>
        </w:rPr>
        <w:t xml:space="preserve">the state’s confidentiality statute or confidentiality agreements]. </w:t>
      </w:r>
      <w:r w:rsidRPr="00477EDF">
        <w:rPr>
          <w:rFonts w:eastAsia="Calibri"/>
        </w:rPr>
        <w:t>In Supervision, the notification to [</w:t>
      </w:r>
      <w:r w:rsidRPr="00477EDF">
        <w:rPr>
          <w:rFonts w:eastAsia="Calibri"/>
          <w:i/>
          <w:iCs/>
        </w:rPr>
        <w:t>NOLHGA or NCIGF</w:t>
      </w:r>
      <w:r w:rsidRPr="00477EDF">
        <w:rPr>
          <w:rFonts w:eastAsia="Calibri"/>
        </w:rPr>
        <w:t>] and the guaranty associations of the existence of a Supervision order acts as a notice of a potential liquidation that may trigger coverage should the insurer’s financial condition worsen, or the insurer does not successfully abate the conditions of the Supervision order and a more severe resolution action becomes necessary.</w:t>
      </w:r>
    </w:p>
    <w:p w14:paraId="40B1EAF3" w14:textId="77777777" w:rsidR="00AA6023" w:rsidRPr="00477EDF" w:rsidRDefault="00AA6023" w:rsidP="00AA6023">
      <w:pPr>
        <w:widowControl/>
        <w:autoSpaceDE/>
        <w:autoSpaceDN/>
        <w:ind w:left="720" w:hanging="360"/>
        <w:jc w:val="both"/>
        <w:rPr>
          <w:rFonts w:eastAsia="Calibri"/>
        </w:rPr>
      </w:pPr>
    </w:p>
    <w:p w14:paraId="048F5388" w14:textId="77777777" w:rsidR="00AA6023" w:rsidRPr="00477EDF" w:rsidRDefault="00AA6023" w:rsidP="00AA6023">
      <w:pPr>
        <w:widowControl/>
        <w:autoSpaceDE/>
        <w:autoSpaceDN/>
        <w:jc w:val="both"/>
        <w:rPr>
          <w:rFonts w:eastAsia="Calibri"/>
          <w:u w:val="single"/>
        </w:rPr>
      </w:pPr>
      <w:r w:rsidRPr="00477EDF">
        <w:rPr>
          <w:rFonts w:eastAsia="Calibri"/>
          <w:u w:val="single"/>
        </w:rPr>
        <w:t>Oversight of Supervision</w:t>
      </w:r>
    </w:p>
    <w:p w14:paraId="0984476D" w14:textId="77777777" w:rsidR="00AA6023" w:rsidRPr="00477EDF" w:rsidRDefault="00AA6023" w:rsidP="00AA6023">
      <w:pPr>
        <w:widowControl/>
        <w:autoSpaceDE/>
        <w:autoSpaceDN/>
        <w:ind w:left="720" w:hanging="360"/>
        <w:jc w:val="both"/>
        <w:rPr>
          <w:rFonts w:eastAsia="Calibri"/>
        </w:rPr>
      </w:pPr>
    </w:p>
    <w:p w14:paraId="32B4CADC"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In a Supervision, the Commissioner generally designates an internal or external party as supervisor to oversee and monitor the company’s progress in developing and implementing corrective actions necessary to abate the hazardous financial conditions. The Supervisor interacts with company management and provides the Commissioner and interested parties with progress reports.</w:t>
      </w:r>
    </w:p>
    <w:p w14:paraId="5CD71E7B"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 xml:space="preserve"> The Commissioner may hire an external Supervisor to monitor and oversee the Supervision. [</w:t>
      </w:r>
      <w:r w:rsidRPr="00477EDF">
        <w:rPr>
          <w:rFonts w:eastAsia="Calibri"/>
          <w:i/>
          <w:iCs/>
        </w:rPr>
        <w:t>Insert the state’s rule on compensation, such as</w:t>
      </w:r>
      <w:r w:rsidRPr="00477EDF">
        <w:rPr>
          <w:rFonts w:eastAsia="Calibri"/>
        </w:rPr>
        <w:t xml:space="preserve"> “</w:t>
      </w:r>
      <w:r w:rsidRPr="00477EDF">
        <w:rPr>
          <w:rFonts w:eastAsia="Calibri"/>
          <w:i/>
          <w:iCs/>
        </w:rPr>
        <w:t xml:space="preserve">The amount of compensation would be dependent on the expertise and experience of the external Supervisor. The Commissioner may appoint an internal supervisor and those costs would be covered within the Department’s budget.”] </w:t>
      </w:r>
    </w:p>
    <w:p w14:paraId="43B9363E" w14:textId="77777777" w:rsidR="00AA6023" w:rsidRPr="00477EDF" w:rsidRDefault="00AA6023" w:rsidP="00AA6023">
      <w:pPr>
        <w:widowControl/>
        <w:autoSpaceDE/>
        <w:autoSpaceDN/>
        <w:ind w:left="720" w:hanging="360"/>
        <w:jc w:val="both"/>
        <w:rPr>
          <w:rFonts w:eastAsia="Calibri"/>
        </w:rPr>
      </w:pPr>
    </w:p>
    <w:p w14:paraId="3362AF08" w14:textId="77777777" w:rsidR="00AA6023" w:rsidRPr="00477EDF" w:rsidRDefault="00AA6023" w:rsidP="00AA6023">
      <w:pPr>
        <w:widowControl/>
        <w:numPr>
          <w:ilvl w:val="0"/>
          <w:numId w:val="3"/>
        </w:numPr>
        <w:pBdr>
          <w:bottom w:val="single" w:sz="4" w:space="1" w:color="auto"/>
        </w:pBdr>
        <w:autoSpaceDE/>
        <w:autoSpaceDN/>
        <w:spacing w:after="240"/>
        <w:contextualSpacing/>
        <w:jc w:val="both"/>
        <w:rPr>
          <w:rFonts w:eastAsia="Calibri"/>
          <w:b/>
          <w:smallCaps/>
        </w:rPr>
      </w:pPr>
      <w:r w:rsidRPr="00477EDF">
        <w:rPr>
          <w:rFonts w:eastAsia="Calibri"/>
          <w:b/>
          <w:smallCaps/>
        </w:rPr>
        <w:t>Order of Seizure or Conservation</w:t>
      </w:r>
    </w:p>
    <w:p w14:paraId="6BE19CD2" w14:textId="77777777" w:rsidR="00AA6023" w:rsidRPr="00477EDF" w:rsidRDefault="00AA6023" w:rsidP="00AA6023">
      <w:pPr>
        <w:widowControl/>
        <w:tabs>
          <w:tab w:val="left" w:pos="540"/>
        </w:tabs>
        <w:autoSpaceDE/>
        <w:autoSpaceDN/>
        <w:ind w:left="720"/>
        <w:jc w:val="both"/>
        <w:rPr>
          <w:rFonts w:eastAsia="Calibri"/>
        </w:rPr>
      </w:pPr>
    </w:p>
    <w:p w14:paraId="494A191A" w14:textId="77777777" w:rsidR="00AA6023" w:rsidRPr="00477EDF" w:rsidRDefault="00AA6023" w:rsidP="00AA6023">
      <w:pPr>
        <w:widowControl/>
        <w:autoSpaceDE/>
        <w:autoSpaceDN/>
        <w:jc w:val="both"/>
        <w:rPr>
          <w:rFonts w:eastAsia="Calibri"/>
        </w:rPr>
      </w:pPr>
      <w:r w:rsidRPr="00477EDF">
        <w:rPr>
          <w:rFonts w:eastAsia="Calibri"/>
        </w:rPr>
        <w:t xml:space="preserve">Under [Insurance Code] an Order of Seizure [or in other state jurisdictions may refer to this as an Order of Conservation. Both are referred to as “Seizure” in this section] is the next more severe step after Supervision in the hierarchy of resolution actions. A Seizure is designed to make and immediate hands-on determination of the true financial condition of the company and then to make a recommendation to the Commissioner to </w:t>
      </w:r>
      <w:r w:rsidRPr="00477EDF">
        <w:rPr>
          <w:rFonts w:eastAsia="Calibri"/>
        </w:rPr>
        <w:lastRenderedPageBreak/>
        <w:t xml:space="preserve">preserve and protect its assets either by releasing the insurer or placing the insurer in Rehabilitation or Liquidation.  Seizure allows the Commissioner to immediately take control over the disposition of company assets while the financial determination process is ongoing. The Commissioner immediately takes possession and control over the property, books, accounts and other records and physical premises. </w:t>
      </w:r>
    </w:p>
    <w:p w14:paraId="3AB1DB2E" w14:textId="77777777" w:rsidR="00AA6023" w:rsidRPr="00477EDF" w:rsidRDefault="00AA6023" w:rsidP="00AA6023">
      <w:pPr>
        <w:widowControl/>
        <w:autoSpaceDE/>
        <w:autoSpaceDN/>
        <w:ind w:left="720"/>
        <w:contextualSpacing/>
        <w:jc w:val="both"/>
        <w:rPr>
          <w:rFonts w:eastAsia="Calibri"/>
        </w:rPr>
      </w:pPr>
    </w:p>
    <w:p w14:paraId="54323A4B" w14:textId="77777777" w:rsidR="00AA6023" w:rsidRPr="00477EDF" w:rsidRDefault="00AA6023" w:rsidP="00AA6023">
      <w:pPr>
        <w:widowControl/>
        <w:autoSpaceDE/>
        <w:autoSpaceDN/>
        <w:jc w:val="both"/>
        <w:rPr>
          <w:rFonts w:eastAsia="Calibri"/>
        </w:rPr>
      </w:pPr>
      <w:r w:rsidRPr="00477EDF">
        <w:rPr>
          <w:rFonts w:eastAsia="Calibri"/>
          <w:u w:val="single"/>
        </w:rPr>
        <w:t>The Order</w:t>
      </w:r>
      <w:r w:rsidRPr="00477EDF">
        <w:rPr>
          <w:rFonts w:eastAsia="Calibri"/>
        </w:rPr>
        <w:t xml:space="preserve"> </w:t>
      </w:r>
    </w:p>
    <w:p w14:paraId="25F32D22" w14:textId="77777777" w:rsidR="00AA6023" w:rsidRPr="00477EDF" w:rsidRDefault="00AA6023" w:rsidP="00AA6023">
      <w:pPr>
        <w:widowControl/>
        <w:numPr>
          <w:ilvl w:val="0"/>
          <w:numId w:val="1"/>
        </w:numPr>
        <w:autoSpaceDE/>
        <w:autoSpaceDN/>
        <w:adjustRightInd w:val="0"/>
        <w:spacing w:after="240"/>
        <w:ind w:left="720"/>
        <w:contextualSpacing/>
        <w:jc w:val="both"/>
        <w:rPr>
          <w:rFonts w:eastAsia="Calibri"/>
        </w:rPr>
      </w:pPr>
      <w:r w:rsidRPr="00477EDF">
        <w:rPr>
          <w:rFonts w:eastAsia="Calibri"/>
        </w:rPr>
        <w:t>The Commissioner would request an ex-</w:t>
      </w:r>
      <w:proofErr w:type="spellStart"/>
      <w:r w:rsidRPr="00477EDF">
        <w:rPr>
          <w:rFonts w:eastAsia="Calibri"/>
        </w:rPr>
        <w:t>parte</w:t>
      </w:r>
      <w:proofErr w:type="spellEnd"/>
      <w:r w:rsidRPr="00477EDF">
        <w:rPr>
          <w:rFonts w:eastAsia="Calibri"/>
        </w:rPr>
        <w:t xml:space="preserve"> confidential order from [Name of Court]. The conditions for issuing a Seizure order require either one or more statutory grounds that would justify a formal delinquency (i.e., Rehabilitation or Liquidation), or a demonstration that the interests of policyholders, creditors or the public are endangered by a delay in entering such an action and therefore requires immediate action, or any other reason determined to be necessary by the Commissioner.</w:t>
      </w:r>
    </w:p>
    <w:p w14:paraId="7D173BAD"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duration of the Seizure order is [</w:t>
      </w:r>
      <w:r w:rsidRPr="00477EDF">
        <w:rPr>
          <w:rFonts w:eastAsia="Calibri"/>
          <w:i/>
          <w:iCs/>
        </w:rPr>
        <w:t xml:space="preserve">a specific </w:t>
      </w:r>
      <w:proofErr w:type="gramStart"/>
      <w:r w:rsidRPr="00477EDF">
        <w:rPr>
          <w:rFonts w:eastAsia="Calibri"/>
          <w:i/>
          <w:iCs/>
        </w:rPr>
        <w:t>time period</w:t>
      </w:r>
      <w:proofErr w:type="gramEnd"/>
      <w:r w:rsidRPr="00477EDF">
        <w:rPr>
          <w:rFonts w:eastAsia="Calibri"/>
          <w:i/>
          <w:iCs/>
        </w:rPr>
        <w:t xml:space="preserve"> or</w:t>
      </w:r>
      <w:r w:rsidRPr="00477EDF">
        <w:rPr>
          <w:rFonts w:eastAsia="Calibri"/>
        </w:rPr>
        <w:t xml:space="preserve">] such time as the Court determines the Commissioner needs to determine the financial condition of the company. The Court may hold hearings from time to time to decide the status of the Seizure order. If the Commissioner does not commence a formal delinquency hearing after a reasonable </w:t>
      </w:r>
      <w:proofErr w:type="gramStart"/>
      <w:r w:rsidRPr="00477EDF">
        <w:rPr>
          <w:rFonts w:eastAsia="Calibri"/>
        </w:rPr>
        <w:t>period of time</w:t>
      </w:r>
      <w:proofErr w:type="gramEnd"/>
      <w:r w:rsidRPr="00477EDF">
        <w:rPr>
          <w:rFonts w:eastAsia="Calibri"/>
        </w:rPr>
        <w:t>, the Court may vacate the Seizure order. The company may petition the Court at any time during the Seizure order for a hearing. Such hearings may be held privately in chambers. Generally, seizure orders are for less than six months.</w:t>
      </w:r>
    </w:p>
    <w:p w14:paraId="7F59633D" w14:textId="77777777" w:rsidR="00AA6023" w:rsidRPr="00477EDF" w:rsidRDefault="00AA6023" w:rsidP="00AA6023">
      <w:pPr>
        <w:widowControl/>
        <w:autoSpaceDE/>
        <w:autoSpaceDN/>
        <w:ind w:left="720"/>
        <w:contextualSpacing/>
        <w:jc w:val="both"/>
        <w:rPr>
          <w:rFonts w:eastAsia="Calibri"/>
        </w:rPr>
      </w:pPr>
    </w:p>
    <w:p w14:paraId="2341240E"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Operations of a Seizure</w:t>
      </w:r>
    </w:p>
    <w:p w14:paraId="15110188" w14:textId="77777777" w:rsidR="00AA6023" w:rsidRPr="00477EDF" w:rsidRDefault="00AA6023" w:rsidP="00AA6023">
      <w:pPr>
        <w:widowControl/>
        <w:numPr>
          <w:ilvl w:val="0"/>
          <w:numId w:val="1"/>
        </w:numPr>
        <w:autoSpaceDE/>
        <w:autoSpaceDN/>
        <w:spacing w:after="240"/>
        <w:ind w:left="720"/>
        <w:contextualSpacing/>
        <w:jc w:val="both"/>
        <w:rPr>
          <w:rFonts w:eastAsia="Calibri"/>
        </w:rPr>
      </w:pPr>
      <w:proofErr w:type="gramStart"/>
      <w:r w:rsidRPr="00477EDF">
        <w:rPr>
          <w:rFonts w:eastAsia="Calibri"/>
        </w:rPr>
        <w:t>Similar to</w:t>
      </w:r>
      <w:proofErr w:type="gramEnd"/>
      <w:r w:rsidRPr="00477EDF">
        <w:rPr>
          <w:rFonts w:eastAsia="Calibri"/>
        </w:rPr>
        <w:t xml:space="preserve"> Supervision, the insurer continues to write and renew business and pay claims in the ordinary course of business. General creditors and vendors are also paid in the ordinary course of business. The company’s board of directors and present management generally remain in place. There would be no changes to policy benefits or coverage under a Seizure order. </w:t>
      </w:r>
    </w:p>
    <w:p w14:paraId="48748D15"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However, the Seizure order prohibits the insurer, its officers, managers, agents, and employees from disposing of the insurer’s property and transacting business except with the Commissioner’s written consent or further court order. </w:t>
      </w:r>
    </w:p>
    <w:p w14:paraId="3A552DD4"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While there is more control of the disposal of assets under Seizure, the Seizure order does not give title of those assets to the Commissioner. The company’s current contractual obligations remain in place.</w:t>
      </w:r>
    </w:p>
    <w:p w14:paraId="70CBF7A1" w14:textId="77777777" w:rsidR="00AA6023" w:rsidRPr="00477EDF" w:rsidRDefault="00AA6023" w:rsidP="00AA6023">
      <w:pPr>
        <w:widowControl/>
        <w:autoSpaceDE/>
        <w:autoSpaceDN/>
        <w:ind w:left="720" w:hanging="360"/>
        <w:jc w:val="both"/>
        <w:rPr>
          <w:rFonts w:eastAsia="Calibri"/>
        </w:rPr>
      </w:pPr>
    </w:p>
    <w:p w14:paraId="5BE7BE9E" w14:textId="77777777" w:rsidR="00AA6023" w:rsidRPr="00477EDF" w:rsidRDefault="00AA6023" w:rsidP="00AA6023">
      <w:pPr>
        <w:keepNext/>
        <w:widowControl/>
        <w:autoSpaceDE/>
        <w:autoSpaceDN/>
        <w:jc w:val="both"/>
        <w:rPr>
          <w:rFonts w:eastAsia="Calibri"/>
          <w:u w:val="single"/>
        </w:rPr>
      </w:pPr>
      <w:bookmarkStart w:id="1" w:name="_Hlk138932386"/>
      <w:r w:rsidRPr="00477EDF">
        <w:rPr>
          <w:rFonts w:eastAsia="Calibri"/>
          <w:u w:val="single"/>
        </w:rPr>
        <w:t>Confidentiality and Notification/Communication</w:t>
      </w:r>
    </w:p>
    <w:bookmarkEnd w:id="1"/>
    <w:p w14:paraId="64889939" w14:textId="77777777" w:rsidR="00AA6023" w:rsidRPr="00477EDF" w:rsidRDefault="00AA6023" w:rsidP="00AA6023">
      <w:pPr>
        <w:widowControl/>
        <w:numPr>
          <w:ilvl w:val="0"/>
          <w:numId w:val="9"/>
        </w:numPr>
        <w:autoSpaceDE/>
        <w:autoSpaceDN/>
        <w:adjustRightInd w:val="0"/>
        <w:spacing w:after="240"/>
        <w:contextualSpacing/>
        <w:jc w:val="both"/>
        <w:rPr>
          <w:rFonts w:eastAsia="Calibri"/>
        </w:rPr>
      </w:pPr>
      <w:r w:rsidRPr="00477EDF">
        <w:rPr>
          <w:rFonts w:eastAsia="Calibri"/>
          <w:i/>
          <w:iCs/>
        </w:rPr>
        <w:t xml:space="preserve">[If applicable in the state, insert confidentiality statement.] </w:t>
      </w:r>
      <w:r w:rsidRPr="00477EDF">
        <w:rPr>
          <w:rFonts w:eastAsia="Calibri"/>
        </w:rPr>
        <w:t>Seizure orders are confidential. However, the order may be shared with limited parties as designated by statute.  Those parties may include but are not limited to guaranty associations, reinsurers, insurance regulatory officials and debtors and creditors of the company and its affiliates. These parties are required to keep the Seizure confidential. The confidentiality of the seizure order is intended to allow the receiver to discharge the conservation, if appropriate, and return the insurer to normal business operations without public knowledge and the resultant harm to the insurer’s business.</w:t>
      </w:r>
    </w:p>
    <w:p w14:paraId="676B1A2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Commissioner would inform those parties </w:t>
      </w:r>
      <w:r w:rsidRPr="00477EDF">
        <w:rPr>
          <w:rFonts w:eastAsia="Calibri"/>
          <w:i/>
          <w:iCs/>
        </w:rPr>
        <w:t>[or insert a list]</w:t>
      </w:r>
      <w:r w:rsidRPr="00477EDF">
        <w:rPr>
          <w:rFonts w:eastAsia="Calibri"/>
        </w:rPr>
        <w:t xml:space="preserve"> covered by the statute’s confidentiality provisions of the Seizure order. </w:t>
      </w:r>
    </w:p>
    <w:p w14:paraId="12D6A947" w14:textId="77777777" w:rsidR="00AA6023" w:rsidRPr="00477EDF" w:rsidRDefault="00AA6023" w:rsidP="00AA6023">
      <w:pPr>
        <w:widowControl/>
        <w:numPr>
          <w:ilvl w:val="0"/>
          <w:numId w:val="1"/>
        </w:numPr>
        <w:autoSpaceDE/>
        <w:autoSpaceDN/>
        <w:adjustRightInd w:val="0"/>
        <w:spacing w:after="240"/>
        <w:ind w:left="720"/>
        <w:contextualSpacing/>
        <w:jc w:val="both"/>
        <w:rPr>
          <w:rFonts w:eastAsia="Calibri"/>
          <w:i/>
          <w:iCs/>
        </w:rPr>
      </w:pPr>
      <w:r w:rsidRPr="00477EDF">
        <w:rPr>
          <w:rFonts w:eastAsia="Calibri"/>
        </w:rPr>
        <w:t>Under a Seizure order, guaranty associations are not triggered for coverage. However, the appointed party may discuss the Seizure and any potential formal delinquency proceedings with the guaranty associations, where the guaranty associations are covered by [</w:t>
      </w:r>
      <w:r w:rsidRPr="00477EDF">
        <w:rPr>
          <w:rFonts w:eastAsia="Calibri"/>
          <w:i/>
          <w:iCs/>
        </w:rPr>
        <w:t>the statute’s confidentiality or confidentiality agreements].</w:t>
      </w:r>
    </w:p>
    <w:p w14:paraId="5028C63C" w14:textId="77777777" w:rsidR="00AA6023" w:rsidRPr="00477EDF" w:rsidRDefault="00AA6023" w:rsidP="00AA6023">
      <w:pPr>
        <w:widowControl/>
        <w:autoSpaceDE/>
        <w:autoSpaceDN/>
        <w:jc w:val="both"/>
        <w:rPr>
          <w:rFonts w:eastAsia="Calibri"/>
        </w:rPr>
      </w:pPr>
    </w:p>
    <w:p w14:paraId="4749C38A" w14:textId="77777777" w:rsidR="00AA6023" w:rsidRPr="00477EDF" w:rsidRDefault="00AA6023" w:rsidP="00AA6023">
      <w:pPr>
        <w:widowControl/>
        <w:autoSpaceDE/>
        <w:autoSpaceDN/>
        <w:jc w:val="both"/>
        <w:rPr>
          <w:rFonts w:eastAsia="Calibri"/>
          <w:u w:val="single"/>
        </w:rPr>
      </w:pPr>
      <w:r w:rsidRPr="00477EDF">
        <w:rPr>
          <w:rFonts w:eastAsia="Calibri"/>
          <w:u w:val="single"/>
        </w:rPr>
        <w:t>Oversight of Seizure</w:t>
      </w:r>
    </w:p>
    <w:p w14:paraId="73DF538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In a Seizure, the Commissioner generally designates an internal or external party to oversee and monitor the company’s operations (the party is referred to as the “conservator” in some </w:t>
      </w:r>
      <w:r w:rsidRPr="00477EDF">
        <w:rPr>
          <w:rFonts w:eastAsia="Calibri"/>
        </w:rPr>
        <w:lastRenderedPageBreak/>
        <w:t>jurisdictions) and investigates the company’s financial condition. Because the company is enjoined from disposition of its property, the appointed party will have to approve any disposition of company assets including cash disbursements. The appointed party interacts with company management and provides the Commissioner and interested parties with progress reports.</w:t>
      </w:r>
    </w:p>
    <w:p w14:paraId="59937BEA"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 xml:space="preserve">The appointed party would work with company management to </w:t>
      </w:r>
      <w:proofErr w:type="gramStart"/>
      <w:r w:rsidRPr="00477EDF">
        <w:rPr>
          <w:rFonts w:eastAsia="Calibri"/>
        </w:rPr>
        <w:t>make a determination</w:t>
      </w:r>
      <w:proofErr w:type="gramEnd"/>
      <w:r w:rsidRPr="00477EDF">
        <w:rPr>
          <w:rFonts w:eastAsia="Calibri"/>
        </w:rPr>
        <w:t xml:space="preserve"> of the financial condition of the company.  The appointed party would identify those areas that may negatively </w:t>
      </w:r>
      <w:proofErr w:type="gramStart"/>
      <w:r w:rsidRPr="00477EDF">
        <w:rPr>
          <w:rFonts w:eastAsia="Calibri"/>
        </w:rPr>
        <w:t>impact</w:t>
      </w:r>
      <w:proofErr w:type="gramEnd"/>
      <w:r w:rsidRPr="00477EDF">
        <w:rPr>
          <w:rFonts w:eastAsia="Calibri"/>
        </w:rPr>
        <w:t xml:space="preserve"> the company’s financial condition. The appointed party would then have ongoing meetings with company management to discuss the financial condition of the company </w:t>
      </w:r>
      <w:proofErr w:type="gramStart"/>
      <w:r w:rsidRPr="00477EDF">
        <w:rPr>
          <w:rFonts w:eastAsia="Calibri"/>
        </w:rPr>
        <w:t>and also</w:t>
      </w:r>
      <w:proofErr w:type="gramEnd"/>
      <w:r w:rsidRPr="00477EDF">
        <w:rPr>
          <w:rFonts w:eastAsia="Calibri"/>
        </w:rPr>
        <w:t xml:space="preserve"> verify the results of the financial review. The appointed party would be responsible for providing updates to the Commissioner and impacted parties covered by the confidentiality provisions. </w:t>
      </w:r>
    </w:p>
    <w:p w14:paraId="0A05AA2F"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The Commissioner may hire an external party to monitor and implement the Seizure order. The amount of compensation would be dependent on the expertise and experience of the external party. The Commissioner may appoint the</w:t>
      </w:r>
      <w:r w:rsidRPr="00477EDF">
        <w:rPr>
          <w:rFonts w:eastAsia="Calibri"/>
          <w:i/>
          <w:iCs/>
        </w:rPr>
        <w:t xml:space="preserve"> </w:t>
      </w:r>
      <w:r w:rsidRPr="00477EDF">
        <w:rPr>
          <w:rFonts w:eastAsia="Calibri"/>
        </w:rPr>
        <w:t>[</w:t>
      </w:r>
      <w:r w:rsidRPr="00477EDF">
        <w:rPr>
          <w:rFonts w:eastAsia="Calibri"/>
          <w:i/>
          <w:iCs/>
        </w:rPr>
        <w:t>Specify the title of department director of receivership or other position</w:t>
      </w:r>
      <w:r w:rsidRPr="00477EDF">
        <w:rPr>
          <w:rFonts w:eastAsia="Calibri"/>
        </w:rPr>
        <w:t xml:space="preserve">] to implement the Seizure order and those costs would be covered [Specify how costs are covered, such as “within the Department’s budget”]. </w:t>
      </w:r>
    </w:p>
    <w:p w14:paraId="165E8F50"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Commissioner would coordinate actions with </w:t>
      </w:r>
      <w:r w:rsidRPr="00477EDF">
        <w:rPr>
          <w:rFonts w:eastAsia="Calibri"/>
          <w:i/>
          <w:iCs/>
        </w:rPr>
        <w:t>[Insert name(s) of other state insurance departments where multiple insurers are domiciled in multiple states, and federal and international supervisors, as applicable].</w:t>
      </w:r>
    </w:p>
    <w:p w14:paraId="44ACB96B" w14:textId="77777777" w:rsidR="00AA6023" w:rsidRPr="00477EDF" w:rsidRDefault="00AA6023" w:rsidP="00AA6023">
      <w:pPr>
        <w:widowControl/>
        <w:autoSpaceDE/>
        <w:autoSpaceDN/>
        <w:ind w:left="720"/>
        <w:contextualSpacing/>
        <w:jc w:val="both"/>
        <w:rPr>
          <w:rFonts w:eastAsia="Calibri"/>
        </w:rPr>
      </w:pPr>
    </w:p>
    <w:p w14:paraId="3152110B" w14:textId="77777777" w:rsidR="00AA6023" w:rsidRPr="00477EDF" w:rsidRDefault="00AA6023" w:rsidP="00AA6023">
      <w:pPr>
        <w:widowControl/>
        <w:autoSpaceDE/>
        <w:autoSpaceDN/>
        <w:ind w:left="720"/>
        <w:contextualSpacing/>
        <w:jc w:val="both"/>
        <w:rPr>
          <w:rFonts w:eastAsia="Calibri"/>
        </w:rPr>
      </w:pPr>
    </w:p>
    <w:p w14:paraId="34649E4D" w14:textId="77777777" w:rsidR="00AA6023" w:rsidRPr="00477EDF" w:rsidRDefault="00AA6023" w:rsidP="00AA6023">
      <w:pPr>
        <w:keepNext/>
        <w:widowControl/>
        <w:numPr>
          <w:ilvl w:val="0"/>
          <w:numId w:val="3"/>
        </w:numPr>
        <w:pBdr>
          <w:bottom w:val="single" w:sz="4" w:space="1" w:color="auto"/>
        </w:pBdr>
        <w:autoSpaceDE/>
        <w:autoSpaceDN/>
        <w:spacing w:after="240"/>
        <w:contextualSpacing/>
        <w:jc w:val="both"/>
        <w:rPr>
          <w:rFonts w:eastAsia="Calibri"/>
          <w:b/>
          <w:smallCaps/>
        </w:rPr>
      </w:pPr>
      <w:r w:rsidRPr="00477EDF">
        <w:rPr>
          <w:rFonts w:eastAsia="Calibri"/>
          <w:b/>
          <w:smallCaps/>
        </w:rPr>
        <w:t>Order of Rehabilitation</w:t>
      </w:r>
    </w:p>
    <w:p w14:paraId="1319B882" w14:textId="77777777" w:rsidR="00AA6023" w:rsidRPr="00477EDF" w:rsidRDefault="00AA6023" w:rsidP="00AA6023">
      <w:pPr>
        <w:keepNext/>
        <w:widowControl/>
        <w:tabs>
          <w:tab w:val="left" w:pos="540"/>
        </w:tabs>
        <w:autoSpaceDE/>
        <w:autoSpaceDN/>
        <w:ind w:left="720"/>
        <w:jc w:val="both"/>
        <w:rPr>
          <w:rFonts w:eastAsia="Calibri"/>
        </w:rPr>
      </w:pPr>
    </w:p>
    <w:p w14:paraId="5CC8001B" w14:textId="77777777" w:rsidR="00AA6023" w:rsidRPr="00477EDF" w:rsidRDefault="00AA6023" w:rsidP="00AA6023">
      <w:pPr>
        <w:widowControl/>
        <w:autoSpaceDE/>
        <w:autoSpaceDN/>
        <w:jc w:val="both"/>
        <w:rPr>
          <w:rFonts w:eastAsia="Calibri"/>
        </w:rPr>
      </w:pPr>
      <w:r w:rsidRPr="00477EDF">
        <w:rPr>
          <w:rFonts w:eastAsia="Calibri"/>
        </w:rPr>
        <w:t>Rehabilitation is the most stringent resolution proceeding short of Liquidation. Rehabilitation is designed to generate a Rehabilitation plan that will either correct the difficulties that led to the insurer being placed in receivership and restore the company’s financial condition to sound basis or transition the company’s policyholder liabilities to financially sound insurers. The Rehabilitator may determine the company cannot be rehabilitated. If that is the determination, then a petition for Liquidation will be filed with the court.</w:t>
      </w:r>
    </w:p>
    <w:p w14:paraId="7FB90471" w14:textId="77777777" w:rsidR="00AA6023" w:rsidRPr="00477EDF" w:rsidRDefault="00AA6023" w:rsidP="00AA6023">
      <w:pPr>
        <w:widowControl/>
        <w:autoSpaceDE/>
        <w:autoSpaceDN/>
        <w:jc w:val="both"/>
        <w:rPr>
          <w:rFonts w:eastAsia="Calibri"/>
          <w:u w:val="single"/>
        </w:rPr>
      </w:pPr>
    </w:p>
    <w:p w14:paraId="77EC4DD2" w14:textId="77777777" w:rsidR="00AA6023" w:rsidRPr="00477EDF" w:rsidRDefault="00AA6023" w:rsidP="00AA6023">
      <w:pPr>
        <w:widowControl/>
        <w:autoSpaceDE/>
        <w:autoSpaceDN/>
        <w:jc w:val="both"/>
        <w:rPr>
          <w:rFonts w:eastAsia="Calibri"/>
          <w:u w:val="single"/>
        </w:rPr>
      </w:pPr>
      <w:r w:rsidRPr="00477EDF">
        <w:rPr>
          <w:rFonts w:eastAsia="Calibri"/>
          <w:u w:val="single"/>
        </w:rPr>
        <w:t>The Order</w:t>
      </w:r>
    </w:p>
    <w:p w14:paraId="3F726B59"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[Insurance Code] allows the Commissioner to petition the Court for an order of Rehabilitation based on one or more of the criteria listed above including, but not limited to, the concern that allowing the company to transact business would be hazardous to policyholders, creditors, and the public. </w:t>
      </w:r>
    </w:p>
    <w:p w14:paraId="238D0B2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Rehabilitation orders are public documents and are subject to judicial oversight by [Name of Court]. </w:t>
      </w:r>
    </w:p>
    <w:p w14:paraId="74F0A3A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Rehabilitation order vests authority to marshal and take title of all assets of the insurer’s estate with the Commissioner as Rehabilitator. </w:t>
      </w:r>
    </w:p>
    <w:p w14:paraId="4EC29C5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During Rehabilitation, the receiver may look for possible buyers for the insurer or even books of business or may consider other options to restore profitability or minimize losses. </w:t>
      </w:r>
    </w:p>
    <w:p w14:paraId="1AF3FC96"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There are a number of issues that can complicate a successful Rehabilitation, such as loss of essential personnel, inability to restructure non-policyholder contractual obligations, loss of asset values due to market conditions, litigation, reinsurer disputes, inability to find insurers to reinsure company policies on an satisfactory basis, unexpected liabilities under derivative or policy contracts, inadequate policy or claim reserves, rating downgrade due to the Rehabilitation order and inability of investment income to meet policy minimum guarantees as well as other matters.  </w:t>
      </w:r>
    </w:p>
    <w:p w14:paraId="1D2DD79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length of time of a Rehabilitation is dependent on the complexity, financial condition, size of the company, and the development of a plan of rehabilitation. Rehabilitation can take multiple years to complete.</w:t>
      </w:r>
    </w:p>
    <w:p w14:paraId="02B39DB0" w14:textId="77777777" w:rsidR="00AA6023" w:rsidRDefault="00AA6023" w:rsidP="00AA6023">
      <w:pPr>
        <w:widowControl/>
        <w:autoSpaceDE/>
        <w:autoSpaceDN/>
        <w:ind w:left="720"/>
        <w:contextualSpacing/>
        <w:jc w:val="both"/>
        <w:rPr>
          <w:rFonts w:eastAsia="Calibri"/>
        </w:rPr>
      </w:pPr>
    </w:p>
    <w:p w14:paraId="4291798E" w14:textId="77777777" w:rsidR="00477EDF" w:rsidRDefault="00477EDF" w:rsidP="00AA6023">
      <w:pPr>
        <w:widowControl/>
        <w:autoSpaceDE/>
        <w:autoSpaceDN/>
        <w:ind w:left="720"/>
        <w:contextualSpacing/>
        <w:jc w:val="both"/>
        <w:rPr>
          <w:rFonts w:eastAsia="Calibri"/>
        </w:rPr>
      </w:pPr>
    </w:p>
    <w:p w14:paraId="396953CC" w14:textId="77777777" w:rsidR="00477EDF" w:rsidRPr="00477EDF" w:rsidRDefault="00477EDF" w:rsidP="00AA6023">
      <w:pPr>
        <w:widowControl/>
        <w:autoSpaceDE/>
        <w:autoSpaceDN/>
        <w:ind w:left="720"/>
        <w:contextualSpacing/>
        <w:jc w:val="both"/>
        <w:rPr>
          <w:rFonts w:eastAsia="Calibri"/>
        </w:rPr>
      </w:pPr>
    </w:p>
    <w:p w14:paraId="3FB50B68" w14:textId="77777777" w:rsidR="00AA6023" w:rsidRPr="00477EDF" w:rsidRDefault="00AA6023" w:rsidP="00AA6023">
      <w:pPr>
        <w:widowControl/>
        <w:autoSpaceDE/>
        <w:autoSpaceDN/>
        <w:jc w:val="both"/>
        <w:rPr>
          <w:rFonts w:eastAsia="Calibri"/>
          <w:u w:val="single"/>
        </w:rPr>
      </w:pPr>
      <w:r w:rsidRPr="00477EDF">
        <w:rPr>
          <w:rFonts w:eastAsia="Calibri"/>
          <w:u w:val="single"/>
        </w:rPr>
        <w:lastRenderedPageBreak/>
        <w:t>Operations of a Rehabilitation</w:t>
      </w:r>
    </w:p>
    <w:p w14:paraId="1F835D8B"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 xml:space="preserve">After the Court has issued the Rehabilitation order, the receiver (or a deputy receiver) would be placed in charge of running the day-to-day operations of the insurer. </w:t>
      </w:r>
    </w:p>
    <w:p w14:paraId="0DA84FED" w14:textId="77777777" w:rsidR="00AA6023" w:rsidRPr="00477EDF" w:rsidRDefault="00AA6023" w:rsidP="00AA6023">
      <w:pPr>
        <w:widowControl/>
        <w:numPr>
          <w:ilvl w:val="0"/>
          <w:numId w:val="1"/>
        </w:numPr>
        <w:autoSpaceDE/>
        <w:autoSpaceDN/>
        <w:spacing w:after="240"/>
        <w:ind w:left="720"/>
        <w:contextualSpacing/>
        <w:jc w:val="both"/>
        <w:rPr>
          <w:rFonts w:eastAsia="Calibri"/>
        </w:rPr>
      </w:pPr>
      <w:bookmarkStart w:id="2" w:name="_Hlk138922136"/>
      <w:r w:rsidRPr="00477EDF">
        <w:rPr>
          <w:rFonts w:eastAsia="Calibri"/>
        </w:rPr>
        <w:t xml:space="preserve">The Rehabilitation order would suspend the authority of the board of directors, managers and officers unless reappointed by the Commissioner. Some or </w:t>
      </w:r>
      <w:proofErr w:type="gramStart"/>
      <w:r w:rsidRPr="00477EDF">
        <w:rPr>
          <w:rFonts w:eastAsia="Calibri"/>
        </w:rPr>
        <w:t>all of</w:t>
      </w:r>
      <w:proofErr w:type="gramEnd"/>
      <w:r w:rsidRPr="00477EDF">
        <w:rPr>
          <w:rFonts w:eastAsia="Calibri"/>
        </w:rPr>
        <w:t xml:space="preserve"> the insurer’s upper management could be terminated as determined by the receiver.</w:t>
      </w:r>
    </w:p>
    <w:p w14:paraId="0D0EF3F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All current legal proceedings and litigation against the company would be stayed for [number of days based on state’s insurance code] and the Rehabilitation order would contain an injunction against filing new legal actions. </w:t>
      </w:r>
    </w:p>
    <w:p w14:paraId="11B12AE9" w14:textId="77777777" w:rsidR="00AA6023" w:rsidRPr="00477EDF" w:rsidRDefault="00AA6023" w:rsidP="00AA6023">
      <w:pPr>
        <w:widowControl/>
        <w:numPr>
          <w:ilvl w:val="0"/>
          <w:numId w:val="1"/>
        </w:numPr>
        <w:autoSpaceDE/>
        <w:autoSpaceDN/>
        <w:spacing w:after="240"/>
        <w:ind w:left="720"/>
        <w:contextualSpacing/>
        <w:jc w:val="both"/>
        <w:rPr>
          <w:rFonts w:eastAsia="Calibri"/>
          <w:i/>
          <w:iCs/>
        </w:rPr>
      </w:pPr>
      <w:r w:rsidRPr="00477EDF">
        <w:rPr>
          <w:rFonts w:eastAsia="Calibri"/>
        </w:rPr>
        <w:t xml:space="preserve">The Rehabilitation order may include </w:t>
      </w:r>
      <w:r w:rsidRPr="00477EDF">
        <w:rPr>
          <w:rFonts w:eastAsia="Calibri"/>
          <w:i/>
          <w:iCs/>
        </w:rPr>
        <w:t>[For this bullet suggest only including those items that may be included in the order which are material to the insurer, rather than an exhaustive list.]:</w:t>
      </w:r>
      <w:r w:rsidRPr="00477EDF">
        <w:rPr>
          <w:rFonts w:eastAsia="Calibri"/>
        </w:rPr>
        <w:t xml:space="preserve"> </w:t>
      </w:r>
    </w:p>
    <w:p w14:paraId="54C7F5A0" w14:textId="77777777" w:rsidR="00AA6023" w:rsidRPr="00477EDF" w:rsidRDefault="00AA6023" w:rsidP="00AA6023">
      <w:pPr>
        <w:widowControl/>
        <w:numPr>
          <w:ilvl w:val="1"/>
          <w:numId w:val="1"/>
        </w:numPr>
        <w:autoSpaceDE/>
        <w:autoSpaceDN/>
        <w:adjustRightInd w:val="0"/>
        <w:spacing w:after="240"/>
        <w:ind w:left="1440"/>
        <w:contextualSpacing/>
        <w:jc w:val="both"/>
        <w:rPr>
          <w:rFonts w:eastAsia="Calibri"/>
        </w:rPr>
      </w:pPr>
      <w:r w:rsidRPr="00477EDF">
        <w:rPr>
          <w:rFonts w:eastAsia="Calibri"/>
        </w:rPr>
        <w:t>Prohibit or severely limit all new business writings.</w:t>
      </w:r>
    </w:p>
    <w:p w14:paraId="1626D1D2" w14:textId="77777777" w:rsidR="00AA6023" w:rsidRPr="00477EDF" w:rsidRDefault="00AA6023" w:rsidP="00AA6023">
      <w:pPr>
        <w:widowControl/>
        <w:numPr>
          <w:ilvl w:val="1"/>
          <w:numId w:val="1"/>
        </w:numPr>
        <w:autoSpaceDE/>
        <w:autoSpaceDN/>
        <w:adjustRightInd w:val="0"/>
        <w:spacing w:after="240"/>
        <w:ind w:left="1440"/>
        <w:contextualSpacing/>
        <w:jc w:val="both"/>
        <w:rPr>
          <w:rFonts w:eastAsia="Calibri"/>
        </w:rPr>
      </w:pPr>
      <w:r w:rsidRPr="00477EDF">
        <w:rPr>
          <w:rFonts w:eastAsia="Calibri"/>
        </w:rPr>
        <w:t xml:space="preserve">Require the insurer to modify or even cancel certain managing general agent (“MGA”), third-party administrator (“TPA”) and general agency agreements. </w:t>
      </w:r>
    </w:p>
    <w:p w14:paraId="6A4C1ED5" w14:textId="77777777" w:rsidR="00AA6023" w:rsidRPr="00477EDF" w:rsidRDefault="00AA6023" w:rsidP="00AA6023">
      <w:pPr>
        <w:widowControl/>
        <w:numPr>
          <w:ilvl w:val="1"/>
          <w:numId w:val="1"/>
        </w:numPr>
        <w:autoSpaceDE/>
        <w:autoSpaceDN/>
        <w:adjustRightInd w:val="0"/>
        <w:spacing w:after="240"/>
        <w:ind w:left="1440"/>
        <w:contextualSpacing/>
        <w:jc w:val="both"/>
        <w:rPr>
          <w:rFonts w:eastAsia="Calibri"/>
          <w:i/>
          <w:iCs/>
        </w:rPr>
      </w:pPr>
      <w:r w:rsidRPr="00477EDF">
        <w:rPr>
          <w:rFonts w:eastAsia="Calibri"/>
        </w:rPr>
        <w:t>Provide that reinsurance agreements may not be canceled, and that the insurer may not obtain any new reinsurance without the approval of the receiver.</w:t>
      </w:r>
    </w:p>
    <w:p w14:paraId="0547BE67" w14:textId="77777777" w:rsidR="00AA6023" w:rsidRPr="00477EDF" w:rsidRDefault="00AA6023" w:rsidP="00AA6023">
      <w:pPr>
        <w:widowControl/>
        <w:numPr>
          <w:ilvl w:val="1"/>
          <w:numId w:val="1"/>
        </w:numPr>
        <w:autoSpaceDE/>
        <w:autoSpaceDN/>
        <w:adjustRightInd w:val="0"/>
        <w:spacing w:after="240"/>
        <w:ind w:left="1440"/>
        <w:contextualSpacing/>
        <w:jc w:val="both"/>
        <w:rPr>
          <w:rFonts w:eastAsia="Calibri"/>
          <w:i/>
          <w:iCs/>
        </w:rPr>
      </w:pPr>
      <w:r w:rsidRPr="00477EDF">
        <w:rPr>
          <w:rFonts w:eastAsia="Calibri"/>
        </w:rPr>
        <w:t>Require recapitalization.</w:t>
      </w:r>
    </w:p>
    <w:p w14:paraId="2C6033E9" w14:textId="77777777" w:rsidR="00AA6023" w:rsidRPr="00477EDF" w:rsidRDefault="00AA6023" w:rsidP="00AA6023">
      <w:pPr>
        <w:widowControl/>
        <w:numPr>
          <w:ilvl w:val="1"/>
          <w:numId w:val="1"/>
        </w:numPr>
        <w:autoSpaceDE/>
        <w:autoSpaceDN/>
        <w:adjustRightInd w:val="0"/>
        <w:spacing w:after="240"/>
        <w:ind w:left="1440"/>
        <w:contextualSpacing/>
        <w:jc w:val="both"/>
        <w:rPr>
          <w:rFonts w:eastAsia="Calibri"/>
          <w:i/>
          <w:iCs/>
        </w:rPr>
      </w:pPr>
      <w:r w:rsidRPr="00477EDF">
        <w:rPr>
          <w:rFonts w:eastAsia="Calibri"/>
        </w:rPr>
        <w:t>Restrict new investments or liquidate investments.</w:t>
      </w:r>
    </w:p>
    <w:p w14:paraId="01B437DB" w14:textId="77777777" w:rsidR="00AA6023" w:rsidRPr="00477EDF" w:rsidRDefault="00AA6023" w:rsidP="00AA6023">
      <w:pPr>
        <w:widowControl/>
        <w:numPr>
          <w:ilvl w:val="0"/>
          <w:numId w:val="1"/>
        </w:numPr>
        <w:autoSpaceDE/>
        <w:autoSpaceDN/>
        <w:spacing w:after="240"/>
        <w:ind w:left="720"/>
        <w:contextualSpacing/>
        <w:jc w:val="both"/>
        <w:rPr>
          <w:rFonts w:eastAsia="Calibri"/>
          <w:i/>
          <w:iCs/>
        </w:rPr>
      </w:pPr>
      <w:r w:rsidRPr="00477EDF">
        <w:rPr>
          <w:rFonts w:eastAsia="Calibri"/>
          <w:i/>
          <w:iCs/>
        </w:rPr>
        <w:t>[Insert the state’s handling in rehabilitation of any material issues or risks that are specific to the insurer, such as the following]:</w:t>
      </w:r>
    </w:p>
    <w:bookmarkEnd w:id="2"/>
    <w:p w14:paraId="79CF8799" w14:textId="77777777" w:rsidR="00AA6023" w:rsidRPr="00477EDF" w:rsidRDefault="00AA6023" w:rsidP="00AA6023">
      <w:pPr>
        <w:widowControl/>
        <w:numPr>
          <w:ilvl w:val="1"/>
          <w:numId w:val="1"/>
        </w:numPr>
        <w:tabs>
          <w:tab w:val="left" w:pos="540"/>
        </w:tabs>
        <w:autoSpaceDE/>
        <w:autoSpaceDN/>
        <w:spacing w:after="240"/>
        <w:ind w:left="1440"/>
        <w:contextualSpacing/>
        <w:jc w:val="both"/>
        <w:rPr>
          <w:rFonts w:eastAsia="Calibri"/>
        </w:rPr>
      </w:pPr>
      <w:r w:rsidRPr="00477EDF">
        <w:rPr>
          <w:rFonts w:eastAsia="Calibri"/>
        </w:rPr>
        <w:t>The Rehabilitation order may include a moratorium on cash withdrawals, surrenders or policy loans except in defined hardship matters. If the Rehabilitator sells or reinsures a block of business with another insurer, an additional moratorium may be implemented before the policyholder can change insurers.</w:t>
      </w:r>
    </w:p>
    <w:p w14:paraId="2991FDE2" w14:textId="77777777" w:rsidR="00AA6023" w:rsidRPr="00477EDF" w:rsidRDefault="00AA6023" w:rsidP="00AA6023">
      <w:pPr>
        <w:widowControl/>
        <w:numPr>
          <w:ilvl w:val="1"/>
          <w:numId w:val="1"/>
        </w:numPr>
        <w:tabs>
          <w:tab w:val="left" w:pos="540"/>
        </w:tabs>
        <w:autoSpaceDE/>
        <w:autoSpaceDN/>
        <w:spacing w:after="240"/>
        <w:ind w:left="1440"/>
        <w:contextualSpacing/>
        <w:jc w:val="both"/>
        <w:rPr>
          <w:rFonts w:eastAsia="Calibri"/>
        </w:rPr>
      </w:pPr>
      <w:r w:rsidRPr="00477EDF">
        <w:rPr>
          <w:rFonts w:eastAsia="Calibri"/>
        </w:rPr>
        <w:t>Treatment of derivative counterparties will be subject to [insert state law if applicable].</w:t>
      </w:r>
    </w:p>
    <w:p w14:paraId="60C596E6" w14:textId="77777777" w:rsidR="00AA6023" w:rsidRPr="00477EDF" w:rsidRDefault="00AA6023" w:rsidP="00AA6023">
      <w:pPr>
        <w:widowControl/>
        <w:numPr>
          <w:ilvl w:val="1"/>
          <w:numId w:val="1"/>
        </w:numPr>
        <w:tabs>
          <w:tab w:val="left" w:pos="540"/>
        </w:tabs>
        <w:autoSpaceDE/>
        <w:autoSpaceDN/>
        <w:spacing w:after="240"/>
        <w:ind w:left="1440"/>
        <w:contextualSpacing/>
        <w:jc w:val="both"/>
        <w:rPr>
          <w:rFonts w:eastAsia="Calibri"/>
        </w:rPr>
      </w:pPr>
      <w:r w:rsidRPr="00477EDF">
        <w:rPr>
          <w:rFonts w:eastAsia="Calibri"/>
        </w:rPr>
        <w:t xml:space="preserve">If the company has any secured loans outstanding, for example, advances of credit from a Federal Home Loan Bank (FHLB), the lender would be able to take possession of any collateral pledged as security for the loan amounts. </w:t>
      </w:r>
    </w:p>
    <w:p w14:paraId="173AE08E" w14:textId="77777777" w:rsidR="00AA6023" w:rsidRPr="00477EDF" w:rsidRDefault="00AA6023" w:rsidP="00AA6023">
      <w:pPr>
        <w:widowControl/>
        <w:numPr>
          <w:ilvl w:val="1"/>
          <w:numId w:val="1"/>
        </w:numPr>
        <w:tabs>
          <w:tab w:val="left" w:pos="540"/>
        </w:tabs>
        <w:autoSpaceDE/>
        <w:autoSpaceDN/>
        <w:spacing w:after="240"/>
        <w:ind w:left="1440"/>
        <w:contextualSpacing/>
        <w:jc w:val="both"/>
        <w:rPr>
          <w:rFonts w:eastAsia="Calibri"/>
          <w:i/>
          <w:iCs/>
        </w:rPr>
      </w:pPr>
      <w:r w:rsidRPr="00477EDF">
        <w:rPr>
          <w:rFonts w:eastAsia="Calibri"/>
          <w:i/>
          <w:iCs/>
        </w:rPr>
        <w:t>[Describe the handling of significant assumed reinsurance business in rehabilitation, e.g., if the US entity is a reinsurer or a direct writer with significant assumed book of business.]</w:t>
      </w:r>
    </w:p>
    <w:p w14:paraId="48C569BF"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Proof of claim forms would need to be sent out for unpaid pre-rehabilitation liabilities. </w:t>
      </w:r>
    </w:p>
    <w:p w14:paraId="5876AD2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Commissioner would coordinate actions with </w:t>
      </w:r>
      <w:r w:rsidRPr="00477EDF">
        <w:rPr>
          <w:rFonts w:eastAsia="Calibri"/>
          <w:i/>
          <w:iCs/>
        </w:rPr>
        <w:t>[Insert name(s) of other state insurance departments where multiple insurers are domiciled in multiple states, and federal and international supervisors, as applicable].</w:t>
      </w:r>
      <w:r w:rsidRPr="00477EDF">
        <w:rPr>
          <w:rFonts w:eastAsia="Calibri"/>
        </w:rPr>
        <w:t xml:space="preserve"> Other state insurance departments often will seek to either revoke or suspend the company’s authority to transact business in that state. The Commissioner may coordinate with those other states to ensure revocation or suspension is handled in the best interests of policyholders.</w:t>
      </w:r>
    </w:p>
    <w:p w14:paraId="5BDCEF0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Various matters will need to be filed with the Court for approval including legal settlements, payments to pre-rehabilitation creditors, modifications of contractual obligations, sales of assets and/or transfers of existing business to other insurance carriers.</w:t>
      </w:r>
    </w:p>
    <w:p w14:paraId="45C9EAA8" w14:textId="77777777" w:rsidR="00AA6023" w:rsidRPr="00477EDF" w:rsidRDefault="00AA6023" w:rsidP="00AA6023">
      <w:pPr>
        <w:widowControl/>
        <w:autoSpaceDE/>
        <w:autoSpaceDN/>
        <w:jc w:val="both"/>
        <w:rPr>
          <w:rFonts w:eastAsia="Calibri"/>
        </w:rPr>
      </w:pPr>
    </w:p>
    <w:p w14:paraId="6E3BFB15"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Oversight of a Rehabilitation</w:t>
      </w:r>
    </w:p>
    <w:p w14:paraId="0E1C3C7C"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The Commissioner generally would appoint a Deputy Rehabilitators. The [</w:t>
      </w:r>
      <w:r w:rsidRPr="00477EDF">
        <w:rPr>
          <w:rFonts w:eastAsia="Calibri"/>
          <w:i/>
          <w:iCs/>
        </w:rPr>
        <w:t>Specify the title of any department director of receivership, other position, or standing receivership support organization</w:t>
      </w:r>
      <w:r w:rsidRPr="00477EDF">
        <w:rPr>
          <w:rFonts w:eastAsia="Calibri"/>
        </w:rPr>
        <w:t xml:space="preserve">] is usually appointed as Deputy Rehabilitator or manages the rehabilitation staff if they are outside consultants. Given the insurer’s size and complexity, the Deputy Rehabilitator would likely hire a rehabilitation team to assist in the Rehabilitation. The rehabilitation team would likely have specialists such as actuaries, investment specialists and others. </w:t>
      </w:r>
      <w:r w:rsidRPr="00477EDF">
        <w:rPr>
          <w:rFonts w:eastAsia="Calibri"/>
          <w:i/>
          <w:iCs/>
        </w:rPr>
        <w:t xml:space="preserve">[Insert any needed specialists based on the insurer’s unique risk profile.]  </w:t>
      </w:r>
      <w:r w:rsidRPr="00477EDF">
        <w:rPr>
          <w:rFonts w:eastAsia="Calibri"/>
        </w:rPr>
        <w:t xml:space="preserve">An investment bank may be hired to assist in identifying potential purchasers of blocks of business, merger partners or sources of capital infusion. </w:t>
      </w:r>
    </w:p>
    <w:p w14:paraId="6C490B3B" w14:textId="77777777" w:rsidR="00AA6023" w:rsidRPr="00477EDF" w:rsidRDefault="00AA6023" w:rsidP="00AA6023">
      <w:pPr>
        <w:widowControl/>
        <w:numPr>
          <w:ilvl w:val="0"/>
          <w:numId w:val="4"/>
        </w:numPr>
        <w:autoSpaceDE/>
        <w:autoSpaceDN/>
        <w:spacing w:after="240"/>
        <w:ind w:left="720"/>
        <w:contextualSpacing/>
        <w:jc w:val="both"/>
        <w:rPr>
          <w:rFonts w:eastAsia="Calibri"/>
        </w:rPr>
      </w:pPr>
      <w:r w:rsidRPr="00477EDF">
        <w:rPr>
          <w:rFonts w:eastAsia="Calibri"/>
        </w:rPr>
        <w:lastRenderedPageBreak/>
        <w:t xml:space="preserve">The </w:t>
      </w:r>
      <w:bookmarkStart w:id="3" w:name="_Hlk138922540"/>
      <w:r w:rsidRPr="00477EDF">
        <w:rPr>
          <w:rFonts w:eastAsia="Calibri"/>
        </w:rPr>
        <w:t>[</w:t>
      </w:r>
      <w:r w:rsidRPr="00477EDF">
        <w:rPr>
          <w:rFonts w:eastAsia="Calibri"/>
          <w:i/>
          <w:iCs/>
        </w:rPr>
        <w:t>name of the department’s Receivership or other Division</w:t>
      </w:r>
      <w:r w:rsidRPr="00477EDF">
        <w:rPr>
          <w:rFonts w:eastAsia="Calibri"/>
        </w:rPr>
        <w:t xml:space="preserve">] </w:t>
      </w:r>
      <w:bookmarkEnd w:id="3"/>
      <w:r w:rsidRPr="00477EDF">
        <w:rPr>
          <w:rFonts w:eastAsia="Calibri"/>
        </w:rPr>
        <w:t xml:space="preserve">has procedures in place for hiring outside specialists/outside Deputy Rehabilitators as well as a list of qualified vendors. The hiring of any outside consultants/specialists is subject to </w:t>
      </w:r>
      <w:r w:rsidRPr="00477EDF">
        <w:rPr>
          <w:rFonts w:eastAsia="Calibri"/>
          <w:i/>
          <w:iCs/>
        </w:rPr>
        <w:t>[Specify state’s rules on hiring and compensation such as “the Receivership procurement procedures”]</w:t>
      </w:r>
      <w:r w:rsidRPr="00477EDF">
        <w:rPr>
          <w:rFonts w:eastAsia="Calibri"/>
        </w:rPr>
        <w:t xml:space="preserve"> and their compensation is subject to Court approval. [</w:t>
      </w:r>
      <w:r w:rsidRPr="00477EDF">
        <w:rPr>
          <w:rFonts w:eastAsia="Calibri"/>
          <w:i/>
          <w:iCs/>
        </w:rPr>
        <w:t>Specify the state’s legal structure for handling receivership matters, such as “The Attorney General usually handles receivership matters for the Commissioner”</w:t>
      </w:r>
      <w:r w:rsidRPr="00477EDF">
        <w:rPr>
          <w:rFonts w:eastAsia="Calibri"/>
        </w:rPr>
        <w:t xml:space="preserve">]. </w:t>
      </w:r>
    </w:p>
    <w:p w14:paraId="4940BA63" w14:textId="77777777" w:rsidR="00AA6023" w:rsidRPr="00477EDF" w:rsidRDefault="00AA6023" w:rsidP="00AA6023">
      <w:pPr>
        <w:widowControl/>
        <w:numPr>
          <w:ilvl w:val="0"/>
          <w:numId w:val="4"/>
        </w:numPr>
        <w:autoSpaceDE/>
        <w:autoSpaceDN/>
        <w:spacing w:after="240"/>
        <w:ind w:left="720"/>
        <w:contextualSpacing/>
        <w:jc w:val="both"/>
        <w:rPr>
          <w:rFonts w:eastAsia="Calibri"/>
        </w:rPr>
      </w:pPr>
      <w:r w:rsidRPr="00477EDF">
        <w:rPr>
          <w:rFonts w:eastAsia="Calibri"/>
        </w:rPr>
        <w:t xml:space="preserve">Because of [insurer’s] size and complexity, it may be necessary to hire outside legal counsel. There are </w:t>
      </w:r>
      <w:proofErr w:type="gramStart"/>
      <w:r w:rsidRPr="00477EDF">
        <w:rPr>
          <w:rFonts w:eastAsia="Calibri"/>
        </w:rPr>
        <w:t>a number of</w:t>
      </w:r>
      <w:proofErr w:type="gramEnd"/>
      <w:r w:rsidRPr="00477EDF">
        <w:rPr>
          <w:rFonts w:eastAsia="Calibri"/>
        </w:rPr>
        <w:t xml:space="preserve"> qualified law firms that have significant national rehabilitation legal experience. Any outside legal counsel and their compensation would be subject to Court approval. </w:t>
      </w:r>
    </w:p>
    <w:p w14:paraId="533B4DCB" w14:textId="77777777" w:rsidR="00AA6023" w:rsidRPr="00477EDF" w:rsidRDefault="00AA6023" w:rsidP="00AA6023">
      <w:pPr>
        <w:widowControl/>
        <w:numPr>
          <w:ilvl w:val="0"/>
          <w:numId w:val="4"/>
        </w:numPr>
        <w:autoSpaceDE/>
        <w:autoSpaceDN/>
        <w:spacing w:after="240"/>
        <w:ind w:left="720"/>
        <w:contextualSpacing/>
        <w:jc w:val="both"/>
        <w:rPr>
          <w:rFonts w:eastAsia="Calibri"/>
        </w:rPr>
      </w:pPr>
      <w:r w:rsidRPr="00477EDF">
        <w:rPr>
          <w:rFonts w:eastAsia="Calibri"/>
        </w:rPr>
        <w:t>[</w:t>
      </w:r>
      <w:r w:rsidRPr="00477EDF">
        <w:rPr>
          <w:rFonts w:eastAsia="Calibri"/>
          <w:i/>
          <w:iCs/>
        </w:rPr>
        <w:t>Specify the state’s rules on funding of compensation, such as “Payment of any outside specialists, Deputy Rehabilitators and/or legal funds would be paid out of the Rehabilitation estate funds. The (Name of the department’s receivership director, if applicable) costs are funded by the Department subject to potential reimbursement by the Rehabilitation estate.”]</w:t>
      </w:r>
      <w:r w:rsidRPr="00477EDF">
        <w:rPr>
          <w:rFonts w:eastAsia="Calibri"/>
        </w:rPr>
        <w:t xml:space="preserve">  </w:t>
      </w:r>
    </w:p>
    <w:p w14:paraId="252438D1" w14:textId="77777777" w:rsidR="00AA6023" w:rsidRPr="00477EDF" w:rsidRDefault="00AA6023" w:rsidP="00AA6023">
      <w:pPr>
        <w:widowControl/>
        <w:numPr>
          <w:ilvl w:val="0"/>
          <w:numId w:val="4"/>
        </w:numPr>
        <w:autoSpaceDE/>
        <w:autoSpaceDN/>
        <w:spacing w:after="240"/>
        <w:ind w:left="720"/>
        <w:contextualSpacing/>
        <w:jc w:val="both"/>
        <w:rPr>
          <w:rFonts w:eastAsia="Calibri"/>
        </w:rPr>
      </w:pPr>
      <w:r w:rsidRPr="00477EDF">
        <w:rPr>
          <w:rFonts w:eastAsia="Calibri"/>
        </w:rPr>
        <w:t xml:space="preserve">The Deputy Rehabilitator and the Rehabilitation team are responsible for the day-to-day operations of the company. </w:t>
      </w:r>
    </w:p>
    <w:p w14:paraId="79A47C1E"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Deputy Rehabilitator and the rehabilitation team would be responsible for drafting a plan of Rehabilitation subject to the Rehabilitator and the Court’s approval. The Rehabilitation plan may include reorganization, reinsurance of various blocks of company business, merger or purchase or other options </w:t>
      </w:r>
      <w:proofErr w:type="gramStart"/>
      <w:r w:rsidRPr="00477EDF">
        <w:rPr>
          <w:rFonts w:eastAsia="Calibri"/>
        </w:rPr>
        <w:t>in order for</w:t>
      </w:r>
      <w:proofErr w:type="gramEnd"/>
      <w:r w:rsidRPr="00477EDF">
        <w:rPr>
          <w:rFonts w:eastAsia="Calibri"/>
        </w:rPr>
        <w:t xml:space="preserve"> the company to meet its obligations to policyholders and creditors. The Rehabilitator generally is required to follow the principle that no creditor should be worse off in a Rehabilitation than the creditor would be treated in a liquidation. The Rehabilitation Plan will follow the creditor priorities as stated in [Insurance Code]. The Deputy Rehabilitator would seek guaranty association input on any sale or reinsurance of company blocks of business. The Deputy Rehabilitator and the Rehabilitation team would be responsible for communicating the plan of Rehabilitation to all interested parties. </w:t>
      </w:r>
    </w:p>
    <w:p w14:paraId="363A9511" w14:textId="77777777" w:rsidR="00AA6023" w:rsidRPr="00477EDF" w:rsidRDefault="00AA6023" w:rsidP="00AA6023">
      <w:pPr>
        <w:widowControl/>
        <w:autoSpaceDE/>
        <w:autoSpaceDN/>
        <w:ind w:left="720" w:hanging="360"/>
        <w:jc w:val="both"/>
        <w:rPr>
          <w:rFonts w:eastAsia="Calibri"/>
        </w:rPr>
      </w:pPr>
    </w:p>
    <w:p w14:paraId="007584EC" w14:textId="77777777" w:rsidR="00AA6023" w:rsidRPr="00477EDF" w:rsidRDefault="00AA6023" w:rsidP="00AA6023">
      <w:pPr>
        <w:widowControl/>
        <w:autoSpaceDE/>
        <w:autoSpaceDN/>
        <w:ind w:left="720" w:hanging="360"/>
        <w:jc w:val="both"/>
        <w:rPr>
          <w:rFonts w:eastAsia="Calibri"/>
        </w:rPr>
      </w:pPr>
    </w:p>
    <w:p w14:paraId="3778F9BF" w14:textId="77777777" w:rsidR="00AA6023" w:rsidRPr="00477EDF" w:rsidRDefault="00AA6023" w:rsidP="00AA6023">
      <w:pPr>
        <w:widowControl/>
        <w:numPr>
          <w:ilvl w:val="0"/>
          <w:numId w:val="3"/>
        </w:numPr>
        <w:pBdr>
          <w:bottom w:val="single" w:sz="4" w:space="1" w:color="auto"/>
        </w:pBdr>
        <w:autoSpaceDE/>
        <w:autoSpaceDN/>
        <w:spacing w:after="240"/>
        <w:contextualSpacing/>
        <w:jc w:val="both"/>
        <w:rPr>
          <w:rFonts w:eastAsia="Calibri"/>
          <w:b/>
          <w:smallCaps/>
        </w:rPr>
      </w:pPr>
      <w:r w:rsidRPr="00477EDF">
        <w:rPr>
          <w:rFonts w:eastAsia="Calibri"/>
          <w:b/>
          <w:smallCaps/>
        </w:rPr>
        <w:t>Order of Liquidation</w:t>
      </w:r>
    </w:p>
    <w:p w14:paraId="3711EE14" w14:textId="77777777" w:rsidR="00AA6023" w:rsidRPr="00477EDF" w:rsidRDefault="00AA6023" w:rsidP="00AA6023">
      <w:pPr>
        <w:widowControl/>
        <w:autoSpaceDE/>
        <w:autoSpaceDN/>
        <w:jc w:val="both"/>
        <w:rPr>
          <w:rFonts w:eastAsia="Calibri"/>
        </w:rPr>
      </w:pPr>
      <w:r w:rsidRPr="00477EDF">
        <w:rPr>
          <w:rFonts w:eastAsia="Calibri"/>
        </w:rPr>
        <w:t xml:space="preserve">Liquidation is the most severe resolution proceeding. Liquidation is designed to wind down and dissolve the company and distribute any remaining assets to its outstanding creditors. </w:t>
      </w:r>
    </w:p>
    <w:p w14:paraId="45E74477" w14:textId="77777777" w:rsidR="00AA6023" w:rsidRPr="00477EDF" w:rsidRDefault="00AA6023" w:rsidP="00AA6023">
      <w:pPr>
        <w:widowControl/>
        <w:autoSpaceDE/>
        <w:autoSpaceDN/>
        <w:jc w:val="both"/>
        <w:rPr>
          <w:rFonts w:eastAsia="Calibri"/>
        </w:rPr>
      </w:pPr>
    </w:p>
    <w:p w14:paraId="543A62D8" w14:textId="77777777" w:rsidR="00AA6023" w:rsidRPr="00477EDF" w:rsidRDefault="00AA6023" w:rsidP="00AA6023">
      <w:pPr>
        <w:widowControl/>
        <w:autoSpaceDE/>
        <w:autoSpaceDN/>
        <w:jc w:val="both"/>
        <w:rPr>
          <w:rFonts w:eastAsia="Calibri"/>
        </w:rPr>
      </w:pPr>
      <w:r w:rsidRPr="00477EDF">
        <w:rPr>
          <w:rFonts w:eastAsia="Calibri"/>
        </w:rPr>
        <w:t xml:space="preserve">[Insurance Code] allows the Commissioner to petition the Court for an order of Liquidation based on any ground for an order of Rehabilitation, the insurer being insolvent or the fact that the continued transaction of business would be hazardous to policyholders, creditors, or the public. </w:t>
      </w:r>
    </w:p>
    <w:p w14:paraId="5EEEDB99" w14:textId="77777777" w:rsidR="00AA6023" w:rsidRPr="00477EDF" w:rsidRDefault="00AA6023" w:rsidP="00AA6023">
      <w:pPr>
        <w:widowControl/>
        <w:autoSpaceDE/>
        <w:autoSpaceDN/>
        <w:jc w:val="both"/>
        <w:rPr>
          <w:rFonts w:eastAsia="Calibri"/>
        </w:rPr>
      </w:pPr>
    </w:p>
    <w:p w14:paraId="0C6B6257"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The Order</w:t>
      </w:r>
    </w:p>
    <w:p w14:paraId="0EA84A59"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Liquidation orders are public documents and are subject to judicial oversight by [Name of the Court]. </w:t>
      </w:r>
    </w:p>
    <w:p w14:paraId="6938E849"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Liquidation order vests title of the assets with the Commissioner as Liquidator. </w:t>
      </w:r>
    </w:p>
    <w:p w14:paraId="47341BF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Liquidations are complicated by unexpected or prolonged litigation, federal tax issues, unexpected or inaccurate reserves for liabilities, asset valuation issues and collection of receivables especially reinsurance related receivables. </w:t>
      </w:r>
    </w:p>
    <w:p w14:paraId="3521148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length of time of a Liquidation is dependent on the complexity, financial condition, and size of the company. A Liquidation can take multiple years to complete, often even longer than a Rehabilitation, to achieve the best possible outcome for policyholders and other creditors.</w:t>
      </w:r>
    </w:p>
    <w:p w14:paraId="511DD51D" w14:textId="77777777" w:rsidR="00AA6023" w:rsidRPr="00477EDF" w:rsidRDefault="00AA6023" w:rsidP="00AA6023">
      <w:pPr>
        <w:widowControl/>
        <w:autoSpaceDE/>
        <w:autoSpaceDN/>
        <w:ind w:left="720"/>
        <w:contextualSpacing/>
        <w:jc w:val="both"/>
        <w:rPr>
          <w:rFonts w:eastAsia="Calibri"/>
        </w:rPr>
      </w:pPr>
    </w:p>
    <w:p w14:paraId="0085915B" w14:textId="77777777" w:rsidR="00AA6023" w:rsidRPr="00477EDF" w:rsidRDefault="00AA6023" w:rsidP="00AA6023">
      <w:pPr>
        <w:widowControl/>
        <w:autoSpaceDE/>
        <w:autoSpaceDN/>
        <w:jc w:val="both"/>
        <w:rPr>
          <w:rFonts w:eastAsia="Calibri"/>
          <w:u w:val="single"/>
        </w:rPr>
      </w:pPr>
      <w:r w:rsidRPr="00477EDF">
        <w:rPr>
          <w:rFonts w:eastAsia="Calibri"/>
          <w:u w:val="single"/>
        </w:rPr>
        <w:t>Operations of a Liquidation</w:t>
      </w:r>
    </w:p>
    <w:p w14:paraId="1F25FF0A"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 xml:space="preserve">After the Court has issued the Liquidation order all new business writings would cease. </w:t>
      </w:r>
    </w:p>
    <w:p w14:paraId="0FB5F835" w14:textId="77777777" w:rsidR="00AA6023" w:rsidRPr="00477EDF" w:rsidRDefault="00AA6023" w:rsidP="00AA6023">
      <w:pPr>
        <w:widowControl/>
        <w:numPr>
          <w:ilvl w:val="0"/>
          <w:numId w:val="10"/>
        </w:numPr>
        <w:autoSpaceDE/>
        <w:autoSpaceDN/>
        <w:adjustRightInd w:val="0"/>
        <w:spacing w:after="240"/>
        <w:contextualSpacing/>
        <w:jc w:val="both"/>
        <w:rPr>
          <w:rFonts w:eastAsia="Calibri"/>
          <w:i/>
          <w:iCs/>
        </w:rPr>
      </w:pPr>
      <w:r w:rsidRPr="00477EDF">
        <w:rPr>
          <w:rFonts w:eastAsia="Calibri"/>
          <w:i/>
          <w:iCs/>
        </w:rPr>
        <w:t>[Insert applicable insurance code that describes the effect of the order of liquidation upon contracts of the insolvent insurer, i.e., continuance in force, termination, or cancelation of policies:]</w:t>
      </w:r>
    </w:p>
    <w:p w14:paraId="52FFB280" w14:textId="77777777" w:rsidR="00AA6023" w:rsidRPr="00477EDF" w:rsidRDefault="00AA6023" w:rsidP="00AA6023">
      <w:pPr>
        <w:widowControl/>
        <w:numPr>
          <w:ilvl w:val="1"/>
          <w:numId w:val="11"/>
        </w:numPr>
        <w:autoSpaceDE/>
        <w:autoSpaceDN/>
        <w:adjustRightInd w:val="0"/>
        <w:spacing w:after="240"/>
        <w:ind w:left="1080"/>
        <w:contextualSpacing/>
        <w:jc w:val="both"/>
        <w:rPr>
          <w:rFonts w:eastAsia="Calibri"/>
        </w:rPr>
      </w:pPr>
      <w:r w:rsidRPr="00477EDF">
        <w:rPr>
          <w:rFonts w:eastAsia="Calibri"/>
        </w:rPr>
        <w:lastRenderedPageBreak/>
        <w:t>[Insurance code] provides that upon issuance of the order, all the rights and liabilities of the insurer, its creditors and policyholders are fixed as of the date of entry of the order of liquidation. The Liquidation order provides notice to policyholders and terminates policies and contracts where a guarantee of insurance is provided upon [</w:t>
      </w:r>
      <w:r w:rsidRPr="00477EDF">
        <w:rPr>
          <w:rFonts w:eastAsia="Calibri"/>
          <w:i/>
          <w:iCs/>
        </w:rPr>
        <w:t>insert</w:t>
      </w:r>
      <w:r w:rsidRPr="00477EDF">
        <w:rPr>
          <w:rFonts w:eastAsia="Calibri"/>
        </w:rPr>
        <w:t xml:space="preserve"> </w:t>
      </w:r>
      <w:r w:rsidRPr="00477EDF">
        <w:rPr>
          <w:rFonts w:eastAsia="Calibri"/>
          <w:i/>
          <w:iCs/>
        </w:rPr>
        <w:t>termination period</w:t>
      </w:r>
      <w:r w:rsidRPr="00477EDF">
        <w:rPr>
          <w:rFonts w:eastAsia="Calibri"/>
        </w:rPr>
        <w:t>].</w:t>
      </w:r>
    </w:p>
    <w:p w14:paraId="366FC542" w14:textId="77777777" w:rsidR="00AA6023" w:rsidRPr="00477EDF" w:rsidRDefault="00AA6023" w:rsidP="00AA6023">
      <w:pPr>
        <w:widowControl/>
        <w:numPr>
          <w:ilvl w:val="0"/>
          <w:numId w:val="11"/>
        </w:numPr>
        <w:autoSpaceDE/>
        <w:autoSpaceDN/>
        <w:spacing w:after="240"/>
        <w:contextualSpacing/>
        <w:jc w:val="both"/>
        <w:rPr>
          <w:rFonts w:eastAsia="Calibri"/>
        </w:rPr>
      </w:pPr>
      <w:r w:rsidRPr="00477EDF">
        <w:rPr>
          <w:rFonts w:eastAsia="Calibri"/>
          <w:i/>
          <w:iCs/>
        </w:rPr>
        <w:t xml:space="preserve">[For life, annuity, and health insurers.] </w:t>
      </w:r>
      <w:r w:rsidRPr="00477EDF">
        <w:rPr>
          <w:rFonts w:eastAsia="Calibri"/>
        </w:rPr>
        <w:t>Life and health insurance policies and annuities shall continue in force for such a period and under such terms provided for by the guaranty associations. Those life, health and annuity products not covered by a guaranty association would terminate [Insert termination period from state statute]. The Liquidation order could include a temporary moratorium on cash surrenders or policy loans except in defined hardship matters. If the Liquidator sells or reinsures a block of business with another insurer an additional moratorium may be implemented before the policyholder can change insurers.</w:t>
      </w:r>
    </w:p>
    <w:p w14:paraId="78EF5495" w14:textId="77777777" w:rsidR="00AA6023" w:rsidRPr="00477EDF" w:rsidRDefault="00AA6023" w:rsidP="00AA6023">
      <w:pPr>
        <w:widowControl/>
        <w:numPr>
          <w:ilvl w:val="0"/>
          <w:numId w:val="1"/>
        </w:numPr>
        <w:tabs>
          <w:tab w:val="left" w:pos="540"/>
        </w:tabs>
        <w:autoSpaceDE/>
        <w:autoSpaceDN/>
        <w:spacing w:after="240"/>
        <w:ind w:left="720"/>
        <w:contextualSpacing/>
        <w:jc w:val="both"/>
        <w:rPr>
          <w:rFonts w:eastAsia="Calibri"/>
        </w:rPr>
      </w:pPr>
      <w:r w:rsidRPr="00477EDF">
        <w:rPr>
          <w:rFonts w:eastAsia="Calibri"/>
          <w:i/>
          <w:iCs/>
        </w:rPr>
        <w:t>[Insert the state’s handling in liquidation of any material issues or risks or unique policy types that are specific to the insurer that may require special consideration, such as the following:]</w:t>
      </w:r>
    </w:p>
    <w:p w14:paraId="108CCFA5" w14:textId="77777777" w:rsidR="00AA6023" w:rsidRPr="00477EDF" w:rsidRDefault="00AA6023" w:rsidP="00AA6023">
      <w:pPr>
        <w:widowControl/>
        <w:numPr>
          <w:ilvl w:val="1"/>
          <w:numId w:val="1"/>
        </w:numPr>
        <w:tabs>
          <w:tab w:val="left" w:pos="540"/>
        </w:tabs>
        <w:autoSpaceDE/>
        <w:autoSpaceDN/>
        <w:spacing w:after="240"/>
        <w:ind w:left="1080"/>
        <w:contextualSpacing/>
        <w:jc w:val="both"/>
        <w:rPr>
          <w:rFonts w:eastAsia="Calibri"/>
        </w:rPr>
      </w:pPr>
      <w:r w:rsidRPr="00477EDF">
        <w:rPr>
          <w:rFonts w:eastAsia="Calibri"/>
        </w:rPr>
        <w:t>Treatment of derivative counterparties will be subject to [insert state law if applicable].</w:t>
      </w:r>
    </w:p>
    <w:p w14:paraId="050695A2" w14:textId="77777777" w:rsidR="00AA6023" w:rsidRPr="00477EDF" w:rsidRDefault="00AA6023" w:rsidP="00AA6023">
      <w:pPr>
        <w:widowControl/>
        <w:numPr>
          <w:ilvl w:val="1"/>
          <w:numId w:val="1"/>
        </w:numPr>
        <w:tabs>
          <w:tab w:val="left" w:pos="540"/>
        </w:tabs>
        <w:autoSpaceDE/>
        <w:autoSpaceDN/>
        <w:spacing w:after="240"/>
        <w:ind w:left="1080"/>
        <w:contextualSpacing/>
        <w:jc w:val="both"/>
        <w:rPr>
          <w:rFonts w:eastAsia="Calibri"/>
        </w:rPr>
      </w:pPr>
      <w:r w:rsidRPr="00477EDF">
        <w:rPr>
          <w:rFonts w:eastAsia="Calibri"/>
        </w:rPr>
        <w:t>If the company has any secured loans outstanding, for example, advances of credit from a Federal Home Loan Bank (FHLB), the lender would be able to take possession of any collateral pledged as security for the loan amounts.</w:t>
      </w:r>
    </w:p>
    <w:p w14:paraId="68A70D2A" w14:textId="77777777" w:rsidR="00AA6023" w:rsidRPr="00477EDF" w:rsidRDefault="00AA6023" w:rsidP="00AA6023">
      <w:pPr>
        <w:widowControl/>
        <w:numPr>
          <w:ilvl w:val="1"/>
          <w:numId w:val="1"/>
        </w:numPr>
        <w:tabs>
          <w:tab w:val="left" w:pos="540"/>
        </w:tabs>
        <w:autoSpaceDE/>
        <w:autoSpaceDN/>
        <w:spacing w:after="240"/>
        <w:ind w:left="1080"/>
        <w:contextualSpacing/>
        <w:jc w:val="both"/>
        <w:rPr>
          <w:rFonts w:eastAsia="Calibri"/>
        </w:rPr>
      </w:pPr>
      <w:r w:rsidRPr="00477EDF">
        <w:rPr>
          <w:rFonts w:eastAsia="Calibri"/>
        </w:rPr>
        <w:t>[Insurance code] excludes [</w:t>
      </w:r>
      <w:r w:rsidRPr="00477EDF">
        <w:rPr>
          <w:rFonts w:eastAsia="Calibri"/>
          <w:i/>
          <w:iCs/>
        </w:rPr>
        <w:t>material policy types or business not covered</w:t>
      </w:r>
      <w:r w:rsidRPr="00477EDF">
        <w:rPr>
          <w:rFonts w:eastAsia="Calibri"/>
        </w:rPr>
        <w:t>] from guaranty fund coverage.</w:t>
      </w:r>
    </w:p>
    <w:p w14:paraId="6BB0EFA1" w14:textId="77777777" w:rsidR="00AA6023" w:rsidRPr="00477EDF" w:rsidRDefault="00AA6023" w:rsidP="00AA6023">
      <w:pPr>
        <w:widowControl/>
        <w:numPr>
          <w:ilvl w:val="1"/>
          <w:numId w:val="1"/>
        </w:numPr>
        <w:tabs>
          <w:tab w:val="left" w:pos="540"/>
        </w:tabs>
        <w:autoSpaceDE/>
        <w:autoSpaceDN/>
        <w:spacing w:after="240"/>
        <w:ind w:left="1080"/>
        <w:contextualSpacing/>
        <w:jc w:val="both"/>
        <w:rPr>
          <w:rFonts w:eastAsia="Calibri"/>
          <w:i/>
          <w:iCs/>
        </w:rPr>
      </w:pPr>
      <w:r w:rsidRPr="00477EDF">
        <w:rPr>
          <w:rFonts w:eastAsia="Calibri"/>
          <w:i/>
          <w:iCs/>
        </w:rPr>
        <w:t>[Describe the handling of significant assumed reinsurance business in receivership, if the US entity is a reinsurer or a direct writer with a significant assumed book of business. e.g., exclusion from guaranty fund coverage; claims fall within general creditor class of priorities; limitations on setoffs.]</w:t>
      </w:r>
    </w:p>
    <w:p w14:paraId="7DE5D87D"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Liquidation order would terminate the authority of the board of directors and officers. </w:t>
      </w:r>
    </w:p>
    <w:p w14:paraId="75AF2DE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A Liquidation order with a finding of insolvency entered against a member insurer would trigger guaranty association involvement and coverage under their statutes. </w:t>
      </w:r>
    </w:p>
    <w:p w14:paraId="5C81699C"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Liquidation order would contain an injunction against filing new legal actions or pursuing current actions. </w:t>
      </w:r>
    </w:p>
    <w:p w14:paraId="6BBD6C65"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Proof of claim forms would need to be sent out for unpaid pre-liquidation liabilities. </w:t>
      </w:r>
    </w:p>
    <w:p w14:paraId="5CF46004"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It is likely that other state insurance departments would seek to either revoke or suspend the company’s authority to transact business in their respective states. </w:t>
      </w:r>
    </w:p>
    <w:p w14:paraId="26146713"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Commissioner would coordinate actions with </w:t>
      </w:r>
      <w:r w:rsidRPr="00477EDF">
        <w:rPr>
          <w:rFonts w:eastAsia="Calibri"/>
          <w:i/>
          <w:iCs/>
        </w:rPr>
        <w:t>[Insert name(s) of other state insurance departments where multiple insurers are domiciled in multiple states, and federal and international supervisors, as applicable].</w:t>
      </w:r>
    </w:p>
    <w:p w14:paraId="77C313C6"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Liquidator would need to discuss the transition of policyholder administration and claims adjudication processes with the affected guaranty associations (with such conversations happening in advance of a liquidation order being issued).</w:t>
      </w:r>
    </w:p>
    <w:p w14:paraId="11DA84E6"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Various matters will need to be filed with the Court for approval including legal settlements, any distribution to liquidation creditors, modifications of contractual obligations, sales of assets and/or transfers of existing business to other insurance carriers.</w:t>
      </w:r>
    </w:p>
    <w:p w14:paraId="072929AD" w14:textId="77777777" w:rsidR="00AA6023" w:rsidRPr="00477EDF" w:rsidRDefault="00AA6023" w:rsidP="00AA6023">
      <w:pPr>
        <w:widowControl/>
        <w:autoSpaceDE/>
        <w:autoSpaceDN/>
        <w:jc w:val="both"/>
        <w:rPr>
          <w:rFonts w:eastAsia="Calibri"/>
        </w:rPr>
      </w:pPr>
    </w:p>
    <w:p w14:paraId="51307537" w14:textId="77777777" w:rsidR="00AA6023" w:rsidRPr="00477EDF" w:rsidRDefault="00AA6023" w:rsidP="00AA6023">
      <w:pPr>
        <w:widowControl/>
        <w:autoSpaceDE/>
        <w:autoSpaceDN/>
        <w:jc w:val="both"/>
        <w:rPr>
          <w:rFonts w:eastAsia="Calibri"/>
          <w:u w:val="single"/>
        </w:rPr>
      </w:pPr>
      <w:r w:rsidRPr="00477EDF">
        <w:rPr>
          <w:rFonts w:eastAsia="Calibri"/>
          <w:u w:val="single"/>
        </w:rPr>
        <w:t>Oversight of a Liquidation</w:t>
      </w:r>
    </w:p>
    <w:p w14:paraId="4B0D8EA1" w14:textId="77777777" w:rsidR="00AA6023" w:rsidRPr="00477EDF" w:rsidRDefault="00AA6023" w:rsidP="00AA6023">
      <w:pPr>
        <w:widowControl/>
        <w:autoSpaceDE/>
        <w:autoSpaceDN/>
        <w:ind w:left="720" w:hanging="360"/>
        <w:jc w:val="both"/>
        <w:rPr>
          <w:rFonts w:eastAsia="Calibri"/>
          <w:i/>
          <w:iCs/>
        </w:rPr>
      </w:pPr>
      <w:r w:rsidRPr="00477EDF">
        <w:rPr>
          <w:rFonts w:eastAsia="Calibri"/>
        </w:rPr>
        <w:t>•</w:t>
      </w:r>
      <w:r w:rsidRPr="00477EDF">
        <w:rPr>
          <w:rFonts w:eastAsia="Calibri"/>
        </w:rPr>
        <w:tab/>
        <w:t xml:space="preserve">The Commissioner may appoint a Deputy Liquidator. Given [insurer’s] size and complexity, the Deputy Liquidator would likely hire temporary staff to assist them in the Liquidation. The Deputy Liquidator may hire specialists such as actuaries, investment specialists and others to evaluate certain areas of the company. </w:t>
      </w:r>
      <w:r w:rsidRPr="00477EDF">
        <w:rPr>
          <w:rFonts w:eastAsia="Calibri"/>
          <w:i/>
          <w:iCs/>
        </w:rPr>
        <w:t>[Insert any needed specialists based on the insurer’s unique risk profile.]</w:t>
      </w:r>
    </w:p>
    <w:p w14:paraId="6225938C"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w:t>
      </w:r>
      <w:r w:rsidRPr="00477EDF">
        <w:rPr>
          <w:rFonts w:eastAsia="Calibri"/>
          <w:i/>
          <w:iCs/>
        </w:rPr>
        <w:t>Specify the title of any department director of receivership, other position, or standing receivership support organization</w:t>
      </w:r>
      <w:r w:rsidRPr="00477EDF">
        <w:rPr>
          <w:rFonts w:eastAsia="Calibri"/>
        </w:rPr>
        <w:t>] is usually appointed as Deputy Liquidator or manages the liquidation staff if they are outside consultants. The [N</w:t>
      </w:r>
      <w:r w:rsidRPr="00477EDF">
        <w:rPr>
          <w:rFonts w:eastAsia="Calibri"/>
          <w:i/>
          <w:iCs/>
        </w:rPr>
        <w:t xml:space="preserve">ame of the department’s Receivership or </w:t>
      </w:r>
      <w:r w:rsidRPr="00477EDF">
        <w:rPr>
          <w:rFonts w:eastAsia="Calibri"/>
          <w:i/>
          <w:iCs/>
        </w:rPr>
        <w:lastRenderedPageBreak/>
        <w:t>other Division</w:t>
      </w:r>
      <w:r w:rsidRPr="00477EDF">
        <w:rPr>
          <w:rFonts w:eastAsia="Calibri"/>
        </w:rPr>
        <w:t xml:space="preserve">] has procedures in place for hiring outside specialists and outside Deputy Liquidator as well as a list of qualified vendors. The hiring of any outside consultants/specialists is subject to </w:t>
      </w:r>
      <w:r w:rsidRPr="00477EDF">
        <w:rPr>
          <w:rFonts w:eastAsia="Calibri"/>
          <w:i/>
          <w:iCs/>
        </w:rPr>
        <w:t>[Specify state’s rules on hiring and compensation such as “the Receivership procurement procedures”]</w:t>
      </w:r>
      <w:r w:rsidRPr="00477EDF">
        <w:rPr>
          <w:rFonts w:eastAsia="Calibri"/>
        </w:rPr>
        <w:t xml:space="preserve"> and their compensation is subject to Court approval. [</w:t>
      </w:r>
      <w:r w:rsidRPr="00477EDF">
        <w:rPr>
          <w:rFonts w:eastAsia="Calibri"/>
          <w:i/>
          <w:iCs/>
        </w:rPr>
        <w:t>Specify the state’s legal structure for handling receivership matters, such as “The Attorney General usually handles receivership matters for the Commissioner”</w:t>
      </w:r>
      <w:r w:rsidRPr="00477EDF">
        <w:rPr>
          <w:rFonts w:eastAsia="Calibri"/>
        </w:rPr>
        <w:t xml:space="preserve">].  </w:t>
      </w:r>
    </w:p>
    <w:p w14:paraId="569A52A0"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Because of [insurer’s] size and complexity, it may be necessary to hire outside legal counsel. There are </w:t>
      </w:r>
      <w:proofErr w:type="gramStart"/>
      <w:r w:rsidRPr="00477EDF">
        <w:rPr>
          <w:rFonts w:eastAsia="Calibri"/>
        </w:rPr>
        <w:t>a number of</w:t>
      </w:r>
      <w:proofErr w:type="gramEnd"/>
      <w:r w:rsidRPr="00477EDF">
        <w:rPr>
          <w:rFonts w:eastAsia="Calibri"/>
        </w:rPr>
        <w:t xml:space="preserve"> qualified law firms that have significant national liquidation legal experience. Any outside legal counsel and their compensation would be subject to Court approval. [</w:t>
      </w:r>
      <w:r w:rsidRPr="00477EDF">
        <w:rPr>
          <w:rFonts w:eastAsia="Calibri"/>
          <w:i/>
          <w:iCs/>
        </w:rPr>
        <w:t>Specify the state’s rules on funding of compensation, such as “Payment of any outside specialists, Deputy Liquidators and/or legal funds would be paid out of the Liquidation estate funds. The (Name of the department’s receivership director, if applicable) costs are funded by the Department subject to potential reimbursement by the Liquidation estate.”]</w:t>
      </w:r>
      <w:r w:rsidRPr="00477EDF">
        <w:rPr>
          <w:rFonts w:eastAsia="Calibri"/>
        </w:rPr>
        <w:t xml:space="preserve">  </w:t>
      </w:r>
    </w:p>
    <w:p w14:paraId="7960AC1F" w14:textId="77777777" w:rsidR="00AA6023" w:rsidRPr="00477EDF" w:rsidRDefault="00AA6023" w:rsidP="00AA6023">
      <w:pPr>
        <w:widowControl/>
        <w:autoSpaceDE/>
        <w:autoSpaceDN/>
        <w:ind w:left="720" w:hanging="360"/>
        <w:jc w:val="both"/>
        <w:rPr>
          <w:rFonts w:eastAsia="Calibri"/>
        </w:rPr>
      </w:pPr>
      <w:r w:rsidRPr="00477EDF">
        <w:rPr>
          <w:rFonts w:eastAsia="Calibri"/>
        </w:rPr>
        <w:t>•</w:t>
      </w:r>
      <w:r w:rsidRPr="00477EDF">
        <w:rPr>
          <w:rFonts w:eastAsia="Calibri"/>
        </w:rPr>
        <w:tab/>
        <w:t xml:space="preserve">The Deputy Liquidator would be responsible for the administration of the Liquidation estate with the goal of the fair and efficient handling of all Liquidation claims and the marshalling of assets to insure the maximum distribution for the Liquidation creditors. The Deputy Liquidator would distribute assets in accordance with the creditor priorities as stated in </w:t>
      </w:r>
      <w:proofErr w:type="gramStart"/>
      <w:r w:rsidRPr="00477EDF">
        <w:rPr>
          <w:rFonts w:eastAsia="Calibri"/>
        </w:rPr>
        <w:t>[Insurance</w:t>
      </w:r>
      <w:proofErr w:type="gramEnd"/>
      <w:r w:rsidRPr="00477EDF">
        <w:rPr>
          <w:rFonts w:eastAsia="Calibri"/>
        </w:rPr>
        <w:t xml:space="preserve"> Code]. The Deputy Liquidator would work with the guaranty association input on any sale or reinsurance of uncovered company blocks of business. </w:t>
      </w:r>
    </w:p>
    <w:p w14:paraId="0CB825F7" w14:textId="77777777" w:rsidR="00AA6023" w:rsidRPr="00477EDF" w:rsidRDefault="00AA6023" w:rsidP="00AA6023">
      <w:pPr>
        <w:widowControl/>
        <w:autoSpaceDE/>
        <w:autoSpaceDN/>
        <w:jc w:val="both"/>
        <w:rPr>
          <w:rFonts w:eastAsia="Calibri"/>
        </w:rPr>
      </w:pPr>
    </w:p>
    <w:p w14:paraId="0F951C39" w14:textId="77777777" w:rsidR="00AA6023" w:rsidRPr="00477EDF" w:rsidRDefault="00AA6023" w:rsidP="00AA6023">
      <w:pPr>
        <w:keepNext/>
        <w:widowControl/>
        <w:autoSpaceDE/>
        <w:autoSpaceDN/>
        <w:jc w:val="both"/>
        <w:rPr>
          <w:rFonts w:eastAsia="Calibri"/>
          <w:u w:val="single"/>
        </w:rPr>
      </w:pPr>
      <w:r w:rsidRPr="00477EDF">
        <w:rPr>
          <w:rFonts w:eastAsia="Calibri"/>
          <w:u w:val="single"/>
        </w:rPr>
        <w:t>Guaranty Associations</w:t>
      </w:r>
    </w:p>
    <w:p w14:paraId="66685F9E" w14:textId="77777777" w:rsidR="00AA6023" w:rsidRPr="00477EDF" w:rsidRDefault="00AA6023" w:rsidP="00AA6023">
      <w:pPr>
        <w:keepNext/>
        <w:widowControl/>
        <w:autoSpaceDE/>
        <w:autoSpaceDN/>
        <w:jc w:val="both"/>
        <w:rPr>
          <w:rFonts w:eastAsia="Calibri"/>
        </w:rPr>
      </w:pPr>
      <w:r w:rsidRPr="00477EDF">
        <w:rPr>
          <w:rFonts w:eastAsia="Calibri"/>
          <w:i/>
          <w:iCs/>
        </w:rPr>
        <w:t>[Due to differences in P&amp;C vs. L&amp;H guaranty funds, this section should be edited for the applicable guaranty fund(s) based on the type(s) of domestic insurer(s) within the scope of the resolution plan.]</w:t>
      </w:r>
    </w:p>
    <w:p w14:paraId="4D2910FB" w14:textId="77777777" w:rsidR="00AA6023" w:rsidRPr="00477EDF" w:rsidRDefault="00AA6023" w:rsidP="00AA6023">
      <w:pPr>
        <w:keepNext/>
        <w:widowControl/>
        <w:autoSpaceDE/>
        <w:autoSpaceDN/>
        <w:jc w:val="both"/>
        <w:rPr>
          <w:rFonts w:eastAsia="Calibri"/>
          <w:u w:val="single"/>
        </w:rPr>
      </w:pPr>
    </w:p>
    <w:p w14:paraId="3B7D4C31"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Guaranty associations are triggered when the member insurer meets the conditions in the statutory definition of “insolvent insurer.”  (i.e., is placed under an order of liquidation with a finding of insolvency).</w:t>
      </w:r>
    </w:p>
    <w:p w14:paraId="50E0D9ED"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Each guaranty association has limits on the amount of coverage it provides for each type of insurance as well as aggregate limits per policyholder. These amounts vary somewhat by state. </w:t>
      </w:r>
    </w:p>
    <w:p w14:paraId="5D15490A"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The Deputy Liquidator and the affected guaranty associations (through NOLHGA or NCIGF) would work together to consider the possibility of reinsuring or transferring the existing blocks of business to new insurers, or on the run-off of remaining blocks of business. Whether in the case of a sale or run-off, guaranty association coverage is determined by the affected guaranty associations in compliance with state law.</w:t>
      </w:r>
    </w:p>
    <w:p w14:paraId="149FECB6"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 xml:space="preserve">The life and health guaranty association may guarantee, assume, or reinsure any or all the insolvent insurer’s covered policies or provide additional funds to another carrier in an assumption of the business. Also, the guaranty association generally </w:t>
      </w:r>
      <w:proofErr w:type="gramStart"/>
      <w:r w:rsidRPr="00477EDF">
        <w:rPr>
          <w:rFonts w:eastAsia="Calibri"/>
        </w:rPr>
        <w:t>have</w:t>
      </w:r>
      <w:proofErr w:type="gramEnd"/>
      <w:r w:rsidRPr="00477EDF">
        <w:rPr>
          <w:rFonts w:eastAsia="Calibri"/>
        </w:rPr>
        <w:t xml:space="preserve"> the authority to issue an alternative policy, modify a current policy, implement temporary policy moratoriums, or pay policy claims subject to coverage limits, among other actions. Some of these options </w:t>
      </w:r>
      <w:proofErr w:type="gramStart"/>
      <w:r w:rsidRPr="00477EDF">
        <w:rPr>
          <w:rFonts w:eastAsia="Calibri"/>
        </w:rPr>
        <w:t>rarely are</w:t>
      </w:r>
      <w:proofErr w:type="gramEnd"/>
      <w:r w:rsidRPr="00477EDF">
        <w:rPr>
          <w:rFonts w:eastAsia="Calibri"/>
        </w:rPr>
        <w:t xml:space="preserve"> exercised (e.g., issuing alternative policies).</w:t>
      </w:r>
    </w:p>
    <w:p w14:paraId="5648C10E" w14:textId="77777777" w:rsidR="00AA6023" w:rsidRPr="00477EDF" w:rsidRDefault="00AA6023" w:rsidP="00AA6023">
      <w:pPr>
        <w:widowControl/>
        <w:numPr>
          <w:ilvl w:val="1"/>
          <w:numId w:val="1"/>
        </w:numPr>
        <w:tabs>
          <w:tab w:val="left" w:pos="540"/>
        </w:tabs>
        <w:autoSpaceDE/>
        <w:autoSpaceDN/>
        <w:spacing w:after="240"/>
        <w:ind w:left="1440"/>
        <w:contextualSpacing/>
        <w:jc w:val="both"/>
        <w:rPr>
          <w:rFonts w:eastAsia="Calibri"/>
        </w:rPr>
      </w:pPr>
      <w:r w:rsidRPr="00477EDF">
        <w:rPr>
          <w:rFonts w:eastAsia="Calibri"/>
          <w:i/>
          <w:iCs/>
        </w:rPr>
        <w:t>[Specific to life/annuity]</w:t>
      </w:r>
      <w:r w:rsidRPr="00477EDF">
        <w:rPr>
          <w:rFonts w:eastAsia="Calibri"/>
        </w:rPr>
        <w:t xml:space="preserve"> The guaranty associations may be required by statute to modify guaranteed or credited interest rates on certain policies. </w:t>
      </w:r>
    </w:p>
    <w:p w14:paraId="4023261B" w14:textId="77777777" w:rsidR="00AA6023" w:rsidRPr="00477EDF" w:rsidRDefault="00AA6023" w:rsidP="00AA6023">
      <w:pPr>
        <w:widowControl/>
        <w:tabs>
          <w:tab w:val="left" w:pos="540"/>
        </w:tabs>
        <w:autoSpaceDE/>
        <w:autoSpaceDN/>
        <w:jc w:val="both"/>
        <w:rPr>
          <w:rFonts w:eastAsia="Calibri"/>
        </w:rPr>
      </w:pPr>
    </w:p>
    <w:p w14:paraId="1F79A27E" w14:textId="77777777" w:rsidR="00AA6023" w:rsidRPr="00477EDF" w:rsidRDefault="00AA6023" w:rsidP="00AA6023">
      <w:pPr>
        <w:widowControl/>
        <w:tabs>
          <w:tab w:val="left" w:pos="540"/>
        </w:tabs>
        <w:autoSpaceDE/>
        <w:autoSpaceDN/>
        <w:jc w:val="both"/>
        <w:rPr>
          <w:rFonts w:eastAsia="Calibri"/>
        </w:rPr>
      </w:pPr>
    </w:p>
    <w:p w14:paraId="185B7698" w14:textId="77777777" w:rsidR="00AA6023" w:rsidRPr="00477EDF" w:rsidRDefault="00AA6023" w:rsidP="00AA6023">
      <w:pPr>
        <w:widowControl/>
        <w:pBdr>
          <w:bottom w:val="single" w:sz="4" w:space="1" w:color="auto"/>
        </w:pBdr>
        <w:autoSpaceDE/>
        <w:autoSpaceDN/>
        <w:jc w:val="both"/>
        <w:rPr>
          <w:rFonts w:eastAsia="Calibri"/>
          <w:b/>
          <w:smallCaps/>
        </w:rPr>
      </w:pPr>
      <w:r w:rsidRPr="00477EDF">
        <w:rPr>
          <w:rFonts w:eastAsia="Calibri"/>
          <w:b/>
          <w:smallCaps/>
        </w:rPr>
        <w:t>Policyholder Protection Schemes (aka., Guaranty Associations)</w:t>
      </w:r>
    </w:p>
    <w:p w14:paraId="07E16F40" w14:textId="77777777" w:rsidR="00AA6023" w:rsidRPr="00477EDF" w:rsidRDefault="00AA6023" w:rsidP="00AA6023">
      <w:pPr>
        <w:widowControl/>
        <w:tabs>
          <w:tab w:val="left" w:pos="540"/>
        </w:tabs>
        <w:autoSpaceDE/>
        <w:autoSpaceDN/>
        <w:jc w:val="both"/>
        <w:rPr>
          <w:rFonts w:eastAsia="Calibri"/>
        </w:rPr>
      </w:pPr>
    </w:p>
    <w:p w14:paraId="6E75AF68" w14:textId="77777777" w:rsidR="00AA6023" w:rsidRPr="00477EDF" w:rsidRDefault="00AA6023" w:rsidP="00AA6023">
      <w:pPr>
        <w:widowControl/>
        <w:autoSpaceDE/>
        <w:autoSpaceDN/>
        <w:jc w:val="both"/>
        <w:rPr>
          <w:rFonts w:eastAsia="Calibri"/>
        </w:rPr>
      </w:pPr>
      <w:r w:rsidRPr="00477EDF">
        <w:rPr>
          <w:rFonts w:eastAsia="Calibri"/>
        </w:rPr>
        <w:t xml:space="preserve">Guaranty associations provide a mechanism for the payment of covered claims under certain insurance policies, and to continue life, health and annuity policies and contracts. Their purpose is to avoid excessive delays in the payment of claims and to minimize the financial loss to covered claimants or policyholders resulting from the insolvency of an insurer and allow life, </w:t>
      </w:r>
      <w:proofErr w:type="gramStart"/>
      <w:r w:rsidRPr="00477EDF">
        <w:rPr>
          <w:rFonts w:eastAsia="Calibri"/>
        </w:rPr>
        <w:t>health</w:t>
      </w:r>
      <w:proofErr w:type="gramEnd"/>
      <w:r w:rsidRPr="00477EDF">
        <w:rPr>
          <w:rFonts w:eastAsia="Calibri"/>
        </w:rPr>
        <w:t xml:space="preserve"> and annuity policyholders to continue </w:t>
      </w:r>
      <w:r w:rsidRPr="00477EDF">
        <w:rPr>
          <w:rFonts w:eastAsia="Calibri"/>
        </w:rPr>
        <w:lastRenderedPageBreak/>
        <w:t>(subject to statutory limits) long duration policies that they might otherwise be unable to replace in the market.</w:t>
      </w:r>
    </w:p>
    <w:p w14:paraId="33D71BB9" w14:textId="77777777" w:rsidR="00AA6023" w:rsidRPr="00477EDF" w:rsidRDefault="00AA6023" w:rsidP="00AA6023">
      <w:pPr>
        <w:widowControl/>
        <w:autoSpaceDE/>
        <w:autoSpaceDN/>
        <w:jc w:val="both"/>
        <w:rPr>
          <w:rFonts w:eastAsia="Calibri"/>
        </w:rPr>
      </w:pPr>
    </w:p>
    <w:p w14:paraId="5E4F5442" w14:textId="77777777" w:rsidR="00AA6023" w:rsidRPr="00477EDF" w:rsidRDefault="00AA6023" w:rsidP="00AA6023">
      <w:pPr>
        <w:widowControl/>
        <w:autoSpaceDE/>
        <w:autoSpaceDN/>
        <w:jc w:val="both"/>
        <w:rPr>
          <w:rFonts w:eastAsia="Calibri"/>
        </w:rPr>
      </w:pPr>
      <w:r w:rsidRPr="00477EDF">
        <w:rPr>
          <w:rFonts w:eastAsia="Calibri"/>
        </w:rPr>
        <w:t>A state’s guaranty association generally must cover resident claims of an insolvent insurer (placed in a liquidation proceeding). Benefit limits vary by state. [This state’s] benefit limits are:</w:t>
      </w:r>
    </w:p>
    <w:p w14:paraId="24604FD4"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i/>
          <w:iCs/>
        </w:rPr>
        <w:t>[Insert a summary of applicable state guaranty fund benefit limits by product type for this state]</w:t>
      </w:r>
      <w:r w:rsidRPr="00477EDF">
        <w:rPr>
          <w:rFonts w:eastAsia="Calibri"/>
        </w:rPr>
        <w:t xml:space="preserve">. </w:t>
      </w:r>
    </w:p>
    <w:p w14:paraId="1DE3486B" w14:textId="77777777" w:rsidR="00AA6023" w:rsidRPr="00477EDF" w:rsidRDefault="00AA6023" w:rsidP="00AA6023">
      <w:pPr>
        <w:widowControl/>
        <w:numPr>
          <w:ilvl w:val="0"/>
          <w:numId w:val="1"/>
        </w:numPr>
        <w:autoSpaceDE/>
        <w:autoSpaceDN/>
        <w:spacing w:after="240"/>
        <w:ind w:left="720"/>
        <w:contextualSpacing/>
        <w:jc w:val="both"/>
        <w:rPr>
          <w:rFonts w:eastAsia="Calibri"/>
        </w:rPr>
      </w:pPr>
      <w:r w:rsidRPr="00477EDF">
        <w:rPr>
          <w:rFonts w:eastAsia="Calibri"/>
        </w:rPr>
        <w:t>Benefit and other information about each States’ guaranty association can be accessed by going to the [NOLHGA (nolhga.com) or NCIGF (ncigf.org)] website.</w:t>
      </w:r>
    </w:p>
    <w:p w14:paraId="335DE087" w14:textId="77777777" w:rsidR="00AA6023" w:rsidRPr="00477EDF" w:rsidRDefault="00AA6023" w:rsidP="00AA6023">
      <w:pPr>
        <w:widowControl/>
        <w:autoSpaceDE/>
        <w:autoSpaceDN/>
        <w:jc w:val="both"/>
        <w:rPr>
          <w:rFonts w:eastAsia="Calibri"/>
        </w:rPr>
      </w:pPr>
    </w:p>
    <w:p w14:paraId="337B629A" w14:textId="77777777" w:rsidR="00AA6023" w:rsidRPr="00477EDF" w:rsidRDefault="00AA6023" w:rsidP="00AA6023">
      <w:pPr>
        <w:widowControl/>
        <w:autoSpaceDE/>
        <w:autoSpaceDN/>
        <w:jc w:val="both"/>
        <w:rPr>
          <w:rFonts w:eastAsia="Calibri"/>
        </w:rPr>
      </w:pPr>
      <w:r w:rsidRPr="00477EDF">
        <w:rPr>
          <w:rFonts w:eastAsia="Calibri"/>
        </w:rPr>
        <w:t>Further details on the coverage and eligibility requirements for coverage by the [this state’s guaranty association(s)] can be found at [</w:t>
      </w:r>
      <w:r w:rsidRPr="00477EDF">
        <w:rPr>
          <w:rFonts w:eastAsia="Calibri"/>
          <w:i/>
          <w:iCs/>
        </w:rPr>
        <w:t>Insert name of attachment or website</w:t>
      </w:r>
      <w:r w:rsidRPr="00477EDF">
        <w:rPr>
          <w:rFonts w:eastAsia="Calibri"/>
        </w:rPr>
        <w:t>]. A list of coverage and limitations of [this state’s guaranty association(s)] can be found at [</w:t>
      </w:r>
      <w:r w:rsidRPr="00477EDF">
        <w:rPr>
          <w:rFonts w:eastAsia="Calibri"/>
          <w:i/>
          <w:iCs/>
        </w:rPr>
        <w:t>Insert name of attachment or website</w:t>
      </w:r>
      <w:r w:rsidRPr="00477EDF">
        <w:rPr>
          <w:rFonts w:eastAsia="Calibri"/>
        </w:rPr>
        <w:t xml:space="preserve">]. </w:t>
      </w:r>
      <w:r w:rsidRPr="00477EDF">
        <w:rPr>
          <w:rFonts w:eastAsia="Calibri"/>
          <w:i/>
          <w:iCs/>
        </w:rPr>
        <w:t>[Customize to address the types of business conducted in this state by insurers within scope of this resolution plan.]</w:t>
      </w:r>
      <w:r w:rsidRPr="00477EDF">
        <w:rPr>
          <w:rFonts w:eastAsia="Calibri"/>
        </w:rPr>
        <w:t xml:space="preserve"> Please consult the NOLHGA website [GA Laws] and NCIGF website [Laws and Law Summaries; Comparison of Laws by Provision] for information about eligibility, coverage, and limitations for all guaranty associations.</w:t>
      </w:r>
    </w:p>
    <w:p w14:paraId="1F827355" w14:textId="77777777" w:rsidR="00AA6023" w:rsidRPr="00477EDF" w:rsidRDefault="00AA6023" w:rsidP="00AA6023">
      <w:pPr>
        <w:widowControl/>
        <w:autoSpaceDE/>
        <w:autoSpaceDN/>
        <w:ind w:left="540"/>
        <w:jc w:val="both"/>
        <w:rPr>
          <w:rFonts w:eastAsia="Calibri"/>
          <w:highlight w:val="yellow"/>
        </w:rPr>
      </w:pPr>
    </w:p>
    <w:p w14:paraId="6A8F3EFF" w14:textId="77777777" w:rsidR="00AA6023" w:rsidRPr="00477EDF" w:rsidRDefault="00AA6023" w:rsidP="00AA6023">
      <w:pPr>
        <w:widowControl/>
        <w:autoSpaceDE/>
        <w:autoSpaceDN/>
        <w:jc w:val="both"/>
        <w:rPr>
          <w:rFonts w:eastAsia="Calibri"/>
        </w:rPr>
      </w:pPr>
      <w:r w:rsidRPr="00477EDF">
        <w:rPr>
          <w:rFonts w:eastAsia="Calibri"/>
        </w:rPr>
        <w:t>Where assets of the insurer’s estate are determined to be insufficient and guaranty funds are triggered to pay benefits within statutory limits, guaranty associations may assess other member insurers under [Insurance code] for purposes of carrying out the duties of the association.</w:t>
      </w:r>
    </w:p>
    <w:p w14:paraId="1470A28B" w14:textId="77777777" w:rsidR="00AA6023" w:rsidRPr="00477EDF" w:rsidRDefault="00AA6023" w:rsidP="00AA6023">
      <w:pPr>
        <w:widowControl/>
        <w:autoSpaceDE/>
        <w:autoSpaceDN/>
        <w:jc w:val="both"/>
        <w:rPr>
          <w:rFonts w:eastAsia="Calibri"/>
        </w:rPr>
      </w:pPr>
    </w:p>
    <w:p w14:paraId="4018632C" w14:textId="77777777" w:rsidR="00AA6023" w:rsidRPr="00477EDF" w:rsidRDefault="00AA6023" w:rsidP="00AA6023">
      <w:pPr>
        <w:widowControl/>
        <w:autoSpaceDE/>
        <w:autoSpaceDN/>
        <w:jc w:val="both"/>
        <w:rPr>
          <w:rFonts w:eastAsia="Calibri"/>
        </w:rPr>
      </w:pPr>
    </w:p>
    <w:p w14:paraId="02A15D10" w14:textId="77777777" w:rsidR="00AA6023" w:rsidRPr="00477EDF" w:rsidRDefault="00AA6023" w:rsidP="00AA6023">
      <w:pPr>
        <w:keepNext/>
        <w:widowControl/>
        <w:pBdr>
          <w:bottom w:val="single" w:sz="4" w:space="1" w:color="auto"/>
        </w:pBdr>
        <w:autoSpaceDE/>
        <w:autoSpaceDN/>
        <w:jc w:val="both"/>
        <w:rPr>
          <w:rFonts w:eastAsia="Calibri"/>
          <w:b/>
          <w:smallCaps/>
        </w:rPr>
      </w:pPr>
      <w:r w:rsidRPr="00477EDF">
        <w:rPr>
          <w:rFonts w:eastAsia="Calibri"/>
          <w:b/>
          <w:smallCaps/>
        </w:rPr>
        <w:t>Implementation</w:t>
      </w:r>
    </w:p>
    <w:p w14:paraId="037BECA2" w14:textId="77777777" w:rsidR="00AA6023" w:rsidRPr="00477EDF" w:rsidRDefault="00AA6023" w:rsidP="00AA6023">
      <w:pPr>
        <w:keepNext/>
        <w:widowControl/>
        <w:tabs>
          <w:tab w:val="left" w:pos="540"/>
        </w:tabs>
        <w:autoSpaceDE/>
        <w:autoSpaceDN/>
        <w:jc w:val="both"/>
        <w:rPr>
          <w:rFonts w:eastAsia="Calibri"/>
        </w:rPr>
      </w:pPr>
    </w:p>
    <w:p w14:paraId="4431B0B6" w14:textId="77777777" w:rsidR="00AA6023" w:rsidRPr="00477EDF" w:rsidRDefault="00AA6023" w:rsidP="00AA6023">
      <w:pPr>
        <w:widowControl/>
        <w:autoSpaceDE/>
        <w:autoSpaceDN/>
        <w:jc w:val="both"/>
        <w:rPr>
          <w:rFonts w:eastAsia="Calibri"/>
        </w:rPr>
      </w:pPr>
      <w:r w:rsidRPr="00477EDF">
        <w:rPr>
          <w:rFonts w:eastAsia="Calibri"/>
        </w:rPr>
        <w:t xml:space="preserve">Under </w:t>
      </w:r>
      <w:proofErr w:type="gramStart"/>
      <w:r w:rsidRPr="00477EDF">
        <w:rPr>
          <w:rFonts w:eastAsia="Calibri"/>
        </w:rPr>
        <w:t>[Insurance</w:t>
      </w:r>
      <w:proofErr w:type="gramEnd"/>
      <w:r w:rsidRPr="00477EDF">
        <w:rPr>
          <w:rFonts w:eastAsia="Calibri"/>
        </w:rPr>
        <w:t xml:space="preserve"> Code], only the Commissioner has the power to commence resolution proceedings for a [this state] domestic insurance company. Immediately upon receiving an order of Rehabilitation or Liquidation from the court, the receiver will proceed to serve the proper papers to the entities that may hold assets of the estate to move authority over those assets to the receiver.</w:t>
      </w:r>
    </w:p>
    <w:p w14:paraId="415506E1" w14:textId="77777777" w:rsidR="00AA6023" w:rsidRPr="00477EDF" w:rsidRDefault="00AA6023" w:rsidP="00AA6023">
      <w:pPr>
        <w:widowControl/>
        <w:autoSpaceDE/>
        <w:autoSpaceDN/>
        <w:jc w:val="both"/>
        <w:rPr>
          <w:rFonts w:eastAsia="Calibri"/>
        </w:rPr>
      </w:pPr>
    </w:p>
    <w:p w14:paraId="75F5CF4F" w14:textId="77777777" w:rsidR="00AA6023" w:rsidRPr="00477EDF" w:rsidRDefault="00AA6023" w:rsidP="00AA6023">
      <w:pPr>
        <w:widowControl/>
        <w:autoSpaceDE/>
        <w:autoSpaceDN/>
        <w:jc w:val="both"/>
        <w:rPr>
          <w:rFonts w:eastAsia="Calibri"/>
          <w:i/>
          <w:iCs/>
        </w:rPr>
      </w:pPr>
      <w:r w:rsidRPr="00477EDF">
        <w:rPr>
          <w:rFonts w:eastAsia="Calibri"/>
        </w:rPr>
        <w:t xml:space="preserve">The receiver in cooperation with the [this state’s guaranty association] will consider whether outside expertise is necessary depending on the complexity of the insurer’s operations. </w:t>
      </w:r>
      <w:r w:rsidRPr="00477EDF">
        <w:rPr>
          <w:rFonts w:eastAsia="Calibri"/>
          <w:i/>
          <w:iCs/>
        </w:rPr>
        <w:t>[Specify the state’s process for beginning the hiring process, such as requesting bids to determine the best qualified contractors.]</w:t>
      </w:r>
    </w:p>
    <w:p w14:paraId="721F0747" w14:textId="77777777" w:rsidR="00AA6023" w:rsidRPr="00477EDF" w:rsidRDefault="00AA6023" w:rsidP="00AA6023">
      <w:pPr>
        <w:widowControl/>
        <w:autoSpaceDE/>
        <w:autoSpaceDN/>
        <w:jc w:val="both"/>
        <w:rPr>
          <w:rFonts w:eastAsia="Calibri"/>
        </w:rPr>
      </w:pPr>
    </w:p>
    <w:p w14:paraId="2B67191E" w14:textId="77777777" w:rsidR="00AA6023" w:rsidRPr="00477EDF" w:rsidRDefault="00AA6023" w:rsidP="00AA6023">
      <w:pPr>
        <w:widowControl/>
        <w:autoSpaceDE/>
        <w:autoSpaceDN/>
        <w:jc w:val="both"/>
        <w:rPr>
          <w:rFonts w:eastAsia="Calibri"/>
        </w:rPr>
      </w:pPr>
      <w:r w:rsidRPr="00477EDF">
        <w:rPr>
          <w:rFonts w:eastAsia="Calibri"/>
        </w:rPr>
        <w:t xml:space="preserve">The receiver will need to quickly obtain access to books, data, and records of the insurer. </w:t>
      </w:r>
    </w:p>
    <w:p w14:paraId="2D3B6426" w14:textId="77777777" w:rsidR="00AA6023" w:rsidRPr="00477EDF" w:rsidRDefault="00AA6023" w:rsidP="00AA6023">
      <w:pPr>
        <w:widowControl/>
        <w:autoSpaceDE/>
        <w:autoSpaceDN/>
        <w:jc w:val="both"/>
        <w:rPr>
          <w:rFonts w:eastAsia="Calibri"/>
        </w:rPr>
      </w:pPr>
    </w:p>
    <w:p w14:paraId="5A7DCDE2" w14:textId="77777777" w:rsidR="00AA6023" w:rsidRPr="00477EDF" w:rsidRDefault="00AA6023" w:rsidP="00AA6023">
      <w:pPr>
        <w:widowControl/>
        <w:autoSpaceDE/>
        <w:autoSpaceDN/>
        <w:jc w:val="both"/>
        <w:rPr>
          <w:rFonts w:eastAsia="Calibri"/>
        </w:rPr>
      </w:pPr>
      <w:r w:rsidRPr="00477EDF">
        <w:rPr>
          <w:rFonts w:eastAsia="Calibri"/>
        </w:rPr>
        <w:t xml:space="preserve">The receiver will need to quickly evaluate </w:t>
      </w:r>
      <w:r w:rsidRPr="00477EDF">
        <w:rPr>
          <w:rFonts w:eastAsia="Calibri"/>
          <w:i/>
          <w:iCs/>
        </w:rPr>
        <w:t>[Specify any unique situations that will require immediate attention based on the insurer’s risk profile, such as.</w:t>
      </w:r>
      <w:r w:rsidRPr="00477EDF">
        <w:rPr>
          <w:rFonts w:eastAsia="Calibri"/>
        </w:rPr>
        <w:t xml:space="preserve"> </w:t>
      </w:r>
    </w:p>
    <w:p w14:paraId="27504D44" w14:textId="77777777" w:rsidR="00AA6023" w:rsidRPr="00477EDF" w:rsidRDefault="00AA6023" w:rsidP="00AA6023">
      <w:pPr>
        <w:widowControl/>
        <w:numPr>
          <w:ilvl w:val="0"/>
          <w:numId w:val="12"/>
        </w:numPr>
        <w:autoSpaceDE/>
        <w:autoSpaceDN/>
        <w:spacing w:after="240"/>
        <w:ind w:left="1080"/>
        <w:contextualSpacing/>
        <w:jc w:val="both"/>
        <w:rPr>
          <w:rFonts w:eastAsia="Calibri"/>
          <w:i/>
          <w:iCs/>
        </w:rPr>
      </w:pPr>
      <w:r w:rsidRPr="00477EDF">
        <w:rPr>
          <w:rFonts w:eastAsia="Calibri"/>
          <w:i/>
          <w:iCs/>
        </w:rPr>
        <w:t xml:space="preserve">The need to continue a derivatives program. </w:t>
      </w:r>
    </w:p>
    <w:p w14:paraId="4EB0EE56" w14:textId="77777777" w:rsidR="00AA6023" w:rsidRPr="00477EDF" w:rsidRDefault="00AA6023" w:rsidP="00AA6023">
      <w:pPr>
        <w:widowControl/>
        <w:numPr>
          <w:ilvl w:val="0"/>
          <w:numId w:val="12"/>
        </w:numPr>
        <w:autoSpaceDE/>
        <w:autoSpaceDN/>
        <w:spacing w:after="240"/>
        <w:ind w:left="1080"/>
        <w:contextualSpacing/>
        <w:jc w:val="both"/>
        <w:rPr>
          <w:rFonts w:eastAsia="Calibri"/>
          <w:i/>
          <w:iCs/>
        </w:rPr>
      </w:pPr>
      <w:r w:rsidRPr="00477EDF">
        <w:rPr>
          <w:rFonts w:eastAsia="Calibri"/>
          <w:i/>
          <w:iCs/>
        </w:rPr>
        <w:t>Any rights of offset or collateral calls on assets of the estate, and the potential financial and legal impact.]</w:t>
      </w:r>
    </w:p>
    <w:p w14:paraId="74B441C4" w14:textId="77777777" w:rsidR="00AA6023" w:rsidRPr="00477EDF" w:rsidRDefault="00AA6023" w:rsidP="00AA6023">
      <w:pPr>
        <w:widowControl/>
        <w:autoSpaceDE/>
        <w:autoSpaceDN/>
        <w:jc w:val="both"/>
        <w:rPr>
          <w:rFonts w:eastAsia="Calibri"/>
        </w:rPr>
      </w:pPr>
    </w:p>
    <w:p w14:paraId="424BE4F4" w14:textId="77777777" w:rsidR="00AA6023" w:rsidRPr="00477EDF" w:rsidRDefault="00AA6023" w:rsidP="00AA6023">
      <w:pPr>
        <w:widowControl/>
        <w:autoSpaceDE/>
        <w:autoSpaceDN/>
        <w:jc w:val="both"/>
        <w:rPr>
          <w:rFonts w:eastAsia="Calibri"/>
        </w:rPr>
      </w:pPr>
      <w:r w:rsidRPr="00477EDF">
        <w:rPr>
          <w:rFonts w:eastAsia="Calibri"/>
        </w:rPr>
        <w:t>The receiver will then assess other areas relevant to running the day-to-day operations of the insurer, such as ensuring the ability to continue essential services (e.g., assessing contracts with service providers), look for potential buyers for the company or books of business, staffing needs, products sales, reinsurance, etc.</w:t>
      </w:r>
    </w:p>
    <w:p w14:paraId="749B3C14" w14:textId="77777777" w:rsidR="00AA6023" w:rsidRPr="00477EDF" w:rsidRDefault="00AA6023" w:rsidP="00AA6023">
      <w:pPr>
        <w:widowControl/>
        <w:autoSpaceDE/>
        <w:autoSpaceDN/>
        <w:jc w:val="both"/>
        <w:rPr>
          <w:rFonts w:eastAsia="Calibri"/>
        </w:rPr>
      </w:pPr>
    </w:p>
    <w:p w14:paraId="025CCA7F" w14:textId="77777777" w:rsidR="00AA6023" w:rsidRPr="00477EDF" w:rsidRDefault="00AA6023" w:rsidP="00AA6023">
      <w:pPr>
        <w:widowControl/>
        <w:autoSpaceDE/>
        <w:autoSpaceDN/>
        <w:jc w:val="both"/>
        <w:rPr>
          <w:rFonts w:eastAsia="Calibri"/>
        </w:rPr>
      </w:pPr>
      <w:r w:rsidRPr="00477EDF">
        <w:rPr>
          <w:rFonts w:eastAsia="Calibri"/>
        </w:rPr>
        <w:t xml:space="preserve">The NAIC’s </w:t>
      </w:r>
      <w:r w:rsidRPr="00477EDF">
        <w:rPr>
          <w:rFonts w:eastAsia="Calibri"/>
          <w:i/>
          <w:iCs/>
        </w:rPr>
        <w:t>Receiver’s Handbook for Insurance Company Insolvencies</w:t>
      </w:r>
      <w:r w:rsidRPr="00477EDF">
        <w:rPr>
          <w:rFonts w:eastAsia="Calibri"/>
        </w:rPr>
        <w:t xml:space="preserve"> provides guidance for the resolution of an insurer.</w:t>
      </w:r>
    </w:p>
    <w:p w14:paraId="3CD12E19" w14:textId="77777777" w:rsidR="00AA6023" w:rsidRPr="00477EDF" w:rsidRDefault="00AA6023" w:rsidP="00AA6023">
      <w:pPr>
        <w:widowControl/>
        <w:autoSpaceDE/>
        <w:autoSpaceDN/>
        <w:ind w:left="720"/>
        <w:jc w:val="both"/>
        <w:rPr>
          <w:rFonts w:eastAsia="Calibri"/>
        </w:rPr>
      </w:pPr>
    </w:p>
    <w:p w14:paraId="3FE24542" w14:textId="77777777" w:rsidR="00AA6023" w:rsidRPr="00477EDF" w:rsidRDefault="00AA6023" w:rsidP="00AA6023">
      <w:pPr>
        <w:widowControl/>
        <w:autoSpaceDE/>
        <w:autoSpaceDN/>
        <w:ind w:left="720"/>
        <w:jc w:val="both"/>
        <w:rPr>
          <w:rFonts w:eastAsia="Calibri"/>
        </w:rPr>
      </w:pPr>
    </w:p>
    <w:p w14:paraId="6687CD17" w14:textId="77777777" w:rsidR="00AA6023" w:rsidRPr="00477EDF" w:rsidRDefault="00AA6023" w:rsidP="00AA6023">
      <w:pPr>
        <w:keepNext/>
        <w:widowControl/>
        <w:pBdr>
          <w:bottom w:val="single" w:sz="4" w:space="1" w:color="auto"/>
        </w:pBdr>
        <w:autoSpaceDE/>
        <w:autoSpaceDN/>
        <w:jc w:val="both"/>
        <w:rPr>
          <w:rFonts w:eastAsia="Calibri"/>
          <w:b/>
          <w:smallCaps/>
        </w:rPr>
      </w:pPr>
      <w:r w:rsidRPr="00477EDF">
        <w:rPr>
          <w:rFonts w:eastAsia="Calibri"/>
          <w:b/>
          <w:smallCaps/>
        </w:rPr>
        <w:lastRenderedPageBreak/>
        <w:t>Communication Strategy</w:t>
      </w:r>
    </w:p>
    <w:p w14:paraId="02D3DC94" w14:textId="77777777" w:rsidR="00AA6023" w:rsidRPr="00477EDF" w:rsidRDefault="00AA6023" w:rsidP="00AA6023">
      <w:pPr>
        <w:keepNext/>
        <w:widowControl/>
        <w:tabs>
          <w:tab w:val="left" w:pos="540"/>
        </w:tabs>
        <w:autoSpaceDE/>
        <w:autoSpaceDN/>
        <w:jc w:val="both"/>
        <w:rPr>
          <w:rFonts w:eastAsia="Calibri"/>
        </w:rPr>
      </w:pPr>
    </w:p>
    <w:p w14:paraId="14C1B87D" w14:textId="77777777" w:rsidR="00AA6023" w:rsidRPr="00477EDF" w:rsidRDefault="00AA6023" w:rsidP="00AA6023">
      <w:pPr>
        <w:widowControl/>
        <w:autoSpaceDE/>
        <w:autoSpaceDN/>
        <w:jc w:val="both"/>
        <w:rPr>
          <w:rFonts w:eastAsia="Calibri"/>
        </w:rPr>
      </w:pPr>
      <w:r w:rsidRPr="00477EDF">
        <w:rPr>
          <w:rFonts w:eastAsia="Calibri"/>
        </w:rPr>
        <w:t xml:space="preserve">The Deputy Rehabilitator or Deputy Liquidator would be responsible for communications with all interested parties. </w:t>
      </w:r>
    </w:p>
    <w:p w14:paraId="66CF5905" w14:textId="77777777" w:rsidR="00AA6023" w:rsidRPr="00477EDF" w:rsidRDefault="00AA6023" w:rsidP="00AA6023">
      <w:pPr>
        <w:widowControl/>
        <w:autoSpaceDE/>
        <w:autoSpaceDN/>
        <w:jc w:val="both"/>
        <w:rPr>
          <w:rFonts w:eastAsia="Calibri"/>
        </w:rPr>
      </w:pPr>
    </w:p>
    <w:p w14:paraId="3B96FBD8" w14:textId="77777777" w:rsidR="00AA6023" w:rsidRPr="00477EDF" w:rsidRDefault="00AA6023" w:rsidP="00AA6023">
      <w:pPr>
        <w:widowControl/>
        <w:autoSpaceDE/>
        <w:autoSpaceDN/>
        <w:jc w:val="both"/>
        <w:rPr>
          <w:rFonts w:eastAsia="Calibri"/>
        </w:rPr>
      </w:pPr>
      <w:r w:rsidRPr="00477EDF">
        <w:rPr>
          <w:rFonts w:eastAsia="Calibri"/>
        </w:rPr>
        <w:t>Immediately upon a determination by the Commissioner to seek rehabilitation or liquidation of [the insurer], the Commissioner will [</w:t>
      </w:r>
      <w:r w:rsidRPr="00477EDF">
        <w:rPr>
          <w:rFonts w:eastAsia="Calibri"/>
          <w:i/>
          <w:iCs/>
        </w:rPr>
        <w:t>Specify the state’s process for notifying other state offices (e.g., Attorney General) who may be involved in drafting a petition and order to be filed with the court].</w:t>
      </w:r>
      <w:r w:rsidRPr="00477EDF">
        <w:rPr>
          <w:rFonts w:eastAsia="Calibri"/>
        </w:rPr>
        <w:t xml:space="preserve"> </w:t>
      </w:r>
    </w:p>
    <w:p w14:paraId="2A485DF2" w14:textId="77777777" w:rsidR="00AA6023" w:rsidRPr="00477EDF" w:rsidRDefault="00AA6023" w:rsidP="00AA6023">
      <w:pPr>
        <w:widowControl/>
        <w:autoSpaceDE/>
        <w:autoSpaceDN/>
        <w:jc w:val="both"/>
        <w:rPr>
          <w:rFonts w:eastAsia="Calibri"/>
        </w:rPr>
      </w:pPr>
    </w:p>
    <w:p w14:paraId="3548C38A" w14:textId="77777777" w:rsidR="00AA6023" w:rsidRPr="00477EDF" w:rsidRDefault="00AA6023" w:rsidP="00AA6023">
      <w:pPr>
        <w:widowControl/>
        <w:autoSpaceDE/>
        <w:autoSpaceDN/>
        <w:jc w:val="both"/>
        <w:rPr>
          <w:rFonts w:eastAsia="Calibri"/>
        </w:rPr>
      </w:pPr>
      <w:r w:rsidRPr="00477EDF">
        <w:rPr>
          <w:rFonts w:eastAsia="Calibri"/>
        </w:rPr>
        <w:t xml:space="preserve">Because Rehabilitation and Liquidation orders are public documents, it is essential that there be accurate and timely communications with all parties. </w:t>
      </w:r>
    </w:p>
    <w:p w14:paraId="43824892" w14:textId="77777777" w:rsidR="00AA6023" w:rsidRPr="00477EDF" w:rsidRDefault="00AA6023" w:rsidP="00AA6023">
      <w:pPr>
        <w:widowControl/>
        <w:autoSpaceDE/>
        <w:autoSpaceDN/>
        <w:jc w:val="both"/>
        <w:rPr>
          <w:rFonts w:eastAsia="Calibri"/>
        </w:rPr>
      </w:pPr>
    </w:p>
    <w:p w14:paraId="7826CECB" w14:textId="77777777" w:rsidR="00AA6023" w:rsidRPr="00477EDF" w:rsidRDefault="00AA6023" w:rsidP="00AA6023">
      <w:pPr>
        <w:widowControl/>
        <w:autoSpaceDE/>
        <w:autoSpaceDN/>
        <w:jc w:val="both"/>
        <w:rPr>
          <w:rFonts w:eastAsia="Calibri"/>
          <w:i/>
          <w:iCs/>
        </w:rPr>
      </w:pPr>
      <w:r w:rsidRPr="00477EDF">
        <w:rPr>
          <w:rFonts w:eastAsia="Calibri"/>
        </w:rPr>
        <w:t xml:space="preserve">Parties to which timely communication is required include the NAIC, NOLHGA or NCIGF and [this state’s] guaranty association, states in which the company is </w:t>
      </w:r>
      <w:proofErr w:type="gramStart"/>
      <w:r w:rsidRPr="00477EDF">
        <w:rPr>
          <w:rFonts w:eastAsia="Calibri"/>
        </w:rPr>
        <w:t>licensed,  agents</w:t>
      </w:r>
      <w:proofErr w:type="gramEnd"/>
      <w:r w:rsidRPr="00477EDF">
        <w:rPr>
          <w:rFonts w:eastAsia="Calibri"/>
        </w:rPr>
        <w:t xml:space="preserve">, policyholders, reinsurers, creditors, management and employees, board of directors, and under specific circumstances, regulators in other jurisdictions or other federal agencies (as applicable), among others. </w:t>
      </w:r>
      <w:r w:rsidRPr="00477EDF">
        <w:rPr>
          <w:rFonts w:eastAsia="Calibri"/>
          <w:i/>
          <w:iCs/>
        </w:rPr>
        <w:t xml:space="preserve">[Edit this list for this state’s communication requirements]. </w:t>
      </w:r>
    </w:p>
    <w:p w14:paraId="03D84613" w14:textId="77777777" w:rsidR="00AA6023" w:rsidRPr="00477EDF" w:rsidRDefault="00AA6023" w:rsidP="00AA6023">
      <w:pPr>
        <w:widowControl/>
        <w:autoSpaceDE/>
        <w:autoSpaceDN/>
        <w:jc w:val="both"/>
        <w:rPr>
          <w:rFonts w:eastAsia="Calibri"/>
          <w:i/>
          <w:iCs/>
        </w:rPr>
      </w:pPr>
    </w:p>
    <w:p w14:paraId="1B04F1FD" w14:textId="77777777" w:rsidR="00AA6023" w:rsidRPr="00477EDF" w:rsidRDefault="00AA6023" w:rsidP="00AA6023">
      <w:pPr>
        <w:widowControl/>
        <w:autoSpaceDE/>
        <w:autoSpaceDN/>
        <w:jc w:val="both"/>
        <w:rPr>
          <w:rFonts w:eastAsia="Calibri"/>
        </w:rPr>
      </w:pPr>
      <w:r w:rsidRPr="00477EDF">
        <w:rPr>
          <w:rFonts w:eastAsia="Calibri"/>
          <w:i/>
          <w:iCs/>
        </w:rPr>
        <w:t>[Insert this state’s process for public notice of Liquidation, e.g., published in a nationally distributed newspaper and sent to all interested parties; correspondence, press releases and/or internet accessible information; responsibility of agents to inform their clients of the liquidation directly; etc.].</w:t>
      </w:r>
      <w:r w:rsidRPr="00477EDF">
        <w:rPr>
          <w:rFonts w:eastAsia="Calibri"/>
        </w:rPr>
        <w:t xml:space="preserve"> </w:t>
      </w:r>
    </w:p>
    <w:p w14:paraId="27C43B65" w14:textId="77777777" w:rsidR="00AA6023" w:rsidRPr="00477EDF" w:rsidRDefault="00AA6023" w:rsidP="00AA6023">
      <w:pPr>
        <w:widowControl/>
        <w:autoSpaceDE/>
        <w:autoSpaceDN/>
        <w:ind w:left="720"/>
        <w:jc w:val="both"/>
        <w:rPr>
          <w:rFonts w:eastAsia="Calibri"/>
        </w:rPr>
      </w:pPr>
    </w:p>
    <w:p w14:paraId="2E276C48" w14:textId="77777777" w:rsidR="00AA6023" w:rsidRPr="00477EDF" w:rsidRDefault="00AA6023" w:rsidP="00AA6023">
      <w:pPr>
        <w:widowControl/>
        <w:autoSpaceDE/>
        <w:autoSpaceDN/>
        <w:jc w:val="both"/>
        <w:rPr>
          <w:rFonts w:eastAsia="Calibri"/>
        </w:rPr>
      </w:pPr>
      <w:r w:rsidRPr="00477EDF">
        <w:rPr>
          <w:rFonts w:eastAsia="Calibri"/>
        </w:rPr>
        <w:t xml:space="preserve">Consistent with the NAICs’ </w:t>
      </w:r>
      <w:r w:rsidRPr="00477EDF">
        <w:rPr>
          <w:rFonts w:eastAsia="Calibri"/>
          <w:i/>
          <w:iCs/>
        </w:rPr>
        <w:t>Troubled Insurance Company Handbook</w:t>
      </w:r>
      <w:r w:rsidRPr="00477EDF">
        <w:rPr>
          <w:rFonts w:eastAsia="Calibri"/>
        </w:rPr>
        <w:t>, [this state] must be proactive in communicating with regulators including regulators in other states.  [This state] will also immediately update [</w:t>
      </w:r>
      <w:r w:rsidRPr="00477EDF">
        <w:rPr>
          <w:rFonts w:eastAsia="Calibri"/>
          <w:i/>
          <w:iCs/>
        </w:rPr>
        <w:t>the international group-wide supervisor (GWS), if not this state; or other Crisis Management Group (CMG) members, if the GWS is this state]</w:t>
      </w:r>
      <w:r w:rsidRPr="00477EDF">
        <w:rPr>
          <w:rFonts w:eastAsia="Calibri"/>
        </w:rPr>
        <w:t xml:space="preserve"> so that CMG members are informed of the proposed action. </w:t>
      </w:r>
    </w:p>
    <w:p w14:paraId="3971D0C9" w14:textId="77777777" w:rsidR="00AA6023" w:rsidRPr="00477EDF" w:rsidRDefault="00AA6023" w:rsidP="00AA6023">
      <w:pPr>
        <w:widowControl/>
        <w:autoSpaceDE/>
        <w:autoSpaceDN/>
        <w:ind w:left="720"/>
        <w:jc w:val="both"/>
        <w:rPr>
          <w:rFonts w:eastAsia="Calibri"/>
        </w:rPr>
      </w:pPr>
    </w:p>
    <w:p w14:paraId="5E63858F" w14:textId="77777777" w:rsidR="00AA6023" w:rsidRPr="00477EDF" w:rsidRDefault="00AA6023" w:rsidP="00AA6023">
      <w:pPr>
        <w:widowControl/>
        <w:autoSpaceDE/>
        <w:autoSpaceDN/>
        <w:jc w:val="both"/>
        <w:rPr>
          <w:rFonts w:eastAsia="Calibri"/>
        </w:rPr>
      </w:pPr>
      <w:r w:rsidRPr="00477EDF">
        <w:rPr>
          <w:rFonts w:eastAsia="Calibri"/>
        </w:rPr>
        <w:t>Upon receiving court approval, the petition and order will be sent to other regulators including the [</w:t>
      </w:r>
      <w:r w:rsidRPr="00477EDF">
        <w:rPr>
          <w:rFonts w:eastAsia="Calibri"/>
          <w:i/>
          <w:iCs/>
        </w:rPr>
        <w:t>international GWS, if not this state, to be distributed to CMG members; or CMG members, if the GWS is this state]</w:t>
      </w:r>
      <w:r w:rsidRPr="00477EDF">
        <w:rPr>
          <w:rFonts w:eastAsia="Calibri"/>
        </w:rPr>
        <w:t>. Rehabilitation or Liquidation orders and all relevant documents to the receivership will also be posted to the insurance department’s website.</w:t>
      </w:r>
    </w:p>
    <w:p w14:paraId="2B07B749" w14:textId="77777777" w:rsidR="00AA6023" w:rsidRPr="00477EDF" w:rsidRDefault="00AA6023" w:rsidP="00AA6023">
      <w:pPr>
        <w:widowControl/>
        <w:autoSpaceDE/>
        <w:autoSpaceDN/>
        <w:ind w:left="720"/>
        <w:jc w:val="both"/>
        <w:rPr>
          <w:rFonts w:eastAsia="Calibri"/>
        </w:rPr>
      </w:pPr>
    </w:p>
    <w:p w14:paraId="620F3A6B" w14:textId="77777777" w:rsidR="00AA6023" w:rsidRPr="00477EDF" w:rsidRDefault="00AA6023" w:rsidP="00AA6023">
      <w:pPr>
        <w:widowControl/>
        <w:autoSpaceDE/>
        <w:autoSpaceDN/>
        <w:jc w:val="both"/>
        <w:rPr>
          <w:rFonts w:eastAsia="Calibri"/>
        </w:rPr>
      </w:pPr>
      <w:r w:rsidRPr="00477EDF">
        <w:rPr>
          <w:rFonts w:eastAsia="Calibri"/>
        </w:rPr>
        <w:t xml:space="preserve">To expedite communications, policyholder, and creditor notifications as well as correspondence to the guaranty associations and other state regulators may be prepared in advance of the actual filing of the receivership petition to the court. In addition, mailing lists are prepared, and publication is arranged, if legally required. Distribution of notice to the affected parties, and publication in media outlets, begins upon court approval of the receivership </w:t>
      </w:r>
      <w:proofErr w:type="gramStart"/>
      <w:r w:rsidRPr="00477EDF">
        <w:rPr>
          <w:rFonts w:eastAsia="Calibri"/>
        </w:rPr>
        <w:t>action</w:t>
      </w:r>
      <w:proofErr w:type="gramEnd"/>
    </w:p>
    <w:p w14:paraId="1949CB9D" w14:textId="77777777" w:rsidR="00033CEE" w:rsidRPr="00477EDF" w:rsidRDefault="00033CEE"/>
    <w:sectPr w:rsidR="00033CEE" w:rsidRPr="00477EDF" w:rsidSect="000705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3125" w14:textId="77777777" w:rsidR="000705B0" w:rsidRDefault="000705B0" w:rsidP="006473E6">
      <w:r>
        <w:separator/>
      </w:r>
    </w:p>
  </w:endnote>
  <w:endnote w:type="continuationSeparator" w:id="0">
    <w:p w14:paraId="7B74AAFB" w14:textId="77777777" w:rsidR="000705B0" w:rsidRDefault="000705B0" w:rsidP="0064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B5F5" w14:textId="77777777" w:rsidR="008A3DD0" w:rsidRDefault="008A3DD0" w:rsidP="008A3DD0">
    <w:pPr>
      <w:pStyle w:val="Footer"/>
    </w:pPr>
    <w:r w:rsidRPr="001912F1">
      <w:t>© 202</w:t>
    </w:r>
    <w:r>
      <w:t xml:space="preserve">4 </w:t>
    </w:r>
    <w:r w:rsidRPr="001912F1">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B583" w14:textId="77777777" w:rsidR="008A3DD0" w:rsidRDefault="008A3DD0" w:rsidP="008A3DD0">
    <w:pPr>
      <w:pStyle w:val="Footer"/>
    </w:pPr>
    <w:r w:rsidRPr="001912F1">
      <w:t>© 202</w:t>
    </w:r>
    <w:r>
      <w:t xml:space="preserve">4 </w:t>
    </w:r>
    <w:r w:rsidRPr="001912F1">
      <w:t>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8C69" w14:textId="77777777" w:rsidR="0050619C" w:rsidRDefault="0050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6E6C" w14:textId="77777777" w:rsidR="000705B0" w:rsidRDefault="000705B0" w:rsidP="006473E6">
      <w:r>
        <w:separator/>
      </w:r>
    </w:p>
  </w:footnote>
  <w:footnote w:type="continuationSeparator" w:id="0">
    <w:p w14:paraId="7A906369" w14:textId="77777777" w:rsidR="000705B0" w:rsidRDefault="000705B0" w:rsidP="0064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A405" w14:textId="51CDA6E5" w:rsidR="006473E6" w:rsidRPr="00477EDF" w:rsidRDefault="00477EDF" w:rsidP="00477EDF">
    <w:pPr>
      <w:pStyle w:val="Header"/>
      <w:jc w:val="center"/>
      <w:rPr>
        <w:i/>
        <w:iCs/>
        <w:sz w:val="20"/>
        <w:szCs w:val="20"/>
      </w:rPr>
    </w:pPr>
    <w:r w:rsidRPr="00345CE8">
      <w:rPr>
        <w:i/>
        <w:iCs/>
        <w:sz w:val="20"/>
        <w:szCs w:val="20"/>
      </w:rPr>
      <w:t>Receivers</w:t>
    </w:r>
    <w:r w:rsidR="0050619C">
      <w:rPr>
        <w:i/>
        <w:iCs/>
        <w:sz w:val="20"/>
        <w:szCs w:val="20"/>
      </w:rPr>
      <w:t>’</w:t>
    </w:r>
    <w:r w:rsidRPr="00345CE8">
      <w:rPr>
        <w:i/>
        <w:iCs/>
        <w:sz w:val="20"/>
        <w:szCs w:val="20"/>
      </w:rPr>
      <w:t xml:space="preserve">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D603" w14:textId="77777777" w:rsidR="006473E6" w:rsidRPr="006473E6" w:rsidRDefault="006473E6" w:rsidP="006473E6">
    <w:pPr>
      <w:widowControl/>
      <w:autoSpaceDE/>
      <w:autoSpaceDN/>
      <w:jc w:val="center"/>
      <w:rPr>
        <w:rFonts w:ascii="Calibri" w:hAnsi="Calibri" w:cs="Calibri"/>
        <w:i/>
        <w:iCs/>
        <w:smallCaps/>
        <w:sz w:val="20"/>
        <w:szCs w:val="20"/>
      </w:rPr>
    </w:pPr>
    <w:r w:rsidRPr="006473E6">
      <w:rPr>
        <w:rFonts w:cstheme="minorHAnsi"/>
        <w:i/>
        <w:iCs/>
        <w:sz w:val="20"/>
        <w:szCs w:val="20"/>
      </w:rPr>
      <w:t>Exhibit 8-1: U.S. Template for Resolution Plan</w:t>
    </w:r>
  </w:p>
  <w:p w14:paraId="237FA241" w14:textId="77777777" w:rsidR="006473E6" w:rsidRDefault="0064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226" w14:textId="77777777" w:rsidR="0050619C" w:rsidRDefault="0050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705"/>
    <w:multiLevelType w:val="hybridMultilevel"/>
    <w:tmpl w:val="7BD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7391"/>
    <w:multiLevelType w:val="hybridMultilevel"/>
    <w:tmpl w:val="A32A0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254C1"/>
    <w:multiLevelType w:val="hybridMultilevel"/>
    <w:tmpl w:val="34AAE642"/>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161400"/>
    <w:multiLevelType w:val="hybridMultilevel"/>
    <w:tmpl w:val="E24E4E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0C1190"/>
    <w:multiLevelType w:val="hybridMultilevel"/>
    <w:tmpl w:val="B7B40AE4"/>
    <w:lvl w:ilvl="0" w:tplc="67E67BBC">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9C5483"/>
    <w:multiLevelType w:val="hybridMultilevel"/>
    <w:tmpl w:val="E85A7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62ACB"/>
    <w:multiLevelType w:val="hybridMultilevel"/>
    <w:tmpl w:val="D310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B330A6"/>
    <w:multiLevelType w:val="hybridMultilevel"/>
    <w:tmpl w:val="7F9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563C7E28"/>
    <w:multiLevelType w:val="hybridMultilevel"/>
    <w:tmpl w:val="1486D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7C3EF6"/>
    <w:multiLevelType w:val="hybridMultilevel"/>
    <w:tmpl w:val="457E5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F61CF"/>
    <w:multiLevelType w:val="hybridMultilevel"/>
    <w:tmpl w:val="D6E6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3019E"/>
    <w:multiLevelType w:val="hybridMultilevel"/>
    <w:tmpl w:val="E7EE17BC"/>
    <w:lvl w:ilvl="0" w:tplc="C8E232FA">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7211484">
    <w:abstractNumId w:val="1"/>
  </w:num>
  <w:num w:numId="2" w16cid:durableId="2081631743">
    <w:abstractNumId w:val="6"/>
  </w:num>
  <w:num w:numId="3" w16cid:durableId="1480265338">
    <w:abstractNumId w:val="9"/>
  </w:num>
  <w:num w:numId="4" w16cid:durableId="333995692">
    <w:abstractNumId w:val="5"/>
  </w:num>
  <w:num w:numId="5" w16cid:durableId="399716807">
    <w:abstractNumId w:val="8"/>
  </w:num>
  <w:num w:numId="6" w16cid:durableId="1090931885">
    <w:abstractNumId w:val="11"/>
  </w:num>
  <w:num w:numId="7" w16cid:durableId="806583014">
    <w:abstractNumId w:val="2"/>
  </w:num>
  <w:num w:numId="8" w16cid:durableId="2104103461">
    <w:abstractNumId w:val="4"/>
  </w:num>
  <w:num w:numId="9" w16cid:durableId="1814442013">
    <w:abstractNumId w:val="0"/>
  </w:num>
  <w:num w:numId="10" w16cid:durableId="2077894661">
    <w:abstractNumId w:val="10"/>
  </w:num>
  <w:num w:numId="11" w16cid:durableId="87849859">
    <w:abstractNumId w:val="3"/>
  </w:num>
  <w:num w:numId="12" w16cid:durableId="723064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3"/>
    <w:rsid w:val="00033CEE"/>
    <w:rsid w:val="000705B0"/>
    <w:rsid w:val="00477EDF"/>
    <w:rsid w:val="0050619C"/>
    <w:rsid w:val="005B7D2B"/>
    <w:rsid w:val="006473E6"/>
    <w:rsid w:val="008A3DD0"/>
    <w:rsid w:val="00AA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763A"/>
  <w15:chartTrackingRefBased/>
  <w15:docId w15:val="{36ED0D6F-8EF0-4166-9918-D18C070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23"/>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A6023"/>
    <w:pPr>
      <w:spacing w:after="0" w:line="240" w:lineRule="auto"/>
    </w:pPr>
    <w:rPr>
      <w:rFonts w:ascii="Times New Roman" w:hAnsi="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3E6"/>
    <w:pPr>
      <w:tabs>
        <w:tab w:val="center" w:pos="4680"/>
        <w:tab w:val="right" w:pos="9360"/>
      </w:tabs>
    </w:pPr>
  </w:style>
  <w:style w:type="character" w:customStyle="1" w:styleId="HeaderChar">
    <w:name w:val="Header Char"/>
    <w:basedOn w:val="DefaultParagraphFont"/>
    <w:link w:val="Header"/>
    <w:uiPriority w:val="99"/>
    <w:rsid w:val="006473E6"/>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473E6"/>
    <w:pPr>
      <w:tabs>
        <w:tab w:val="center" w:pos="4680"/>
        <w:tab w:val="right" w:pos="9360"/>
      </w:tabs>
    </w:pPr>
  </w:style>
  <w:style w:type="character" w:customStyle="1" w:styleId="FooterChar">
    <w:name w:val="Footer Char"/>
    <w:basedOn w:val="DefaultParagraphFont"/>
    <w:link w:val="Footer"/>
    <w:uiPriority w:val="99"/>
    <w:rsid w:val="006473E6"/>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8183D-F936-4504-929F-A26035EAC8D2}">
  <ds:schemaRefs>
    <ds:schemaRef ds:uri="http://purl.org/dc/dcmitype/"/>
    <ds:schemaRef ds:uri="http://schemas.microsoft.com/office/2006/documentManagement/types"/>
    <ds:schemaRef ds:uri="http://purl.org/dc/elements/1.1/"/>
    <ds:schemaRef ds:uri="http://schemas.microsoft.com/office/infopath/2007/PartnerControls"/>
    <ds:schemaRef ds:uri="826143e3-bbcb-45bb-8829-107013e701e5"/>
    <ds:schemaRef ds:uri="40373426-a635-45b1-b7aa-ea3ee01eecf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1A6C688-5EE2-42DA-B147-7E4502EB47DB}">
  <ds:schemaRefs>
    <ds:schemaRef ds:uri="http://schemas.microsoft.com/sharepoint/v3/contenttype/forms"/>
  </ds:schemaRefs>
</ds:datastoreItem>
</file>

<file path=customXml/itemProps3.xml><?xml version="1.0" encoding="utf-8"?>
<ds:datastoreItem xmlns:ds="http://schemas.openxmlformats.org/officeDocument/2006/customXml" ds:itemID="{E6B73591-7E06-4707-A63E-3A0A37CB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6614</Words>
  <Characters>50142</Characters>
  <Application>Microsoft Office Word</Application>
  <DocSecurity>0</DocSecurity>
  <Lines>3133</Lines>
  <Paragraphs>1319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8-1: U.S. Template for Resolution Plan</dc:title>
  <dc:subject/>
  <dc:creator>Staff</dc:creator>
  <cp:keywords/>
  <dc:description/>
  <cp:lastModifiedBy>Arscott, Erin</cp:lastModifiedBy>
  <cp:revision>7</cp:revision>
  <dcterms:created xsi:type="dcterms:W3CDTF">2024-02-06T19:00:00Z</dcterms:created>
  <dcterms:modified xsi:type="dcterms:W3CDTF">2024-02-09T20:53:00Z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0x0101006245E44A98F62F479E388EA3B0D6EE64</vt:lpwstr>
  </property>
</Properties>
</file>