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FF73" w14:textId="44702FE9" w:rsidR="000857AE" w:rsidRDefault="00516523">
      <w:pPr>
        <w:rPr>
          <w:b/>
          <w:bCs/>
        </w:rPr>
      </w:pPr>
      <w:r>
        <w:rPr>
          <w:b/>
          <w:bCs/>
        </w:rPr>
        <w:t>Initial Equity Volatility</w:t>
      </w:r>
    </w:p>
    <w:p w14:paraId="32DE036A" w14:textId="380766E3" w:rsidR="00CE0526" w:rsidRDefault="00CE0526">
      <w:r>
        <w:t xml:space="preserve">In GEMS, </w:t>
      </w:r>
      <w:r w:rsidR="00BB5EA9">
        <w:t xml:space="preserve">the Equity Model has a stochastic volatility (see second row of </w:t>
      </w:r>
      <w:r w:rsidR="00BB5EA9">
        <w:fldChar w:fldCharType="begin"/>
      </w:r>
      <w:r w:rsidR="00BB5EA9">
        <w:instrText xml:space="preserve"> REF _Ref80862437 \h </w:instrText>
      </w:r>
      <w:r w:rsidR="00BB5EA9">
        <w:fldChar w:fldCharType="separate"/>
      </w:r>
      <w:r w:rsidR="00BB5EA9">
        <w:t xml:space="preserve">Equation </w:t>
      </w:r>
      <w:r w:rsidR="00BB5EA9">
        <w:rPr>
          <w:noProof/>
        </w:rPr>
        <w:t>1</w:t>
      </w:r>
      <w:r w:rsidR="00BB5EA9">
        <w:fldChar w:fldCharType="end"/>
      </w:r>
      <w:r w:rsidR="00BB5EA9">
        <w:t>).  As with any stochastic model, this will require an initial value.  However, unlike the Treasury model, this value is NOT directly derivable from market data.</w:t>
      </w:r>
    </w:p>
    <w:p w14:paraId="66E476B5" w14:textId="5701087E" w:rsidR="00CE0526" w:rsidRDefault="00D62CAA">
      <w:r>
        <w:rPr>
          <w:noProof/>
        </w:rPr>
        <w:drawing>
          <wp:inline distT="0" distB="0" distL="0" distR="0" wp14:anchorId="5DAFB3CC" wp14:editId="1E98C085">
            <wp:extent cx="5943600" cy="5016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943600" cy="5016500"/>
                    </a:xfrm>
                    <a:prstGeom prst="rect">
                      <a:avLst/>
                    </a:prstGeom>
                  </pic:spPr>
                </pic:pic>
              </a:graphicData>
            </a:graphic>
          </wp:inline>
        </w:drawing>
      </w:r>
    </w:p>
    <w:p w14:paraId="1A87DBFF" w14:textId="78BDAFB2" w:rsidR="00CE0526" w:rsidRDefault="008F45E0" w:rsidP="008F45E0">
      <w:pPr>
        <w:pStyle w:val="Caption"/>
        <w:rPr>
          <w:i w:val="0"/>
          <w:iCs w:val="0"/>
        </w:rPr>
      </w:pPr>
      <w:bookmarkStart w:id="0" w:name="_Ref80862437"/>
      <w:bookmarkStart w:id="1" w:name="_Ref82376127"/>
      <w:r>
        <w:t xml:space="preserve">Equation </w:t>
      </w:r>
      <w:fldSimple w:instr=" SEQ Equation \* ARABIC ">
        <w:r w:rsidR="004F61B4">
          <w:rPr>
            <w:noProof/>
          </w:rPr>
          <w:t>1</w:t>
        </w:r>
      </w:fldSimple>
      <w:bookmarkEnd w:id="0"/>
      <w:r w:rsidR="00CE0526">
        <w:rPr>
          <w:i w:val="0"/>
          <w:iCs w:val="0"/>
        </w:rPr>
        <w:t>: Key GEMS Equity Equations</w:t>
      </w:r>
      <w:bookmarkEnd w:id="1"/>
    </w:p>
    <w:p w14:paraId="07795735" w14:textId="55133E28" w:rsidR="00BB4858" w:rsidRPr="00BB5EA9" w:rsidRDefault="00BB4858" w:rsidP="00BB4858">
      <w:pPr>
        <w:rPr>
          <w:rFonts w:cstheme="minorHAnsi"/>
        </w:rPr>
      </w:pPr>
    </w:p>
    <w:p w14:paraId="2BA2CE93" w14:textId="22D40190" w:rsidR="000D793B" w:rsidRPr="00BB5EA9" w:rsidRDefault="00BB5EA9" w:rsidP="00BB5EA9">
      <w:pPr>
        <w:rPr>
          <w:rFonts w:cstheme="minorHAnsi"/>
        </w:rPr>
      </w:pPr>
      <w:r w:rsidRPr="00BB5EA9">
        <w:rPr>
          <w:rFonts w:cstheme="minorHAnsi"/>
        </w:rPr>
        <w:t>There are three potential approaches for setting this initial value which this document will discuss:</w:t>
      </w:r>
    </w:p>
    <w:p w14:paraId="3A4CBBA4" w14:textId="6174846A" w:rsidR="00BB5EA9" w:rsidRDefault="00BB5EA9" w:rsidP="00BB5EA9">
      <w:pPr>
        <w:pStyle w:val="ListParagraph"/>
        <w:numPr>
          <w:ilvl w:val="0"/>
          <w:numId w:val="2"/>
        </w:numPr>
        <w:rPr>
          <w:rFonts w:asciiTheme="minorHAnsi" w:hAnsiTheme="minorHAnsi" w:cstheme="minorHAnsi"/>
          <w:sz w:val="22"/>
          <w:szCs w:val="22"/>
        </w:rPr>
      </w:pPr>
      <w:r w:rsidRPr="00BB5EA9">
        <w:rPr>
          <w:rFonts w:asciiTheme="minorHAnsi" w:hAnsiTheme="minorHAnsi" w:cstheme="minorHAnsi"/>
          <w:sz w:val="22"/>
          <w:szCs w:val="22"/>
        </w:rPr>
        <w:t xml:space="preserve">Setting it to the model’s </w:t>
      </w:r>
      <w:r>
        <w:rPr>
          <w:rFonts w:asciiTheme="minorHAnsi" w:hAnsiTheme="minorHAnsi" w:cstheme="minorHAnsi"/>
          <w:sz w:val="22"/>
          <w:szCs w:val="22"/>
        </w:rPr>
        <w:t>long-term level</w:t>
      </w:r>
    </w:p>
    <w:p w14:paraId="4E08D151" w14:textId="4E56F0A7" w:rsidR="00BB5EA9" w:rsidRDefault="00BB5EA9" w:rsidP="00BB5E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Using the standard GEMS calibration methodology</w:t>
      </w:r>
    </w:p>
    <w:p w14:paraId="785B1B85" w14:textId="4A877206" w:rsidR="00BB5EA9" w:rsidRDefault="00BB5EA9" w:rsidP="00BB5E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Using market data to create a proxy</w:t>
      </w:r>
    </w:p>
    <w:p w14:paraId="492E3C3A" w14:textId="670B024E" w:rsidR="00BB5EA9" w:rsidRDefault="00BB5EA9" w:rsidP="00BB5EA9">
      <w:pPr>
        <w:rPr>
          <w:rFonts w:cstheme="minorHAnsi"/>
        </w:rPr>
      </w:pPr>
    </w:p>
    <w:p w14:paraId="40A864C6" w14:textId="77777777" w:rsidR="00293983" w:rsidRDefault="00293983" w:rsidP="00BB5EA9">
      <w:pPr>
        <w:rPr>
          <w:rFonts w:cstheme="minorHAnsi"/>
          <w:u w:val="single"/>
        </w:rPr>
      </w:pPr>
    </w:p>
    <w:p w14:paraId="7CAFBD5D" w14:textId="77777777" w:rsidR="00293983" w:rsidRDefault="00293983" w:rsidP="00BB5EA9">
      <w:pPr>
        <w:rPr>
          <w:rFonts w:cstheme="minorHAnsi"/>
          <w:u w:val="single"/>
        </w:rPr>
      </w:pPr>
    </w:p>
    <w:p w14:paraId="2C645F13" w14:textId="172EE263" w:rsidR="00BB5EA9" w:rsidRDefault="00BB5EA9" w:rsidP="00BB5EA9">
      <w:pPr>
        <w:rPr>
          <w:rFonts w:cstheme="minorHAnsi"/>
        </w:rPr>
      </w:pPr>
      <w:r>
        <w:rPr>
          <w:rFonts w:cstheme="minorHAnsi"/>
          <w:u w:val="single"/>
        </w:rPr>
        <w:lastRenderedPageBreak/>
        <w:t xml:space="preserve">Setting to the </w:t>
      </w:r>
      <w:r w:rsidR="005A1C4E">
        <w:rPr>
          <w:rFonts w:cstheme="minorHAnsi"/>
          <w:u w:val="single"/>
        </w:rPr>
        <w:t>M</w:t>
      </w:r>
      <w:r>
        <w:rPr>
          <w:rFonts w:cstheme="minorHAnsi"/>
          <w:u w:val="single"/>
        </w:rPr>
        <w:t xml:space="preserve">odel’s </w:t>
      </w:r>
      <w:r w:rsidR="005A1C4E">
        <w:rPr>
          <w:rFonts w:cstheme="minorHAnsi"/>
          <w:u w:val="single"/>
        </w:rPr>
        <w:t>L</w:t>
      </w:r>
      <w:r>
        <w:rPr>
          <w:rFonts w:cstheme="minorHAnsi"/>
          <w:u w:val="single"/>
        </w:rPr>
        <w:t>ong-</w:t>
      </w:r>
      <w:r w:rsidR="005A1C4E">
        <w:rPr>
          <w:rFonts w:cstheme="minorHAnsi"/>
          <w:u w:val="single"/>
        </w:rPr>
        <w:t>T</w:t>
      </w:r>
      <w:r>
        <w:rPr>
          <w:rFonts w:cstheme="minorHAnsi"/>
          <w:u w:val="single"/>
        </w:rPr>
        <w:t xml:space="preserve">erm </w:t>
      </w:r>
      <w:r w:rsidR="005A1C4E">
        <w:rPr>
          <w:rFonts w:cstheme="minorHAnsi"/>
          <w:u w:val="single"/>
        </w:rPr>
        <w:t>L</w:t>
      </w:r>
      <w:r>
        <w:rPr>
          <w:rFonts w:cstheme="minorHAnsi"/>
          <w:u w:val="single"/>
        </w:rPr>
        <w:t>evel</w:t>
      </w:r>
    </w:p>
    <w:p w14:paraId="144CF582" w14:textId="0C0B02AB" w:rsidR="00BB5EA9" w:rsidRDefault="00BB5EA9" w:rsidP="00BB5EA9">
      <w:pPr>
        <w:rPr>
          <w:rFonts w:cstheme="minorHAnsi"/>
        </w:rPr>
      </w:pPr>
      <w:r>
        <w:rPr>
          <w:rFonts w:cstheme="minorHAnsi"/>
        </w:rPr>
        <w:t xml:space="preserve">Like GEMS, the current AIRG has the same issue: its equity’s volatility is stochastic, so it needs to be initialized.  In the AIRG, that is accomplished by setting the </w:t>
      </w:r>
      <w:r w:rsidR="00115D10">
        <w:rPr>
          <w:rFonts w:cstheme="minorHAnsi"/>
        </w:rPr>
        <w:t xml:space="preserve">initial level to the model’s long-term level.  In GEMS, this would mean setting the </w:t>
      </w:r>
      <w:proofErr w:type="gramStart"/>
      <w:r w:rsidR="00115D10">
        <w:rPr>
          <w:rFonts w:cstheme="minorHAnsi"/>
        </w:rPr>
        <w:t>V(</w:t>
      </w:r>
      <w:proofErr w:type="gramEnd"/>
      <w:r w:rsidR="00115D10">
        <w:rPr>
          <w:rFonts w:cstheme="minorHAnsi"/>
        </w:rPr>
        <w:t xml:space="preserve">0) in the above equation to </w:t>
      </w:r>
      <w:r w:rsidR="00115D10">
        <w:rPr>
          <w:rFonts w:ascii="Symbol" w:hAnsi="Symbol" w:cstheme="minorHAnsi"/>
        </w:rPr>
        <w:t>a</w:t>
      </w:r>
      <w:r w:rsidR="00115D10">
        <w:rPr>
          <w:rFonts w:cstheme="minorHAnsi"/>
        </w:rPr>
        <w:t xml:space="preserve"> / </w:t>
      </w:r>
      <w:r w:rsidR="00115D10">
        <w:rPr>
          <w:rFonts w:ascii="Symbol" w:hAnsi="Symbol" w:cstheme="minorHAnsi"/>
        </w:rPr>
        <w:t>b</w:t>
      </w:r>
      <w:r w:rsidR="00115D10">
        <w:rPr>
          <w:rFonts w:cstheme="minorHAnsi"/>
        </w:rPr>
        <w:t>.</w:t>
      </w:r>
    </w:p>
    <w:p w14:paraId="1D7215B1" w14:textId="31E46C53" w:rsidR="00115D10" w:rsidRDefault="00115D10" w:rsidP="00BB5EA9">
      <w:pPr>
        <w:rPr>
          <w:rFonts w:cstheme="minorHAnsi"/>
        </w:rPr>
      </w:pPr>
      <w:r>
        <w:rPr>
          <w:rFonts w:cstheme="minorHAnsi"/>
        </w:rPr>
        <w:t xml:space="preserve">This approach has several advantages.  First, since it means that this parameter is not changing from one run to the next, it will create the most stable return distribution from one run date to the next.  Second, </w:t>
      </w:r>
      <w:r w:rsidR="00157786">
        <w:rPr>
          <w:rFonts w:cstheme="minorHAnsi"/>
        </w:rPr>
        <w:t>since the initial will be set to the long-term level, there will be no trend in volatility across simulation years.  Finally, as mentioned above, this assumption would best align with the one that the AIRG currently uses.</w:t>
      </w:r>
    </w:p>
    <w:p w14:paraId="231C77C2" w14:textId="218CA801" w:rsidR="00157786" w:rsidRDefault="00157786" w:rsidP="00BB5EA9">
      <w:pPr>
        <w:rPr>
          <w:rFonts w:cstheme="minorHAnsi"/>
        </w:rPr>
      </w:pPr>
      <w:r>
        <w:rPr>
          <w:rFonts w:cstheme="minorHAnsi"/>
        </w:rPr>
        <w:t xml:space="preserve">There are a few downsides to this approach.  First, this approach is inconsistent with how the GEMS model is calibrated.  While there may not be directly observable data for this parameter, it is related to recent market movements.  Specifically, when the market sees large daily movements like it did in March 2020, the GEMS calibration will tend to lead to an increasing level for this parameter (see </w:t>
      </w:r>
      <w:r w:rsidR="00C70155">
        <w:rPr>
          <w:rFonts w:cstheme="minorHAnsi"/>
        </w:rPr>
        <w:fldChar w:fldCharType="begin"/>
      </w:r>
      <w:r w:rsidR="00C70155">
        <w:rPr>
          <w:rFonts w:cstheme="minorHAnsi"/>
        </w:rPr>
        <w:instrText xml:space="preserve"> REF _Ref82378307 \h </w:instrText>
      </w:r>
      <w:r w:rsidR="00C70155">
        <w:rPr>
          <w:rFonts w:cstheme="minorHAnsi"/>
        </w:rPr>
      </w:r>
      <w:r w:rsidR="00C70155">
        <w:rPr>
          <w:rFonts w:cstheme="minorHAnsi"/>
        </w:rPr>
        <w:fldChar w:fldCharType="separate"/>
      </w:r>
      <w:r w:rsidR="00C70155">
        <w:t xml:space="preserve">Table </w:t>
      </w:r>
      <w:r w:rsidR="00C70155">
        <w:rPr>
          <w:noProof/>
        </w:rPr>
        <w:t>1</w:t>
      </w:r>
      <w:r w:rsidR="00C70155">
        <w:rPr>
          <w:rFonts w:cstheme="minorHAnsi"/>
        </w:rPr>
        <w:fldChar w:fldCharType="end"/>
      </w:r>
      <w:r w:rsidR="00C70155">
        <w:rPr>
          <w:rFonts w:cstheme="minorHAnsi"/>
        </w:rPr>
        <w:t xml:space="preserve">).  Second, when companies </w:t>
      </w:r>
      <w:r w:rsidR="00852323">
        <w:rPr>
          <w:rFonts w:cstheme="minorHAnsi"/>
        </w:rPr>
        <w:t>perf</w:t>
      </w:r>
      <w:r w:rsidR="00AE3C16">
        <w:rPr>
          <w:rFonts w:cstheme="minorHAnsi"/>
        </w:rPr>
        <w:t>orm</w:t>
      </w:r>
      <w:r w:rsidR="00C70155">
        <w:rPr>
          <w:rFonts w:cstheme="minorHAnsi"/>
        </w:rPr>
        <w:t xml:space="preserve"> future reserve and capital calculations (</w:t>
      </w:r>
      <w:proofErr w:type="gramStart"/>
      <w:r w:rsidR="00C70155">
        <w:rPr>
          <w:rFonts w:cstheme="minorHAnsi"/>
        </w:rPr>
        <w:t>i.e.</w:t>
      </w:r>
      <w:proofErr w:type="gramEnd"/>
      <w:r w:rsidR="00C70155">
        <w:rPr>
          <w:rFonts w:cstheme="minorHAnsi"/>
        </w:rPr>
        <w:t xml:space="preserve"> stochastic on stochastic), there will be a disconnect between the outer loop, which will use the </w:t>
      </w:r>
      <w:r w:rsidR="0032123C">
        <w:rPr>
          <w:rFonts w:cstheme="minorHAnsi"/>
        </w:rPr>
        <w:t>above equations, and the inner loop, which will revert to a fixed level.</w:t>
      </w:r>
    </w:p>
    <w:p w14:paraId="58757F0A" w14:textId="77777777" w:rsidR="0032123C" w:rsidRDefault="0032123C" w:rsidP="0032123C">
      <w:pPr>
        <w:rPr>
          <w:rFonts w:cstheme="minorHAnsi"/>
        </w:rPr>
      </w:pPr>
      <w:bookmarkStart w:id="2" w:name="_Hlk82381575"/>
    </w:p>
    <w:p w14:paraId="2E977AFA" w14:textId="59D2957A" w:rsidR="0032123C" w:rsidRDefault="0032123C" w:rsidP="0032123C">
      <w:pPr>
        <w:rPr>
          <w:rFonts w:cstheme="minorHAnsi"/>
        </w:rPr>
      </w:pPr>
      <w:r>
        <w:rPr>
          <w:rFonts w:cstheme="minorHAnsi"/>
          <w:u w:val="single"/>
        </w:rPr>
        <w:t>Use the current Conning methodology</w:t>
      </w:r>
    </w:p>
    <w:p w14:paraId="39200F28" w14:textId="4D147FA8" w:rsidR="0032123C" w:rsidRDefault="001E65FA" w:rsidP="00BB5EA9">
      <w:pPr>
        <w:rPr>
          <w:rFonts w:cstheme="minorHAnsi"/>
        </w:rPr>
      </w:pPr>
      <w:r>
        <w:rPr>
          <w:rFonts w:cstheme="minorHAnsi"/>
        </w:rPr>
        <w:t xml:space="preserve">As part of its calibration process for this model, Conning has developed a calibration methodology.  </w:t>
      </w:r>
      <w:r w:rsidR="001D0155">
        <w:rPr>
          <w:rFonts w:cstheme="minorHAnsi"/>
        </w:rPr>
        <w:t>This</w:t>
      </w:r>
      <w:r>
        <w:rPr>
          <w:rFonts w:cstheme="minorHAnsi"/>
        </w:rPr>
        <w:t xml:space="preserve"> process creates an estimate of this volatility parameters based on the observed daily price fluctuations.  Currently, </w:t>
      </w:r>
      <w:proofErr w:type="gramStart"/>
      <w:r>
        <w:rPr>
          <w:rFonts w:cstheme="minorHAnsi"/>
        </w:rPr>
        <w:t>all of</w:t>
      </w:r>
      <w:proofErr w:type="gramEnd"/>
      <w:r>
        <w:rPr>
          <w:rFonts w:cstheme="minorHAnsi"/>
        </w:rPr>
        <w:t xml:space="preserve"> the scenarios that have been created by Conning have used the initial value from this process.  The amount of fluctuation of this parameter can be seen in </w:t>
      </w:r>
      <w:r>
        <w:rPr>
          <w:rFonts w:cstheme="minorHAnsi"/>
        </w:rPr>
        <w:fldChar w:fldCharType="begin"/>
      </w:r>
      <w:r>
        <w:rPr>
          <w:rFonts w:cstheme="minorHAnsi"/>
        </w:rPr>
        <w:instrText xml:space="preserve"> REF _Ref82378307 \h </w:instrText>
      </w:r>
      <w:r>
        <w:rPr>
          <w:rFonts w:cstheme="minorHAnsi"/>
        </w:rPr>
      </w:r>
      <w:r>
        <w:rPr>
          <w:rFonts w:cstheme="minorHAnsi"/>
        </w:rPr>
        <w:fldChar w:fldCharType="separate"/>
      </w:r>
      <w:r>
        <w:t xml:space="preserve">Table </w:t>
      </w:r>
      <w:r>
        <w:rPr>
          <w:noProof/>
        </w:rPr>
        <w:t>1</w:t>
      </w:r>
      <w:r>
        <w:rPr>
          <w:rFonts w:cstheme="minorHAnsi"/>
        </w:rPr>
        <w:fldChar w:fldCharType="end"/>
      </w:r>
      <w:r>
        <w:rPr>
          <w:rFonts w:cstheme="minorHAnsi"/>
        </w:rPr>
        <w:t xml:space="preserve">.  While the </w:t>
      </w:r>
      <w:bookmarkEnd w:id="2"/>
      <w:r>
        <w:rPr>
          <w:rFonts w:cstheme="minorHAnsi"/>
        </w:rPr>
        <w:t xml:space="preserve">impact of changes in this parameter can be </w:t>
      </w:r>
      <w:r w:rsidR="00C80318">
        <w:rPr>
          <w:rFonts w:cstheme="minorHAnsi"/>
        </w:rPr>
        <w:t>quite large in early periods (</w:t>
      </w:r>
      <w:proofErr w:type="gramStart"/>
      <w:r w:rsidR="00C80318">
        <w:rPr>
          <w:rFonts w:cstheme="minorHAnsi"/>
        </w:rPr>
        <w:t>e.g.</w:t>
      </w:r>
      <w:proofErr w:type="gramEnd"/>
      <w:r w:rsidR="00C80318">
        <w:rPr>
          <w:rFonts w:cstheme="minorHAnsi"/>
        </w:rPr>
        <w:t xml:space="preserve"> </w:t>
      </w:r>
      <w:r w:rsidR="00C80318">
        <w:rPr>
          <w:rFonts w:cstheme="minorHAnsi"/>
        </w:rPr>
        <w:fldChar w:fldCharType="begin"/>
      </w:r>
      <w:r w:rsidR="00C80318">
        <w:rPr>
          <w:rFonts w:cstheme="minorHAnsi"/>
        </w:rPr>
        <w:instrText xml:space="preserve"> REF _Ref82381255 \h </w:instrText>
      </w:r>
      <w:r w:rsidR="00C80318">
        <w:rPr>
          <w:rFonts w:cstheme="minorHAnsi"/>
        </w:rPr>
      </w:r>
      <w:r w:rsidR="00C80318">
        <w:rPr>
          <w:rFonts w:cstheme="minorHAnsi"/>
        </w:rPr>
        <w:fldChar w:fldCharType="separate"/>
      </w:r>
      <w:r w:rsidR="00C80318">
        <w:t xml:space="preserve">Figure </w:t>
      </w:r>
      <w:r w:rsidR="00C80318">
        <w:rPr>
          <w:noProof/>
        </w:rPr>
        <w:t>1</w:t>
      </w:r>
      <w:r w:rsidR="00C80318">
        <w:rPr>
          <w:rFonts w:cstheme="minorHAnsi"/>
        </w:rPr>
        <w:fldChar w:fldCharType="end"/>
      </w:r>
      <w:r w:rsidR="00C80318">
        <w:rPr>
          <w:rFonts w:cstheme="minorHAnsi"/>
        </w:rPr>
        <w:t xml:space="preserve"> shows Year 1 impact of 3 different initial volatility parameters</w:t>
      </w:r>
      <w:r w:rsidR="00C80318">
        <w:rPr>
          <w:rStyle w:val="FootnoteReference"/>
          <w:i/>
          <w:iCs/>
        </w:rPr>
        <w:footnoteReference w:id="1"/>
      </w:r>
      <w:r w:rsidR="00C80318">
        <w:rPr>
          <w:rFonts w:cstheme="minorHAnsi"/>
        </w:rPr>
        <w:t xml:space="preserve">), </w:t>
      </w:r>
      <w:r w:rsidR="00C80318">
        <w:rPr>
          <w:rFonts w:cstheme="minorHAnsi"/>
        </w:rPr>
        <w:fldChar w:fldCharType="begin"/>
      </w:r>
      <w:r w:rsidR="00C80318">
        <w:rPr>
          <w:rFonts w:cstheme="minorHAnsi"/>
        </w:rPr>
        <w:instrText xml:space="preserve"> REF _Ref82381378 \h </w:instrText>
      </w:r>
      <w:r w:rsidR="00C80318">
        <w:rPr>
          <w:rFonts w:cstheme="minorHAnsi"/>
        </w:rPr>
      </w:r>
      <w:r w:rsidR="00C80318">
        <w:rPr>
          <w:rFonts w:cstheme="minorHAnsi"/>
        </w:rPr>
        <w:fldChar w:fldCharType="separate"/>
      </w:r>
      <w:r w:rsidR="00C80318">
        <w:t xml:space="preserve">Figure </w:t>
      </w:r>
      <w:r w:rsidR="00C80318">
        <w:rPr>
          <w:noProof/>
        </w:rPr>
        <w:t>2</w:t>
      </w:r>
      <w:r w:rsidR="00C80318">
        <w:rPr>
          <w:rFonts w:cstheme="minorHAnsi"/>
        </w:rPr>
        <w:fldChar w:fldCharType="end"/>
      </w:r>
      <w:r w:rsidR="00C80318">
        <w:rPr>
          <w:rFonts w:cstheme="minorHAnsi"/>
        </w:rPr>
        <w:t xml:space="preserve"> shows that this impact tends to fade relatively quickly.</w:t>
      </w:r>
    </w:p>
    <w:p w14:paraId="6F823860" w14:textId="77777777" w:rsidR="0032123C" w:rsidRDefault="0032123C" w:rsidP="00BB5EA9">
      <w:pPr>
        <w:rPr>
          <w:rFonts w:cstheme="minorHAnsi"/>
        </w:rPr>
      </w:pPr>
    </w:p>
    <w:tbl>
      <w:tblPr>
        <w:tblStyle w:val="TableGrid"/>
        <w:tblW w:w="0" w:type="auto"/>
        <w:jc w:val="center"/>
        <w:tblLook w:val="04A0" w:firstRow="1" w:lastRow="0" w:firstColumn="1" w:lastColumn="0" w:noHBand="0" w:noVBand="1"/>
      </w:tblPr>
      <w:tblGrid>
        <w:gridCol w:w="2398"/>
        <w:gridCol w:w="2402"/>
        <w:gridCol w:w="2162"/>
        <w:gridCol w:w="2388"/>
      </w:tblGrid>
      <w:tr w:rsidR="00C80318" w:rsidRPr="00C70155" w14:paraId="17143A6F" w14:textId="77777777" w:rsidTr="00C80318">
        <w:trPr>
          <w:jc w:val="center"/>
        </w:trPr>
        <w:tc>
          <w:tcPr>
            <w:tcW w:w="2398" w:type="dxa"/>
          </w:tcPr>
          <w:p w14:paraId="32E22E22" w14:textId="19B2C6B6" w:rsidR="00C80318" w:rsidRPr="00C70155" w:rsidRDefault="00C80318" w:rsidP="00C70155">
            <w:pPr>
              <w:jc w:val="center"/>
              <w:rPr>
                <w:rFonts w:cstheme="minorHAnsi"/>
                <w:b/>
                <w:bCs/>
              </w:rPr>
            </w:pPr>
            <w:r w:rsidRPr="00C70155">
              <w:rPr>
                <w:rFonts w:cstheme="minorHAnsi"/>
                <w:b/>
                <w:bCs/>
              </w:rPr>
              <w:t>Quarter</w:t>
            </w:r>
          </w:p>
        </w:tc>
        <w:tc>
          <w:tcPr>
            <w:tcW w:w="2402" w:type="dxa"/>
          </w:tcPr>
          <w:p w14:paraId="2A10990F" w14:textId="53D635F7" w:rsidR="00C80318" w:rsidRPr="00C70155" w:rsidRDefault="00C80318" w:rsidP="00C70155">
            <w:pPr>
              <w:jc w:val="center"/>
              <w:rPr>
                <w:rFonts w:cstheme="minorHAnsi"/>
                <w:b/>
                <w:bCs/>
              </w:rPr>
            </w:pPr>
            <w:r w:rsidRPr="00C70155">
              <w:rPr>
                <w:rFonts w:cstheme="minorHAnsi"/>
                <w:b/>
                <w:bCs/>
              </w:rPr>
              <w:t>GEMS Method</w:t>
            </w:r>
          </w:p>
        </w:tc>
        <w:tc>
          <w:tcPr>
            <w:tcW w:w="2162" w:type="dxa"/>
          </w:tcPr>
          <w:p w14:paraId="3F528864" w14:textId="0AE94251" w:rsidR="00C80318" w:rsidRPr="00C70155" w:rsidRDefault="00C80318" w:rsidP="00C70155">
            <w:pPr>
              <w:jc w:val="center"/>
              <w:rPr>
                <w:rFonts w:cstheme="minorHAnsi"/>
                <w:b/>
                <w:bCs/>
              </w:rPr>
            </w:pPr>
            <w:r>
              <w:rPr>
                <w:rFonts w:cstheme="minorHAnsi"/>
                <w:b/>
                <w:bCs/>
              </w:rPr>
              <w:t>Daily Volatility</w:t>
            </w:r>
            <w:r w:rsidR="00731761">
              <w:rPr>
                <w:rFonts w:cstheme="minorHAnsi"/>
                <w:b/>
                <w:bCs/>
              </w:rPr>
              <w:t xml:space="preserve"> during the Quarter</w:t>
            </w:r>
          </w:p>
        </w:tc>
        <w:tc>
          <w:tcPr>
            <w:tcW w:w="2388" w:type="dxa"/>
          </w:tcPr>
          <w:p w14:paraId="59CC8B98" w14:textId="2F1E7A9C" w:rsidR="00C80318" w:rsidRPr="00C70155" w:rsidRDefault="00C80318" w:rsidP="00C70155">
            <w:pPr>
              <w:jc w:val="center"/>
              <w:rPr>
                <w:rFonts w:cstheme="minorHAnsi"/>
                <w:b/>
                <w:bCs/>
              </w:rPr>
            </w:pPr>
            <w:r w:rsidRPr="00C70155">
              <w:rPr>
                <w:rFonts w:cstheme="minorHAnsi"/>
                <w:b/>
                <w:bCs/>
              </w:rPr>
              <w:t>Fitted based on Trading Data</w:t>
            </w:r>
          </w:p>
        </w:tc>
      </w:tr>
      <w:tr w:rsidR="00C80318" w:rsidRPr="00C70155" w14:paraId="1F3385B4" w14:textId="77777777" w:rsidTr="00C80318">
        <w:trPr>
          <w:jc w:val="center"/>
        </w:trPr>
        <w:tc>
          <w:tcPr>
            <w:tcW w:w="2398" w:type="dxa"/>
          </w:tcPr>
          <w:p w14:paraId="7E128398" w14:textId="0ADAFD23" w:rsidR="00C80318" w:rsidRPr="00C70155" w:rsidRDefault="00C80318" w:rsidP="00C70155">
            <w:pPr>
              <w:jc w:val="center"/>
              <w:rPr>
                <w:rFonts w:cstheme="minorHAnsi"/>
              </w:rPr>
            </w:pPr>
            <w:r>
              <w:rPr>
                <w:rFonts w:cstheme="minorHAnsi"/>
              </w:rPr>
              <w:t>1Q 2020</w:t>
            </w:r>
          </w:p>
        </w:tc>
        <w:tc>
          <w:tcPr>
            <w:tcW w:w="2402" w:type="dxa"/>
          </w:tcPr>
          <w:p w14:paraId="274F652B" w14:textId="2E693986" w:rsidR="00C80318" w:rsidRPr="00C70155" w:rsidRDefault="00C80318" w:rsidP="00C70155">
            <w:pPr>
              <w:jc w:val="center"/>
              <w:rPr>
                <w:rFonts w:cstheme="minorHAnsi"/>
              </w:rPr>
            </w:pPr>
            <w:r w:rsidRPr="005D0B8C">
              <w:t>1.28%</w:t>
            </w:r>
          </w:p>
        </w:tc>
        <w:tc>
          <w:tcPr>
            <w:tcW w:w="2162" w:type="dxa"/>
          </w:tcPr>
          <w:p w14:paraId="32FDD6BE" w14:textId="282446AD" w:rsidR="00C80318" w:rsidRPr="005D0B8C" w:rsidRDefault="00731761" w:rsidP="00C70155">
            <w:pPr>
              <w:jc w:val="center"/>
            </w:pPr>
            <w:r>
              <w:t>3.59%</w:t>
            </w:r>
          </w:p>
        </w:tc>
        <w:tc>
          <w:tcPr>
            <w:tcW w:w="2388" w:type="dxa"/>
          </w:tcPr>
          <w:p w14:paraId="2BE8DB58" w14:textId="5C473660" w:rsidR="00C80318" w:rsidRPr="00C70155" w:rsidRDefault="00C80318" w:rsidP="00C70155">
            <w:pPr>
              <w:jc w:val="center"/>
              <w:rPr>
                <w:rFonts w:cstheme="minorHAnsi"/>
              </w:rPr>
            </w:pPr>
            <w:r w:rsidRPr="005D0B8C">
              <w:t>1.37%</w:t>
            </w:r>
          </w:p>
        </w:tc>
      </w:tr>
      <w:tr w:rsidR="00C80318" w:rsidRPr="00C70155" w14:paraId="2B18D19A" w14:textId="77777777" w:rsidTr="00C80318">
        <w:trPr>
          <w:jc w:val="center"/>
        </w:trPr>
        <w:tc>
          <w:tcPr>
            <w:tcW w:w="2398" w:type="dxa"/>
          </w:tcPr>
          <w:p w14:paraId="169D0FDA" w14:textId="47034BC5" w:rsidR="00C80318" w:rsidRPr="00C70155" w:rsidRDefault="00C80318" w:rsidP="00C70155">
            <w:pPr>
              <w:jc w:val="center"/>
              <w:rPr>
                <w:rFonts w:cstheme="minorHAnsi"/>
              </w:rPr>
            </w:pPr>
            <w:r>
              <w:rPr>
                <w:rFonts w:cstheme="minorHAnsi"/>
              </w:rPr>
              <w:t>2Q 2020</w:t>
            </w:r>
          </w:p>
        </w:tc>
        <w:tc>
          <w:tcPr>
            <w:tcW w:w="2402" w:type="dxa"/>
          </w:tcPr>
          <w:p w14:paraId="2275E049" w14:textId="7D60968A" w:rsidR="00C80318" w:rsidRPr="00C70155" w:rsidRDefault="00C80318" w:rsidP="00C70155">
            <w:pPr>
              <w:jc w:val="center"/>
              <w:rPr>
                <w:rFonts w:cstheme="minorHAnsi"/>
              </w:rPr>
            </w:pPr>
            <w:r w:rsidRPr="005D0B8C">
              <w:t>1.24%</w:t>
            </w:r>
          </w:p>
        </w:tc>
        <w:tc>
          <w:tcPr>
            <w:tcW w:w="2162" w:type="dxa"/>
          </w:tcPr>
          <w:p w14:paraId="3693755A" w14:textId="4EF2BBF2" w:rsidR="00C80318" w:rsidRPr="005D0B8C" w:rsidRDefault="00731761" w:rsidP="00C70155">
            <w:pPr>
              <w:jc w:val="center"/>
            </w:pPr>
            <w:r>
              <w:t>2.01%</w:t>
            </w:r>
          </w:p>
        </w:tc>
        <w:tc>
          <w:tcPr>
            <w:tcW w:w="2388" w:type="dxa"/>
          </w:tcPr>
          <w:p w14:paraId="1F2A0BF1" w14:textId="4F241702" w:rsidR="00C80318" w:rsidRPr="00C70155" w:rsidRDefault="00C80318" w:rsidP="00C70155">
            <w:pPr>
              <w:jc w:val="center"/>
              <w:rPr>
                <w:rFonts w:cstheme="minorHAnsi"/>
              </w:rPr>
            </w:pPr>
            <w:r w:rsidRPr="005D0B8C">
              <w:t>1.06%</w:t>
            </w:r>
          </w:p>
        </w:tc>
      </w:tr>
      <w:tr w:rsidR="00C80318" w:rsidRPr="00C70155" w14:paraId="02E05FE8" w14:textId="77777777" w:rsidTr="00C80318">
        <w:trPr>
          <w:jc w:val="center"/>
        </w:trPr>
        <w:tc>
          <w:tcPr>
            <w:tcW w:w="2398" w:type="dxa"/>
          </w:tcPr>
          <w:p w14:paraId="722DCB7F" w14:textId="157E440F" w:rsidR="00C80318" w:rsidRPr="00C70155" w:rsidRDefault="00C80318" w:rsidP="00C70155">
            <w:pPr>
              <w:jc w:val="center"/>
              <w:rPr>
                <w:rFonts w:cstheme="minorHAnsi"/>
              </w:rPr>
            </w:pPr>
            <w:r>
              <w:rPr>
                <w:rFonts w:cstheme="minorHAnsi"/>
              </w:rPr>
              <w:t>3Q 2020</w:t>
            </w:r>
          </w:p>
        </w:tc>
        <w:tc>
          <w:tcPr>
            <w:tcW w:w="2402" w:type="dxa"/>
          </w:tcPr>
          <w:p w14:paraId="61E4BD12" w14:textId="20E2E3CD" w:rsidR="00C80318" w:rsidRPr="00C70155" w:rsidRDefault="00C80318" w:rsidP="00C70155">
            <w:pPr>
              <w:jc w:val="center"/>
              <w:rPr>
                <w:rFonts w:cstheme="minorHAnsi"/>
              </w:rPr>
            </w:pPr>
            <w:r w:rsidRPr="005D0B8C">
              <w:t>0.91%</w:t>
            </w:r>
          </w:p>
        </w:tc>
        <w:tc>
          <w:tcPr>
            <w:tcW w:w="2162" w:type="dxa"/>
          </w:tcPr>
          <w:p w14:paraId="5FA6E88B" w14:textId="26602637" w:rsidR="00C80318" w:rsidRPr="005D0B8C" w:rsidRDefault="00731761" w:rsidP="00C70155">
            <w:pPr>
              <w:jc w:val="center"/>
            </w:pPr>
            <w:r>
              <w:t>1.07%</w:t>
            </w:r>
          </w:p>
        </w:tc>
        <w:tc>
          <w:tcPr>
            <w:tcW w:w="2388" w:type="dxa"/>
          </w:tcPr>
          <w:p w14:paraId="1F365826" w14:textId="5209DE6D" w:rsidR="00C80318" w:rsidRPr="00C70155" w:rsidRDefault="00C80318" w:rsidP="00C70155">
            <w:pPr>
              <w:jc w:val="center"/>
              <w:rPr>
                <w:rFonts w:cstheme="minorHAnsi"/>
              </w:rPr>
            </w:pPr>
            <w:r w:rsidRPr="005D0B8C">
              <w:t>0.88%</w:t>
            </w:r>
          </w:p>
        </w:tc>
      </w:tr>
      <w:tr w:rsidR="00C80318" w:rsidRPr="00C70155" w14:paraId="377B3890" w14:textId="77777777" w:rsidTr="00C80318">
        <w:trPr>
          <w:jc w:val="center"/>
        </w:trPr>
        <w:tc>
          <w:tcPr>
            <w:tcW w:w="2398" w:type="dxa"/>
          </w:tcPr>
          <w:p w14:paraId="74CC004C" w14:textId="75833008" w:rsidR="00C80318" w:rsidRPr="00C70155" w:rsidRDefault="00C80318" w:rsidP="00C70155">
            <w:pPr>
              <w:jc w:val="center"/>
              <w:rPr>
                <w:rFonts w:cstheme="minorHAnsi"/>
              </w:rPr>
            </w:pPr>
            <w:r>
              <w:rPr>
                <w:rFonts w:cstheme="minorHAnsi"/>
              </w:rPr>
              <w:t>4Q 2020</w:t>
            </w:r>
          </w:p>
        </w:tc>
        <w:tc>
          <w:tcPr>
            <w:tcW w:w="2402" w:type="dxa"/>
          </w:tcPr>
          <w:p w14:paraId="51346C94" w14:textId="1DD087BA" w:rsidR="00C80318" w:rsidRPr="00C70155" w:rsidRDefault="00C80318" w:rsidP="00C70155">
            <w:pPr>
              <w:jc w:val="center"/>
              <w:rPr>
                <w:rFonts w:cstheme="minorHAnsi"/>
              </w:rPr>
            </w:pPr>
            <w:r w:rsidRPr="005D0B8C">
              <w:t>0.89%</w:t>
            </w:r>
          </w:p>
        </w:tc>
        <w:tc>
          <w:tcPr>
            <w:tcW w:w="2162" w:type="dxa"/>
          </w:tcPr>
          <w:p w14:paraId="62194BEE" w14:textId="69867E42" w:rsidR="00C80318" w:rsidRPr="005D0B8C" w:rsidRDefault="00731761" w:rsidP="00C70155">
            <w:pPr>
              <w:jc w:val="center"/>
            </w:pPr>
            <w:r>
              <w:t>1.03%</w:t>
            </w:r>
          </w:p>
        </w:tc>
        <w:tc>
          <w:tcPr>
            <w:tcW w:w="2388" w:type="dxa"/>
          </w:tcPr>
          <w:p w14:paraId="63365C2E" w14:textId="2133FA62" w:rsidR="00C80318" w:rsidRPr="00C70155" w:rsidRDefault="00C80318" w:rsidP="00C70155">
            <w:pPr>
              <w:jc w:val="center"/>
              <w:rPr>
                <w:rFonts w:cstheme="minorHAnsi"/>
              </w:rPr>
            </w:pPr>
            <w:r w:rsidRPr="005D0B8C">
              <w:t>0.87%</w:t>
            </w:r>
          </w:p>
        </w:tc>
      </w:tr>
      <w:tr w:rsidR="00C80318" w:rsidRPr="00C70155" w14:paraId="219E18D1" w14:textId="77777777" w:rsidTr="00C80318">
        <w:trPr>
          <w:jc w:val="center"/>
        </w:trPr>
        <w:tc>
          <w:tcPr>
            <w:tcW w:w="2398" w:type="dxa"/>
          </w:tcPr>
          <w:p w14:paraId="0D35BCB7" w14:textId="10AC61C4" w:rsidR="00C80318" w:rsidRPr="00C70155" w:rsidRDefault="00C80318" w:rsidP="00C70155">
            <w:pPr>
              <w:jc w:val="center"/>
              <w:rPr>
                <w:rFonts w:cstheme="minorHAnsi"/>
              </w:rPr>
            </w:pPr>
            <w:r>
              <w:rPr>
                <w:rFonts w:cstheme="minorHAnsi"/>
              </w:rPr>
              <w:t>1Q 2021</w:t>
            </w:r>
          </w:p>
        </w:tc>
        <w:tc>
          <w:tcPr>
            <w:tcW w:w="2402" w:type="dxa"/>
          </w:tcPr>
          <w:p w14:paraId="61956822" w14:textId="14FFF8A7" w:rsidR="00C80318" w:rsidRPr="00C70155" w:rsidRDefault="00C80318" w:rsidP="00C70155">
            <w:pPr>
              <w:jc w:val="center"/>
              <w:rPr>
                <w:rFonts w:cstheme="minorHAnsi"/>
              </w:rPr>
            </w:pPr>
            <w:r w:rsidRPr="005D0B8C">
              <w:t>0.84%</w:t>
            </w:r>
          </w:p>
        </w:tc>
        <w:tc>
          <w:tcPr>
            <w:tcW w:w="2162" w:type="dxa"/>
          </w:tcPr>
          <w:p w14:paraId="579F263A" w14:textId="2740763B" w:rsidR="00C80318" w:rsidRPr="005D0B8C" w:rsidRDefault="00731761" w:rsidP="00C70155">
            <w:pPr>
              <w:jc w:val="center"/>
            </w:pPr>
            <w:r>
              <w:t>1.00%</w:t>
            </w:r>
          </w:p>
        </w:tc>
        <w:tc>
          <w:tcPr>
            <w:tcW w:w="2388" w:type="dxa"/>
          </w:tcPr>
          <w:p w14:paraId="3BC8CE46" w14:textId="7F82CA7D" w:rsidR="00C80318" w:rsidRPr="00C70155" w:rsidRDefault="00C80318" w:rsidP="00C70155">
            <w:pPr>
              <w:jc w:val="center"/>
              <w:rPr>
                <w:rFonts w:cstheme="minorHAnsi"/>
              </w:rPr>
            </w:pPr>
            <w:r w:rsidRPr="005D0B8C">
              <w:t>0.86%</w:t>
            </w:r>
          </w:p>
        </w:tc>
      </w:tr>
      <w:tr w:rsidR="00C80318" w:rsidRPr="00C70155" w14:paraId="68485B4B" w14:textId="77777777" w:rsidTr="00C80318">
        <w:trPr>
          <w:jc w:val="center"/>
        </w:trPr>
        <w:tc>
          <w:tcPr>
            <w:tcW w:w="2398" w:type="dxa"/>
          </w:tcPr>
          <w:p w14:paraId="492AC50B" w14:textId="7C5F05CE" w:rsidR="00C80318" w:rsidRPr="00C70155" w:rsidRDefault="00C80318" w:rsidP="00C70155">
            <w:pPr>
              <w:jc w:val="center"/>
              <w:rPr>
                <w:rFonts w:cstheme="minorHAnsi"/>
              </w:rPr>
            </w:pPr>
            <w:r>
              <w:rPr>
                <w:rFonts w:cstheme="minorHAnsi"/>
              </w:rPr>
              <w:t>2Q 2021</w:t>
            </w:r>
          </w:p>
        </w:tc>
        <w:tc>
          <w:tcPr>
            <w:tcW w:w="2402" w:type="dxa"/>
          </w:tcPr>
          <w:p w14:paraId="08D61CE7" w14:textId="138843AE" w:rsidR="00C80318" w:rsidRPr="00C70155" w:rsidRDefault="00C80318" w:rsidP="00C70155">
            <w:pPr>
              <w:jc w:val="center"/>
              <w:rPr>
                <w:rFonts w:cstheme="minorHAnsi"/>
              </w:rPr>
            </w:pPr>
            <w:r w:rsidRPr="005D0B8C">
              <w:t>0.67%</w:t>
            </w:r>
          </w:p>
        </w:tc>
        <w:tc>
          <w:tcPr>
            <w:tcW w:w="2162" w:type="dxa"/>
          </w:tcPr>
          <w:p w14:paraId="4D6A074F" w14:textId="6BD6062B" w:rsidR="00C80318" w:rsidRPr="005D0B8C" w:rsidRDefault="00731761" w:rsidP="00C70155">
            <w:pPr>
              <w:jc w:val="center"/>
            </w:pPr>
            <w:r>
              <w:t>0.70%</w:t>
            </w:r>
          </w:p>
        </w:tc>
        <w:tc>
          <w:tcPr>
            <w:tcW w:w="2388" w:type="dxa"/>
          </w:tcPr>
          <w:p w14:paraId="191F7E98" w14:textId="0F8A72FD" w:rsidR="00C80318" w:rsidRPr="00C70155" w:rsidRDefault="00C80318" w:rsidP="00C70155">
            <w:pPr>
              <w:jc w:val="center"/>
              <w:rPr>
                <w:rFonts w:cstheme="minorHAnsi"/>
              </w:rPr>
            </w:pPr>
            <w:r w:rsidRPr="005D0B8C">
              <w:t>0.80%</w:t>
            </w:r>
          </w:p>
        </w:tc>
      </w:tr>
      <w:tr w:rsidR="00C80318" w:rsidRPr="00C70155" w14:paraId="25A36603" w14:textId="77777777" w:rsidTr="00C80318">
        <w:trPr>
          <w:jc w:val="center"/>
        </w:trPr>
        <w:tc>
          <w:tcPr>
            <w:tcW w:w="2398" w:type="dxa"/>
          </w:tcPr>
          <w:p w14:paraId="3AE3306D" w14:textId="0ED9FA6C" w:rsidR="00C80318" w:rsidRPr="00C70155" w:rsidRDefault="00C80318" w:rsidP="00C70155">
            <w:pPr>
              <w:jc w:val="center"/>
              <w:rPr>
                <w:rFonts w:cstheme="minorHAnsi"/>
              </w:rPr>
            </w:pPr>
            <w:r>
              <w:rPr>
                <w:rFonts w:cstheme="minorHAnsi"/>
              </w:rPr>
              <w:t>Long-Term</w:t>
            </w:r>
          </w:p>
        </w:tc>
        <w:tc>
          <w:tcPr>
            <w:tcW w:w="2402" w:type="dxa"/>
          </w:tcPr>
          <w:p w14:paraId="38C599D1" w14:textId="4BB34E9A" w:rsidR="00C80318" w:rsidRPr="00C70155" w:rsidRDefault="00C80318" w:rsidP="00C70155">
            <w:pPr>
              <w:jc w:val="center"/>
              <w:rPr>
                <w:rFonts w:cstheme="minorHAnsi"/>
              </w:rPr>
            </w:pPr>
            <w:r>
              <w:rPr>
                <w:rFonts w:cstheme="minorHAnsi"/>
              </w:rPr>
              <w:t>1.40%</w:t>
            </w:r>
          </w:p>
        </w:tc>
        <w:tc>
          <w:tcPr>
            <w:tcW w:w="2162" w:type="dxa"/>
          </w:tcPr>
          <w:p w14:paraId="691F06B6" w14:textId="647B8E4B" w:rsidR="00C80318" w:rsidRDefault="00731761" w:rsidP="00C70155">
            <w:pPr>
              <w:jc w:val="center"/>
              <w:rPr>
                <w:rFonts w:cstheme="minorHAnsi"/>
              </w:rPr>
            </w:pPr>
            <w:r>
              <w:rPr>
                <w:rFonts w:cstheme="minorHAnsi"/>
              </w:rPr>
              <w:t>N/A</w:t>
            </w:r>
          </w:p>
        </w:tc>
        <w:tc>
          <w:tcPr>
            <w:tcW w:w="2388" w:type="dxa"/>
          </w:tcPr>
          <w:p w14:paraId="0FAAC710" w14:textId="77A752C3" w:rsidR="00C80318" w:rsidRPr="00C70155" w:rsidRDefault="00C80318" w:rsidP="00C70155">
            <w:pPr>
              <w:jc w:val="center"/>
              <w:rPr>
                <w:rFonts w:cstheme="minorHAnsi"/>
              </w:rPr>
            </w:pPr>
            <w:r>
              <w:rPr>
                <w:rFonts w:cstheme="minorHAnsi"/>
              </w:rPr>
              <w:t>N/A</w:t>
            </w:r>
          </w:p>
        </w:tc>
      </w:tr>
    </w:tbl>
    <w:p w14:paraId="5ACED000" w14:textId="693653C0" w:rsidR="00157786" w:rsidRDefault="00C70155" w:rsidP="00C70155">
      <w:pPr>
        <w:pStyle w:val="Caption"/>
        <w:rPr>
          <w:i w:val="0"/>
          <w:iCs w:val="0"/>
        </w:rPr>
      </w:pPr>
      <w:bookmarkStart w:id="3" w:name="_Ref82378307"/>
      <w:r>
        <w:t xml:space="preserve">Table </w:t>
      </w:r>
      <w:r w:rsidR="004F05C2">
        <w:fldChar w:fldCharType="begin"/>
      </w:r>
      <w:r w:rsidR="004F05C2">
        <w:instrText xml:space="preserve"> SEQ Table \* ARABIC </w:instrText>
      </w:r>
      <w:r w:rsidR="004F05C2">
        <w:fldChar w:fldCharType="separate"/>
      </w:r>
      <w:r>
        <w:rPr>
          <w:noProof/>
        </w:rPr>
        <w:t>1</w:t>
      </w:r>
      <w:r w:rsidR="004F05C2">
        <w:rPr>
          <w:noProof/>
        </w:rPr>
        <w:fldChar w:fldCharType="end"/>
      </w:r>
      <w:bookmarkEnd w:id="3"/>
      <w:r>
        <w:rPr>
          <w:i w:val="0"/>
          <w:iCs w:val="0"/>
        </w:rPr>
        <w:t>: Initial Volatility Values under 2 alternative Methods</w:t>
      </w:r>
    </w:p>
    <w:p w14:paraId="47C01CBE" w14:textId="1203C3A5" w:rsidR="00C80318" w:rsidRDefault="00C80318" w:rsidP="001E65FA">
      <w:r>
        <w:rPr>
          <w:noProof/>
        </w:rPr>
        <w:lastRenderedPageBreak/>
        <w:drawing>
          <wp:inline distT="0" distB="0" distL="0" distR="0" wp14:anchorId="2920FE7F" wp14:editId="71A2EDF3">
            <wp:extent cx="5943600" cy="43068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06824"/>
                    </a:xfrm>
                    <a:prstGeom prst="rect">
                      <a:avLst/>
                    </a:prstGeom>
                    <a:noFill/>
                  </pic:spPr>
                </pic:pic>
              </a:graphicData>
            </a:graphic>
          </wp:inline>
        </w:drawing>
      </w:r>
    </w:p>
    <w:p w14:paraId="11AF86FF" w14:textId="1B100F48" w:rsidR="001E65FA" w:rsidRDefault="001E65FA" w:rsidP="001E65FA">
      <w:pPr>
        <w:pStyle w:val="Caption"/>
        <w:rPr>
          <w:i w:val="0"/>
          <w:iCs w:val="0"/>
        </w:rPr>
      </w:pPr>
      <w:bookmarkStart w:id="4" w:name="_Ref82381255"/>
      <w:bookmarkStart w:id="5" w:name="_Ref82381249"/>
      <w:r>
        <w:t xml:space="preserve">Figure </w:t>
      </w:r>
      <w:r w:rsidR="004F05C2">
        <w:fldChar w:fldCharType="begin"/>
      </w:r>
      <w:r w:rsidR="004F05C2">
        <w:instrText xml:space="preserve"> SEQ Figure \* ARABIC </w:instrText>
      </w:r>
      <w:r w:rsidR="004F05C2">
        <w:fldChar w:fldCharType="separate"/>
      </w:r>
      <w:r w:rsidR="00C80318">
        <w:rPr>
          <w:noProof/>
        </w:rPr>
        <w:t>1</w:t>
      </w:r>
      <w:r w:rsidR="004F05C2">
        <w:rPr>
          <w:noProof/>
        </w:rPr>
        <w:fldChar w:fldCharType="end"/>
      </w:r>
      <w:bookmarkEnd w:id="4"/>
      <w:r>
        <w:rPr>
          <w:i w:val="0"/>
          <w:iCs w:val="0"/>
        </w:rPr>
        <w:t xml:space="preserve">: </w:t>
      </w:r>
      <w:r w:rsidR="00C80318">
        <w:rPr>
          <w:i w:val="0"/>
          <w:iCs w:val="0"/>
        </w:rPr>
        <w:t>Distribution of Year 1 Total Returns for US Large Cap Returns based on 8/2 Treasury Calibration and alternative initial Volatility levels</w:t>
      </w:r>
      <w:bookmarkEnd w:id="5"/>
    </w:p>
    <w:p w14:paraId="5226F161" w14:textId="50CCBF45" w:rsidR="00C80318" w:rsidRPr="00C80318" w:rsidRDefault="00C80318" w:rsidP="00C80318">
      <w:r>
        <w:t>Not surprisingly, the strengths and weakness of this approach tend to be the exact opposite of the first one.  However, there is one additional concern: Conning will not be able to provide either the data or the methodology to derive this parameter each quarter.  This concern leads us to the third option.</w:t>
      </w:r>
    </w:p>
    <w:p w14:paraId="6822D346" w14:textId="77777777" w:rsidR="00C80318" w:rsidRPr="00C80318" w:rsidRDefault="00C80318" w:rsidP="00C80318">
      <w:pPr>
        <w:ind w:firstLine="720"/>
      </w:pPr>
    </w:p>
    <w:p w14:paraId="65F28F75" w14:textId="3E70FB95" w:rsidR="00C80318" w:rsidRDefault="00C80318" w:rsidP="00C80318">
      <w:r>
        <w:rPr>
          <w:noProof/>
        </w:rPr>
        <w:lastRenderedPageBreak/>
        <w:drawing>
          <wp:inline distT="0" distB="0" distL="0" distR="0" wp14:anchorId="27D8D111" wp14:editId="215113CA">
            <wp:extent cx="5943600" cy="43068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06824"/>
                    </a:xfrm>
                    <a:prstGeom prst="rect">
                      <a:avLst/>
                    </a:prstGeom>
                    <a:noFill/>
                  </pic:spPr>
                </pic:pic>
              </a:graphicData>
            </a:graphic>
          </wp:inline>
        </w:drawing>
      </w:r>
    </w:p>
    <w:p w14:paraId="0F705CBF" w14:textId="668D939A" w:rsidR="00C80318" w:rsidRDefault="00C80318" w:rsidP="00C80318">
      <w:pPr>
        <w:pStyle w:val="Caption"/>
        <w:rPr>
          <w:i w:val="0"/>
          <w:iCs w:val="0"/>
        </w:rPr>
      </w:pPr>
      <w:bookmarkStart w:id="6" w:name="_Ref82381378"/>
      <w:r>
        <w:t xml:space="preserve">Figure </w:t>
      </w:r>
      <w:r w:rsidR="004F05C2">
        <w:fldChar w:fldCharType="begin"/>
      </w:r>
      <w:r w:rsidR="004F05C2">
        <w:instrText xml:space="preserve"> SEQ Figure \* ARABIC </w:instrText>
      </w:r>
      <w:r w:rsidR="004F05C2">
        <w:fldChar w:fldCharType="separate"/>
      </w:r>
      <w:r>
        <w:rPr>
          <w:noProof/>
        </w:rPr>
        <w:t>2</w:t>
      </w:r>
      <w:r w:rsidR="004F05C2">
        <w:rPr>
          <w:noProof/>
        </w:rPr>
        <w:fldChar w:fldCharType="end"/>
      </w:r>
      <w:bookmarkEnd w:id="6"/>
      <w:r>
        <w:rPr>
          <w:i w:val="0"/>
          <w:iCs w:val="0"/>
        </w:rPr>
        <w:t xml:space="preserve">: Comparison of Year 10 Total Return distributions for the same simulations as in </w:t>
      </w:r>
      <w:r>
        <w:rPr>
          <w:i w:val="0"/>
          <w:iCs w:val="0"/>
        </w:rPr>
        <w:fldChar w:fldCharType="begin"/>
      </w:r>
      <w:r>
        <w:rPr>
          <w:i w:val="0"/>
          <w:iCs w:val="0"/>
        </w:rPr>
        <w:instrText xml:space="preserve"> REF _Ref82381255 \h </w:instrText>
      </w:r>
      <w:r>
        <w:rPr>
          <w:i w:val="0"/>
          <w:iCs w:val="0"/>
        </w:rPr>
      </w:r>
      <w:r>
        <w:rPr>
          <w:i w:val="0"/>
          <w:iCs w:val="0"/>
        </w:rPr>
        <w:fldChar w:fldCharType="separate"/>
      </w:r>
      <w:r>
        <w:t xml:space="preserve">Figure </w:t>
      </w:r>
      <w:r>
        <w:rPr>
          <w:noProof/>
        </w:rPr>
        <w:t>1</w:t>
      </w:r>
      <w:r>
        <w:rPr>
          <w:i w:val="0"/>
          <w:iCs w:val="0"/>
        </w:rPr>
        <w:fldChar w:fldCharType="end"/>
      </w:r>
    </w:p>
    <w:p w14:paraId="0568A56F" w14:textId="77777777" w:rsidR="00C80318" w:rsidRDefault="00C80318" w:rsidP="00C80318">
      <w:pPr>
        <w:rPr>
          <w:rFonts w:cstheme="minorHAnsi"/>
        </w:rPr>
      </w:pPr>
    </w:p>
    <w:p w14:paraId="1A9F52CB" w14:textId="530DC6E4" w:rsidR="00C80318" w:rsidRDefault="00C80318" w:rsidP="00C80318">
      <w:pPr>
        <w:rPr>
          <w:rFonts w:cstheme="minorHAnsi"/>
        </w:rPr>
      </w:pPr>
      <w:r>
        <w:rPr>
          <w:rFonts w:cstheme="minorHAnsi"/>
          <w:u w:val="single"/>
        </w:rPr>
        <w:t>Use a proxy methodology</w:t>
      </w:r>
    </w:p>
    <w:p w14:paraId="60645DA0" w14:textId="4A97E78B" w:rsidR="00C80318" w:rsidRPr="00C80318" w:rsidRDefault="00731761" w:rsidP="00C80318">
      <w:r>
        <w:rPr>
          <w:rFonts w:cstheme="minorHAnsi"/>
        </w:rPr>
        <w:t>In this type of equity model, the daily returns it generates will tend to be more volatile when this volatility parameter gets larger.</w:t>
      </w:r>
      <w:r>
        <w:rPr>
          <w:rStyle w:val="FootnoteReference"/>
          <w:rFonts w:cstheme="minorHAnsi"/>
        </w:rPr>
        <w:footnoteReference w:id="2"/>
      </w:r>
      <w:r>
        <w:rPr>
          <w:rFonts w:cstheme="minorHAnsi"/>
        </w:rPr>
        <w:t xml:space="preserve">  That means we can use observed market data, such as recent daily trading volatility or VIX levels, as a reasonable proxy for the Conning estimate.  For example, in </w:t>
      </w:r>
      <w:r>
        <w:rPr>
          <w:rFonts w:cstheme="minorHAnsi"/>
        </w:rPr>
        <w:fldChar w:fldCharType="begin"/>
      </w:r>
      <w:r>
        <w:rPr>
          <w:rFonts w:cstheme="minorHAnsi"/>
        </w:rPr>
        <w:instrText xml:space="preserve"> REF _Ref82378307 \h </w:instrText>
      </w:r>
      <w:r>
        <w:rPr>
          <w:rFonts w:cstheme="minorHAnsi"/>
        </w:rPr>
      </w:r>
      <w:r>
        <w:rPr>
          <w:rFonts w:cstheme="minorHAnsi"/>
        </w:rPr>
        <w:fldChar w:fldCharType="separate"/>
      </w:r>
      <w:r>
        <w:t xml:space="preserve">Table </w:t>
      </w:r>
      <w:r>
        <w:rPr>
          <w:noProof/>
        </w:rPr>
        <w:t>1</w:t>
      </w:r>
      <w:r>
        <w:rPr>
          <w:rFonts w:cstheme="minorHAnsi"/>
        </w:rPr>
        <w:fldChar w:fldCharType="end"/>
      </w:r>
      <w:r>
        <w:rPr>
          <w:rFonts w:cstheme="minorHAnsi"/>
        </w:rPr>
        <w:t>, we have used the volatility of daily returns over each of these quarters to come up with a linear estimate of the underlying GEMS parameter.  Since there is a 90% correlation between the actual GEMS parameter and the observed volatility, albeit over a VERY small sample, the resulting estimates provide a reasonable fit</w:t>
      </w:r>
      <w:r>
        <w:rPr>
          <w:rStyle w:val="FootnoteReference"/>
          <w:rFonts w:cstheme="minorHAnsi"/>
        </w:rPr>
        <w:footnoteReference w:id="3"/>
      </w:r>
      <w:r>
        <w:rPr>
          <w:rFonts w:cstheme="minorHAnsi"/>
        </w:rPr>
        <w:t xml:space="preserve">.  </w:t>
      </w:r>
      <w:proofErr w:type="gramStart"/>
      <w:r>
        <w:rPr>
          <w:rFonts w:cstheme="minorHAnsi"/>
        </w:rPr>
        <w:t xml:space="preserve">In particular, </w:t>
      </w:r>
      <w:r w:rsidR="00001E65">
        <w:rPr>
          <w:rFonts w:cstheme="minorHAnsi"/>
        </w:rPr>
        <w:t>since</w:t>
      </w:r>
      <w:proofErr w:type="gramEnd"/>
      <w:r w:rsidR="00001E65">
        <w:rPr>
          <w:rFonts w:cstheme="minorHAnsi"/>
        </w:rPr>
        <w:t xml:space="preserve"> this type of information is generally available, companies and SMEs would be able </w:t>
      </w:r>
      <w:r w:rsidR="00245059">
        <w:rPr>
          <w:rFonts w:cstheme="minorHAnsi"/>
        </w:rPr>
        <w:t xml:space="preserve">to </w:t>
      </w:r>
      <w:r w:rsidR="00001E65">
        <w:rPr>
          <w:rFonts w:cstheme="minorHAnsi"/>
        </w:rPr>
        <w:t>independently verify it, unlike the Conning calibration values.</w:t>
      </w:r>
    </w:p>
    <w:sectPr w:rsidR="00C80318" w:rsidRPr="00C80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909E" w14:textId="77777777" w:rsidR="006A6614" w:rsidRDefault="006A6614" w:rsidP="000D793B">
      <w:pPr>
        <w:spacing w:after="0" w:line="240" w:lineRule="auto"/>
      </w:pPr>
      <w:r>
        <w:separator/>
      </w:r>
    </w:p>
  </w:endnote>
  <w:endnote w:type="continuationSeparator" w:id="0">
    <w:p w14:paraId="6052A60A" w14:textId="77777777" w:rsidR="006A6614" w:rsidRDefault="006A6614" w:rsidP="000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9BCF" w14:textId="77777777" w:rsidR="006A6614" w:rsidRDefault="006A6614" w:rsidP="000D793B">
      <w:pPr>
        <w:spacing w:after="0" w:line="240" w:lineRule="auto"/>
      </w:pPr>
      <w:r>
        <w:separator/>
      </w:r>
    </w:p>
  </w:footnote>
  <w:footnote w:type="continuationSeparator" w:id="0">
    <w:p w14:paraId="62D0F3A5" w14:textId="77777777" w:rsidR="006A6614" w:rsidRDefault="006A6614" w:rsidP="000D793B">
      <w:pPr>
        <w:spacing w:after="0" w:line="240" w:lineRule="auto"/>
      </w:pPr>
      <w:r>
        <w:continuationSeparator/>
      </w:r>
    </w:p>
  </w:footnote>
  <w:footnote w:id="1">
    <w:p w14:paraId="30506EEE" w14:textId="77777777" w:rsidR="00C80318" w:rsidRDefault="00C80318" w:rsidP="00C80318">
      <w:pPr>
        <w:pStyle w:val="FootnoteText"/>
      </w:pPr>
      <w:r>
        <w:rPr>
          <w:rStyle w:val="FootnoteReference"/>
        </w:rPr>
        <w:footnoteRef/>
      </w:r>
      <w:r>
        <w:t xml:space="preserve"> </w:t>
      </w:r>
      <w:r w:rsidRPr="00C80318">
        <w:rPr>
          <w:b/>
          <w:bCs/>
        </w:rPr>
        <w:t>High Vol</w:t>
      </w:r>
      <w:r>
        <w:t xml:space="preserve"> = 2.1% Initial Volatility, </w:t>
      </w:r>
      <w:r w:rsidRPr="00C80318">
        <w:rPr>
          <w:b/>
          <w:bCs/>
        </w:rPr>
        <w:t>LT Vol</w:t>
      </w:r>
      <w:r>
        <w:t xml:space="preserve"> = 1.4% Initial Volatility and </w:t>
      </w:r>
      <w:r>
        <w:rPr>
          <w:b/>
          <w:bCs/>
        </w:rPr>
        <w:t>Low Vol</w:t>
      </w:r>
      <w:r>
        <w:t xml:space="preserve"> = 0.7% Initial Volatility,</w:t>
      </w:r>
    </w:p>
  </w:footnote>
  <w:footnote w:id="2">
    <w:p w14:paraId="1BB17F70" w14:textId="7D124067" w:rsidR="00731761" w:rsidRDefault="00731761">
      <w:pPr>
        <w:pStyle w:val="FootnoteText"/>
      </w:pPr>
      <w:r>
        <w:rPr>
          <w:rStyle w:val="FootnoteReference"/>
        </w:rPr>
        <w:footnoteRef/>
      </w:r>
      <w:r>
        <w:t xml:space="preserve"> There can be jumps like Black Monday which are more of a one-off event.  </w:t>
      </w:r>
      <w:r w:rsidR="00C87DDD">
        <w:t>But</w:t>
      </w:r>
      <w:r>
        <w:t xml:space="preserve"> those tend to be a relative rarity especially since the jump frequency is also tied to the current volatility level.</w:t>
      </w:r>
    </w:p>
  </w:footnote>
  <w:footnote w:id="3">
    <w:p w14:paraId="6F8CEEF6" w14:textId="2E0238CF" w:rsidR="00731761" w:rsidRDefault="00731761">
      <w:pPr>
        <w:pStyle w:val="FootnoteText"/>
      </w:pPr>
      <w:r>
        <w:rPr>
          <w:rStyle w:val="FootnoteReference"/>
        </w:rPr>
        <w:footnoteRef/>
      </w:r>
      <w:r>
        <w:t xml:space="preserve"> We are not recommending using only 6 quarters to fit the proxy model.  This is just meant as an example of the potential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308D"/>
    <w:multiLevelType w:val="hybridMultilevel"/>
    <w:tmpl w:val="A6547AB8"/>
    <w:lvl w:ilvl="0" w:tplc="50008576">
      <w:start w:val="1"/>
      <w:numFmt w:val="bullet"/>
      <w:lvlText w:val=""/>
      <w:lvlJc w:val="left"/>
      <w:pPr>
        <w:tabs>
          <w:tab w:val="num" w:pos="720"/>
        </w:tabs>
        <w:ind w:left="720" w:hanging="360"/>
      </w:pPr>
      <w:rPr>
        <w:rFonts w:ascii="Symbol" w:hAnsi="Symbol" w:hint="default"/>
      </w:rPr>
    </w:lvl>
    <w:lvl w:ilvl="1" w:tplc="7F1A79AA" w:tentative="1">
      <w:start w:val="1"/>
      <w:numFmt w:val="bullet"/>
      <w:lvlText w:val=""/>
      <w:lvlJc w:val="left"/>
      <w:pPr>
        <w:tabs>
          <w:tab w:val="num" w:pos="1440"/>
        </w:tabs>
        <w:ind w:left="1440" w:hanging="360"/>
      </w:pPr>
      <w:rPr>
        <w:rFonts w:ascii="Symbol" w:hAnsi="Symbol" w:hint="default"/>
      </w:rPr>
    </w:lvl>
    <w:lvl w:ilvl="2" w:tplc="F0DCDE40" w:tentative="1">
      <w:start w:val="1"/>
      <w:numFmt w:val="bullet"/>
      <w:lvlText w:val=""/>
      <w:lvlJc w:val="left"/>
      <w:pPr>
        <w:tabs>
          <w:tab w:val="num" w:pos="2160"/>
        </w:tabs>
        <w:ind w:left="2160" w:hanging="360"/>
      </w:pPr>
      <w:rPr>
        <w:rFonts w:ascii="Symbol" w:hAnsi="Symbol" w:hint="default"/>
      </w:rPr>
    </w:lvl>
    <w:lvl w:ilvl="3" w:tplc="F946BF3E" w:tentative="1">
      <w:start w:val="1"/>
      <w:numFmt w:val="bullet"/>
      <w:lvlText w:val=""/>
      <w:lvlJc w:val="left"/>
      <w:pPr>
        <w:tabs>
          <w:tab w:val="num" w:pos="2880"/>
        </w:tabs>
        <w:ind w:left="2880" w:hanging="360"/>
      </w:pPr>
      <w:rPr>
        <w:rFonts w:ascii="Symbol" w:hAnsi="Symbol" w:hint="default"/>
      </w:rPr>
    </w:lvl>
    <w:lvl w:ilvl="4" w:tplc="40881886" w:tentative="1">
      <w:start w:val="1"/>
      <w:numFmt w:val="bullet"/>
      <w:lvlText w:val=""/>
      <w:lvlJc w:val="left"/>
      <w:pPr>
        <w:tabs>
          <w:tab w:val="num" w:pos="3600"/>
        </w:tabs>
        <w:ind w:left="3600" w:hanging="360"/>
      </w:pPr>
      <w:rPr>
        <w:rFonts w:ascii="Symbol" w:hAnsi="Symbol" w:hint="default"/>
      </w:rPr>
    </w:lvl>
    <w:lvl w:ilvl="5" w:tplc="31E2035C" w:tentative="1">
      <w:start w:val="1"/>
      <w:numFmt w:val="bullet"/>
      <w:lvlText w:val=""/>
      <w:lvlJc w:val="left"/>
      <w:pPr>
        <w:tabs>
          <w:tab w:val="num" w:pos="4320"/>
        </w:tabs>
        <w:ind w:left="4320" w:hanging="360"/>
      </w:pPr>
      <w:rPr>
        <w:rFonts w:ascii="Symbol" w:hAnsi="Symbol" w:hint="default"/>
      </w:rPr>
    </w:lvl>
    <w:lvl w:ilvl="6" w:tplc="42262B2A" w:tentative="1">
      <w:start w:val="1"/>
      <w:numFmt w:val="bullet"/>
      <w:lvlText w:val=""/>
      <w:lvlJc w:val="left"/>
      <w:pPr>
        <w:tabs>
          <w:tab w:val="num" w:pos="5040"/>
        </w:tabs>
        <w:ind w:left="5040" w:hanging="360"/>
      </w:pPr>
      <w:rPr>
        <w:rFonts w:ascii="Symbol" w:hAnsi="Symbol" w:hint="default"/>
      </w:rPr>
    </w:lvl>
    <w:lvl w:ilvl="7" w:tplc="4742FBAC" w:tentative="1">
      <w:start w:val="1"/>
      <w:numFmt w:val="bullet"/>
      <w:lvlText w:val=""/>
      <w:lvlJc w:val="left"/>
      <w:pPr>
        <w:tabs>
          <w:tab w:val="num" w:pos="5760"/>
        </w:tabs>
        <w:ind w:left="5760" w:hanging="360"/>
      </w:pPr>
      <w:rPr>
        <w:rFonts w:ascii="Symbol" w:hAnsi="Symbol" w:hint="default"/>
      </w:rPr>
    </w:lvl>
    <w:lvl w:ilvl="8" w:tplc="8B64F4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0987214"/>
    <w:multiLevelType w:val="hybridMultilevel"/>
    <w:tmpl w:val="8B20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26"/>
    <w:rsid w:val="00001E65"/>
    <w:rsid w:val="00052116"/>
    <w:rsid w:val="000857AE"/>
    <w:rsid w:val="000A45C5"/>
    <w:rsid w:val="000C067C"/>
    <w:rsid w:val="000D793B"/>
    <w:rsid w:val="000E08F8"/>
    <w:rsid w:val="00112BFD"/>
    <w:rsid w:val="00115708"/>
    <w:rsid w:val="00115D10"/>
    <w:rsid w:val="00157786"/>
    <w:rsid w:val="001719D0"/>
    <w:rsid w:val="00192170"/>
    <w:rsid w:val="001C768E"/>
    <w:rsid w:val="001D0155"/>
    <w:rsid w:val="001E65FA"/>
    <w:rsid w:val="001E7C2A"/>
    <w:rsid w:val="001F2BFF"/>
    <w:rsid w:val="001F77D3"/>
    <w:rsid w:val="00212060"/>
    <w:rsid w:val="00242967"/>
    <w:rsid w:val="00245059"/>
    <w:rsid w:val="0028444B"/>
    <w:rsid w:val="00285182"/>
    <w:rsid w:val="00287E77"/>
    <w:rsid w:val="00293983"/>
    <w:rsid w:val="002C21DE"/>
    <w:rsid w:val="00301133"/>
    <w:rsid w:val="00304B0B"/>
    <w:rsid w:val="0032123C"/>
    <w:rsid w:val="00362205"/>
    <w:rsid w:val="003A59F5"/>
    <w:rsid w:val="003B12AB"/>
    <w:rsid w:val="003C4AF1"/>
    <w:rsid w:val="0042506C"/>
    <w:rsid w:val="00480D28"/>
    <w:rsid w:val="0049775B"/>
    <w:rsid w:val="004B3A92"/>
    <w:rsid w:val="004B44AC"/>
    <w:rsid w:val="004F61B4"/>
    <w:rsid w:val="004F6EB9"/>
    <w:rsid w:val="00513EB2"/>
    <w:rsid w:val="00516523"/>
    <w:rsid w:val="0056654A"/>
    <w:rsid w:val="005A1C4E"/>
    <w:rsid w:val="005C3830"/>
    <w:rsid w:val="005F04B2"/>
    <w:rsid w:val="006145BD"/>
    <w:rsid w:val="00657C9F"/>
    <w:rsid w:val="00663CB5"/>
    <w:rsid w:val="006A6614"/>
    <w:rsid w:val="006B0665"/>
    <w:rsid w:val="006D1F84"/>
    <w:rsid w:val="006E57CE"/>
    <w:rsid w:val="00731761"/>
    <w:rsid w:val="007317BB"/>
    <w:rsid w:val="0076691E"/>
    <w:rsid w:val="007A7DAE"/>
    <w:rsid w:val="007C18BB"/>
    <w:rsid w:val="008112B1"/>
    <w:rsid w:val="0083425C"/>
    <w:rsid w:val="00852323"/>
    <w:rsid w:val="00855796"/>
    <w:rsid w:val="00864B82"/>
    <w:rsid w:val="008C7186"/>
    <w:rsid w:val="008F45E0"/>
    <w:rsid w:val="008F6993"/>
    <w:rsid w:val="00946C69"/>
    <w:rsid w:val="00980066"/>
    <w:rsid w:val="009909AD"/>
    <w:rsid w:val="009E3F5C"/>
    <w:rsid w:val="009E7CB8"/>
    <w:rsid w:val="009F3310"/>
    <w:rsid w:val="009F63A7"/>
    <w:rsid w:val="00A46056"/>
    <w:rsid w:val="00A56DA4"/>
    <w:rsid w:val="00AE3C16"/>
    <w:rsid w:val="00B337C1"/>
    <w:rsid w:val="00B4210B"/>
    <w:rsid w:val="00B52561"/>
    <w:rsid w:val="00BB4858"/>
    <w:rsid w:val="00BB5EA9"/>
    <w:rsid w:val="00BB7DC9"/>
    <w:rsid w:val="00BE0FAE"/>
    <w:rsid w:val="00BF00DC"/>
    <w:rsid w:val="00C359FC"/>
    <w:rsid w:val="00C55812"/>
    <w:rsid w:val="00C70155"/>
    <w:rsid w:val="00C80318"/>
    <w:rsid w:val="00C87DDD"/>
    <w:rsid w:val="00CA69C3"/>
    <w:rsid w:val="00CE0526"/>
    <w:rsid w:val="00D24A8E"/>
    <w:rsid w:val="00D41E52"/>
    <w:rsid w:val="00D53446"/>
    <w:rsid w:val="00D57B18"/>
    <w:rsid w:val="00D62CAA"/>
    <w:rsid w:val="00D804C4"/>
    <w:rsid w:val="00DE3378"/>
    <w:rsid w:val="00E02EE5"/>
    <w:rsid w:val="00E04040"/>
    <w:rsid w:val="00E85DAD"/>
    <w:rsid w:val="00E87B4B"/>
    <w:rsid w:val="00EA0825"/>
    <w:rsid w:val="00EB645E"/>
    <w:rsid w:val="00EE1388"/>
    <w:rsid w:val="00EE16A0"/>
    <w:rsid w:val="00EF1940"/>
    <w:rsid w:val="00F30585"/>
    <w:rsid w:val="00F63B62"/>
    <w:rsid w:val="00F80917"/>
    <w:rsid w:val="00F865B5"/>
    <w:rsid w:val="00F928F9"/>
    <w:rsid w:val="00F933A2"/>
    <w:rsid w:val="00FA0BC2"/>
    <w:rsid w:val="00FD1F29"/>
    <w:rsid w:val="00FD28ED"/>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572"/>
  <w15:chartTrackingRefBased/>
  <w15:docId w15:val="{3BC55756-D3E6-4104-B0E9-05B711A0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26"/>
    <w:pPr>
      <w:spacing w:after="0" w:line="240" w:lineRule="auto"/>
      <w:ind w:left="720"/>
      <w:contextualSpacing/>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CE052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D7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93B"/>
    <w:rPr>
      <w:sz w:val="20"/>
      <w:szCs w:val="20"/>
    </w:rPr>
  </w:style>
  <w:style w:type="character" w:styleId="FootnoteReference">
    <w:name w:val="footnote reference"/>
    <w:basedOn w:val="DefaultParagraphFont"/>
    <w:uiPriority w:val="99"/>
    <w:semiHidden/>
    <w:unhideWhenUsed/>
    <w:rsid w:val="000D793B"/>
    <w:rPr>
      <w:vertAlign w:val="superscript"/>
    </w:rPr>
  </w:style>
  <w:style w:type="character" w:styleId="Hyperlink">
    <w:name w:val="Hyperlink"/>
    <w:basedOn w:val="DefaultParagraphFont"/>
    <w:uiPriority w:val="99"/>
    <w:semiHidden/>
    <w:unhideWhenUsed/>
    <w:rsid w:val="008F45E0"/>
    <w:rPr>
      <w:color w:val="0000FF"/>
      <w:u w:val="single"/>
    </w:rPr>
  </w:style>
  <w:style w:type="character" w:styleId="CommentReference">
    <w:name w:val="annotation reference"/>
    <w:basedOn w:val="DefaultParagraphFont"/>
    <w:uiPriority w:val="99"/>
    <w:semiHidden/>
    <w:unhideWhenUsed/>
    <w:rsid w:val="00F933A2"/>
    <w:rPr>
      <w:sz w:val="16"/>
      <w:szCs w:val="16"/>
    </w:rPr>
  </w:style>
  <w:style w:type="paragraph" w:styleId="CommentText">
    <w:name w:val="annotation text"/>
    <w:basedOn w:val="Normal"/>
    <w:link w:val="CommentTextChar"/>
    <w:uiPriority w:val="99"/>
    <w:semiHidden/>
    <w:unhideWhenUsed/>
    <w:rsid w:val="00F933A2"/>
    <w:pPr>
      <w:spacing w:line="240" w:lineRule="auto"/>
    </w:pPr>
    <w:rPr>
      <w:sz w:val="20"/>
      <w:szCs w:val="20"/>
    </w:rPr>
  </w:style>
  <w:style w:type="character" w:customStyle="1" w:styleId="CommentTextChar">
    <w:name w:val="Comment Text Char"/>
    <w:basedOn w:val="DefaultParagraphFont"/>
    <w:link w:val="CommentText"/>
    <w:uiPriority w:val="99"/>
    <w:semiHidden/>
    <w:rsid w:val="00F933A2"/>
    <w:rPr>
      <w:sz w:val="20"/>
      <w:szCs w:val="20"/>
    </w:rPr>
  </w:style>
  <w:style w:type="paragraph" w:styleId="CommentSubject">
    <w:name w:val="annotation subject"/>
    <w:basedOn w:val="CommentText"/>
    <w:next w:val="CommentText"/>
    <w:link w:val="CommentSubjectChar"/>
    <w:uiPriority w:val="99"/>
    <w:semiHidden/>
    <w:unhideWhenUsed/>
    <w:rsid w:val="00F933A2"/>
    <w:rPr>
      <w:b/>
      <w:bCs/>
    </w:rPr>
  </w:style>
  <w:style w:type="character" w:customStyle="1" w:styleId="CommentSubjectChar">
    <w:name w:val="Comment Subject Char"/>
    <w:basedOn w:val="CommentTextChar"/>
    <w:link w:val="CommentSubject"/>
    <w:uiPriority w:val="99"/>
    <w:semiHidden/>
    <w:rsid w:val="00F933A2"/>
    <w:rPr>
      <w:b/>
      <w:bCs/>
      <w:sz w:val="20"/>
      <w:szCs w:val="20"/>
    </w:rPr>
  </w:style>
  <w:style w:type="table" w:styleId="TableGrid">
    <w:name w:val="Table Grid"/>
    <w:basedOn w:val="TableNormal"/>
    <w:uiPriority w:val="39"/>
    <w:rsid w:val="00C7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ED59DAA8A83B449B001B34EE5AF060" ma:contentTypeVersion="2" ma:contentTypeDescription="Create a new document." ma:contentTypeScope="" ma:versionID="e0b24a3cee6ec8b56bd2e6937958ed3e">
  <xsd:schema xmlns:xsd="http://www.w3.org/2001/XMLSchema" xmlns:xs="http://www.w3.org/2001/XMLSchema" xmlns:p="http://schemas.microsoft.com/office/2006/metadata/properties" xmlns:ns2="29aef735-7057-48ed-84b3-2620bc2eb58d" targetNamespace="http://schemas.microsoft.com/office/2006/metadata/properties" ma:root="true" ma:fieldsID="61be0eb4d06f96cb0d45168050459e6d" ns2:_="">
    <xsd:import namespace="29aef735-7057-48ed-84b3-2620bc2eb5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f735-7057-48ed-84b3-2620bc2eb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1F9C8-A626-4307-8460-355F6212E094}">
  <ds:schemaRefs>
    <ds:schemaRef ds:uri="http://schemas.openxmlformats.org/officeDocument/2006/bibliography"/>
  </ds:schemaRefs>
</ds:datastoreItem>
</file>

<file path=customXml/itemProps2.xml><?xml version="1.0" encoding="utf-8"?>
<ds:datastoreItem xmlns:ds="http://schemas.openxmlformats.org/officeDocument/2006/customXml" ds:itemID="{6F72F1F7-FE6A-46CF-9DDC-27CF8BB719C5}"/>
</file>

<file path=customXml/itemProps3.xml><?xml version="1.0" encoding="utf-8"?>
<ds:datastoreItem xmlns:ds="http://schemas.openxmlformats.org/officeDocument/2006/customXml" ds:itemID="{9C513120-352B-4693-A967-0F85B920ADD1}"/>
</file>

<file path=customXml/itemProps4.xml><?xml version="1.0" encoding="utf-8"?>
<ds:datastoreItem xmlns:ds="http://schemas.openxmlformats.org/officeDocument/2006/customXml" ds:itemID="{E7573F2B-94A6-49AD-BBA9-FEC87FC51BC9}"/>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Finn</dc:creator>
  <cp:keywords/>
  <dc:description/>
  <cp:lastModifiedBy>Elisabeth Gorgoglione</cp:lastModifiedBy>
  <cp:revision>2</cp:revision>
  <dcterms:created xsi:type="dcterms:W3CDTF">2021-09-13T12:17:00Z</dcterms:created>
  <dcterms:modified xsi:type="dcterms:W3CDTF">2021-09-13T12:17:00Z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0x010100FBED59DAA8A83B449B001B34EE5AF060</vt:lpwstr>
  </property>
</Properties>
</file>