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20237208" w:rsidR="001D3237" w:rsidRPr="009A1306" w:rsidRDefault="002C04CD" w:rsidP="00970D2C">
      <w:pPr>
        <w:jc w:val="center"/>
        <w:rPr>
          <w:sz w:val="12"/>
          <w:szCs w:val="12"/>
        </w:rPr>
      </w:pPr>
      <w:r>
        <w:rPr>
          <w:sz w:val="28"/>
          <w:szCs w:val="28"/>
        </w:rPr>
        <w:t>Adopted by LTC</w:t>
      </w:r>
      <w:r w:rsidR="00963742">
        <w:rPr>
          <w:sz w:val="28"/>
          <w:szCs w:val="28"/>
        </w:rPr>
        <w:t>I</w:t>
      </w:r>
      <w:r>
        <w:rPr>
          <w:sz w:val="28"/>
          <w:szCs w:val="28"/>
        </w:rPr>
        <w:t xml:space="preserve"> Reduced Benefit Option</w:t>
      </w:r>
      <w:r w:rsidR="00575624">
        <w:rPr>
          <w:sz w:val="28"/>
          <w:szCs w:val="28"/>
        </w:rPr>
        <w:t>s</w:t>
      </w:r>
      <w:r w:rsidR="007D6262">
        <w:rPr>
          <w:sz w:val="28"/>
          <w:szCs w:val="28"/>
        </w:rPr>
        <w:t xml:space="preserve"> (EX)</w:t>
      </w:r>
      <w:r>
        <w:rPr>
          <w:sz w:val="28"/>
          <w:szCs w:val="28"/>
        </w:rPr>
        <w:t xml:space="preserve"> Subgroup - </w:t>
      </w:r>
      <w:r w:rsidR="00D5578B" w:rsidRPr="009A1306">
        <w:rPr>
          <w:sz w:val="28"/>
          <w:szCs w:val="28"/>
        </w:rPr>
        <w:t>1</w:t>
      </w:r>
      <w:r w:rsidR="00B242F6" w:rsidRPr="009A1306">
        <w:rPr>
          <w:sz w:val="28"/>
          <w:szCs w:val="28"/>
        </w:rPr>
        <w:t>2</w:t>
      </w:r>
      <w:r w:rsidR="001D3237" w:rsidRPr="009A1306">
        <w:rPr>
          <w:sz w:val="28"/>
          <w:szCs w:val="28"/>
        </w:rPr>
        <w:t>/</w:t>
      </w:r>
      <w:r w:rsidR="00D5578B" w:rsidRPr="009A1306">
        <w:rPr>
          <w:sz w:val="28"/>
          <w:szCs w:val="28"/>
        </w:rPr>
        <w:t>0</w:t>
      </w:r>
      <w:r w:rsidR="00B242F6" w:rsidRPr="009A1306">
        <w:rPr>
          <w:sz w:val="28"/>
          <w:szCs w:val="28"/>
        </w:rPr>
        <w:t>7</w:t>
      </w:r>
      <w:r w:rsidR="001D3237" w:rsidRPr="009A1306">
        <w:rPr>
          <w:sz w:val="28"/>
          <w:szCs w:val="28"/>
        </w:rPr>
        <w:t>/2021</w:t>
      </w:r>
    </w:p>
    <w:p w14:paraId="03CF6F68" w14:textId="77777777" w:rsidR="004521DD" w:rsidRDefault="004521DD" w:rsidP="00970D2C">
      <w:pPr>
        <w:jc w:val="both"/>
        <w:rPr>
          <w:u w:val="single"/>
        </w:rPr>
      </w:pPr>
    </w:p>
    <w:p w14:paraId="17CB5363" w14:textId="748F6AA3" w:rsidR="006F08CE" w:rsidRPr="00D3687F" w:rsidRDefault="006F08CE" w:rsidP="00970D2C">
      <w:pPr>
        <w:jc w:val="both"/>
        <w:rPr>
          <w:u w:val="single"/>
        </w:rPr>
      </w:pPr>
      <w:r w:rsidRPr="00D3687F">
        <w:rPr>
          <w:u w:val="single"/>
        </w:rPr>
        <w:t>Objective</w:t>
      </w:r>
      <w:r w:rsidR="00A87408" w:rsidRPr="00D3687F">
        <w:rPr>
          <w:u w:val="single"/>
        </w:rPr>
        <w:t>:</w:t>
      </w:r>
    </w:p>
    <w:p w14:paraId="47C71D22" w14:textId="5FB2A934" w:rsidR="00710F0D" w:rsidRPr="006F08CE" w:rsidRDefault="006F08CE" w:rsidP="00970D2C">
      <w:pPr>
        <w:jc w:val="both"/>
      </w:pPr>
      <w:r w:rsidRPr="00D3687F">
        <w:t>The objective of this paper is to increase clarity to regulators, insurance companies, and interested parties regarding issues related to innovative long-term care wellness programs.</w:t>
      </w:r>
    </w:p>
    <w:p w14:paraId="43D260A6" w14:textId="7DD3F767"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4EEC550A" w:rsidR="0032367C" w:rsidRDefault="00003F3B" w:rsidP="00970D2C">
      <w:pPr>
        <w:jc w:val="both"/>
      </w:pPr>
      <w:r>
        <w:t>F</w:t>
      </w:r>
      <w:r w:rsidR="00F60CC3">
        <w:t xml:space="preserve">irms are developing </w:t>
      </w:r>
      <w:r>
        <w:t xml:space="preserve">technological and other </w:t>
      </w:r>
      <w:r w:rsidR="00F60CC3">
        <w:t xml:space="preserve">approaches that could be used by insurance companies to potentially </w:t>
      </w:r>
      <w:r w:rsidR="00976CB8">
        <w:t>prevent</w:t>
      </w:r>
      <w:r>
        <w:t>, delay,</w:t>
      </w:r>
      <w:r w:rsidR="00976CB8">
        <w:t xml:space="preserve">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w:t>
      </w:r>
      <w:r>
        <w:t>, pre-insurance-claim</w:t>
      </w:r>
      <w:r w:rsidR="00E55D04">
        <w:t xml:space="preserve">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2EED463E" w:rsidR="0032367C" w:rsidRDefault="0032367C" w:rsidP="00970D2C">
      <w:pPr>
        <w:pStyle w:val="ListParagraph"/>
        <w:numPr>
          <w:ilvl w:val="0"/>
          <w:numId w:val="5"/>
        </w:numPr>
        <w:spacing w:line="256" w:lineRule="auto"/>
        <w:jc w:val="both"/>
      </w:pPr>
      <w:r>
        <w:t>Home modification consultations, analysis</w:t>
      </w:r>
      <w:r w:rsidR="009A1306">
        <w:t>,</w:t>
      </w:r>
      <w:r>
        <w:t xml:space="preserve">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5B874DA7" w:rsidR="0032367C" w:rsidRDefault="006169B0" w:rsidP="00970D2C">
      <w:pPr>
        <w:pStyle w:val="ListParagraph"/>
        <w:numPr>
          <w:ilvl w:val="0"/>
          <w:numId w:val="5"/>
        </w:numPr>
        <w:spacing w:line="256" w:lineRule="auto"/>
        <w:jc w:val="both"/>
      </w:pPr>
      <w:r>
        <w:t>I</w:t>
      </w:r>
      <w:r w:rsidR="0032367C">
        <w:t>mprovements in cognitive impairment prevention and early diagnosis</w:t>
      </w:r>
      <w:r>
        <w:t>, potentially involving technology supplemented by a physician’s cognitive risk evaluation</w:t>
      </w:r>
      <w:r w:rsidR="0032367C">
        <w:t>.</w:t>
      </w:r>
    </w:p>
    <w:p w14:paraId="598A9FE1" w14:textId="3908E9A4"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Issue:  i</w:t>
      </w:r>
      <w:r w:rsidR="00CE73C7">
        <w:t xml:space="preserve">n light of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70BAE485" w:rsidR="00AD41F8" w:rsidRDefault="00AD41F8" w:rsidP="00970D2C">
      <w:pPr>
        <w:pStyle w:val="ListParagraph"/>
        <w:numPr>
          <w:ilvl w:val="3"/>
          <w:numId w:val="1"/>
        </w:numPr>
        <w:spacing w:line="276" w:lineRule="auto"/>
        <w:jc w:val="both"/>
      </w:pPr>
      <w:r>
        <w:t xml:space="preserve">Expenses </w:t>
      </w:r>
      <w:r w:rsidR="000863F9">
        <w:t xml:space="preserve">vary - in many cases </w:t>
      </w:r>
      <w:r>
        <w:t>are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5FAC7224"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but data development is slow</w:t>
      </w:r>
      <w:r w:rsidR="009A1306">
        <w:t>,</w:t>
      </w:r>
      <w:r w:rsidR="00CC75CC">
        <w:t xml:space="preserve">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1CC030F8" w:rsidR="00736496" w:rsidRDefault="00736496" w:rsidP="00970D2C">
      <w:pPr>
        <w:pStyle w:val="ListParagraph"/>
        <w:numPr>
          <w:ilvl w:val="2"/>
          <w:numId w:val="1"/>
        </w:numPr>
        <w:spacing w:line="276" w:lineRule="auto"/>
        <w:jc w:val="both"/>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25C5D292" w14:textId="60FB164E" w:rsidR="00555C70" w:rsidRDefault="00555C70" w:rsidP="00970D2C">
      <w:pPr>
        <w:pStyle w:val="ListParagraph"/>
        <w:numPr>
          <w:ilvl w:val="2"/>
          <w:numId w:val="1"/>
        </w:numPr>
        <w:spacing w:line="276" w:lineRule="auto"/>
        <w:jc w:val="both"/>
      </w:pPr>
      <w:r>
        <w:t>Effectiveness may increase or decrease if targeting certain policyholders.</w:t>
      </w:r>
    </w:p>
    <w:p w14:paraId="1423488D" w14:textId="632BE38F" w:rsidR="000863F9" w:rsidRDefault="000863F9" w:rsidP="00970D2C">
      <w:pPr>
        <w:pStyle w:val="ListParagraph"/>
        <w:numPr>
          <w:ilvl w:val="2"/>
          <w:numId w:val="1"/>
        </w:numPr>
        <w:spacing w:line="276" w:lineRule="auto"/>
        <w:jc w:val="both"/>
      </w:pPr>
      <w:r w:rsidRPr="000863F9">
        <w:t xml:space="preserve">Development of experience showing effectiveness will be </w:t>
      </w:r>
      <w:r w:rsidR="00555C70">
        <w:t xml:space="preserve">a </w:t>
      </w:r>
      <w:r w:rsidRPr="000863F9">
        <w:t>work in progress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2EF34C42"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r w:rsidR="000863F9">
        <w:t xml:space="preserve">  Also, look into potential independent living / senior facility wellness experience as well as health and life insurance wellness experience.</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31C665D6" w:rsidR="00785556" w:rsidRDefault="00785556" w:rsidP="00970D2C">
      <w:pPr>
        <w:pStyle w:val="ListParagraph"/>
        <w:numPr>
          <w:ilvl w:val="3"/>
          <w:numId w:val="1"/>
        </w:numPr>
        <w:jc w:val="both"/>
      </w:pPr>
      <w:r>
        <w:lastRenderedPageBreak/>
        <w:t xml:space="preserve">How may an insurer “classify” policyholders post underwriting? </w:t>
      </w:r>
      <w:r w:rsidR="00C229A4">
        <w:t xml:space="preserve"> </w:t>
      </w:r>
      <w:r w:rsidR="00C229A4" w:rsidRPr="00C229A4">
        <w:t>Regulators may need to provide guidance on how to classify policyholders.</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May classification be made by jurisdiction?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233D99A9" w:rsidR="00785556" w:rsidRDefault="00785556" w:rsidP="00970D2C">
      <w:pPr>
        <w:pStyle w:val="ListParagraph"/>
        <w:numPr>
          <w:ilvl w:val="4"/>
          <w:numId w:val="1"/>
        </w:numPr>
        <w:jc w:val="both"/>
      </w:pPr>
      <w:r>
        <w:t>Under the Model Act, the insurer may provide the product or service in a manner that is not unfairly discriminatory as part of a pilot or testing program for no more than one year.</w:t>
      </w:r>
    </w:p>
    <w:p w14:paraId="0D3CB6D9" w14:textId="6E85E7F4" w:rsidR="00C229A4" w:rsidRDefault="00C229A4" w:rsidP="00970D2C">
      <w:pPr>
        <w:pStyle w:val="ListParagraph"/>
        <w:numPr>
          <w:ilvl w:val="4"/>
          <w:numId w:val="1"/>
        </w:numPr>
        <w:jc w:val="both"/>
      </w:pPr>
      <w:r w:rsidRPr="00C229A4">
        <w:t>Initial selection of participants may be the most important for antidiscrimination.  That selection for pilots should consider including</w:t>
      </w:r>
      <w:r w:rsidR="0035042D">
        <w:t>, but not limited to,</w:t>
      </w:r>
      <w:r w:rsidRPr="00C229A4">
        <w:t xml:space="preserve"> a wide range of individuals from various geographic, economic, social, marital, age, racial, and ethnic populations to ensure meaningful data is collected</w:t>
      </w:r>
      <w:r w:rsidR="0035042D">
        <w:t>, as appropriate to the wellness initiative</w:t>
      </w:r>
      <w:r w:rsidRPr="00C229A4">
        <w:t>.</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1795BDD0"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669F9B71" w14:textId="0BE7E425" w:rsidR="00C229A4" w:rsidRDefault="00C229A4" w:rsidP="00C229A4">
      <w:pPr>
        <w:pStyle w:val="ListParagraph"/>
        <w:numPr>
          <w:ilvl w:val="4"/>
          <w:numId w:val="1"/>
        </w:numPr>
        <w:jc w:val="both"/>
      </w:pPr>
      <w:r w:rsidRPr="00C229A4">
        <w:t>Even if benefits are available to all those who utilize</w:t>
      </w:r>
      <w:r>
        <w:t>,</w:t>
      </w:r>
      <w:r w:rsidRPr="00C229A4">
        <w:t xml:space="preserve"> the initiatives may be limited in application depending on a policyholder’s specific circumstances.</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EB97F61" w:rsidR="00785556" w:rsidRDefault="00785556" w:rsidP="00970D2C">
      <w:pPr>
        <w:pStyle w:val="ListParagraph"/>
        <w:numPr>
          <w:ilvl w:val="3"/>
          <w:numId w:val="1"/>
        </w:numPr>
        <w:jc w:val="both"/>
      </w:pPr>
      <w:r>
        <w:t>Does it limit who can participate based on the medium</w:t>
      </w:r>
      <w:r w:rsidR="00C229A4">
        <w:t xml:space="preserve"> and cost of the equipment or technology</w:t>
      </w:r>
      <w:r>
        <w:t>?</w:t>
      </w:r>
      <w:r w:rsidR="00C229A4">
        <w:t xml:space="preserve"> </w:t>
      </w:r>
      <w:r>
        <w:t xml:space="preserve">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0AB32386" w:rsidR="00785556" w:rsidRDefault="00785556" w:rsidP="00970D2C">
      <w:pPr>
        <w:pStyle w:val="ListParagraph"/>
        <w:numPr>
          <w:ilvl w:val="4"/>
          <w:numId w:val="1"/>
        </w:numPr>
        <w:jc w:val="both"/>
      </w:pPr>
      <w:r>
        <w:t>Does it require access to roads, pools, sidewalks?</w:t>
      </w:r>
    </w:p>
    <w:p w14:paraId="1566933D" w14:textId="583A09E5" w:rsidR="00555C70" w:rsidRDefault="00555C70" w:rsidP="00970D2C">
      <w:pPr>
        <w:pStyle w:val="ListParagraph"/>
        <w:numPr>
          <w:ilvl w:val="4"/>
          <w:numId w:val="1"/>
        </w:numPr>
        <w:jc w:val="both"/>
      </w:pPr>
      <w:r>
        <w:t>Does it require technical skills to use software or hardware?</w:t>
      </w:r>
    </w:p>
    <w:p w14:paraId="459A6A43" w14:textId="6E4EE128" w:rsidR="00555C70" w:rsidRDefault="00555C70" w:rsidP="00970D2C">
      <w:pPr>
        <w:pStyle w:val="ListParagraph"/>
        <w:numPr>
          <w:ilvl w:val="4"/>
          <w:numId w:val="1"/>
        </w:numPr>
        <w:jc w:val="both"/>
      </w:pPr>
      <w:r>
        <w:t>Will insurers utilize different communication methods, such as phone, text, e-mail, or mail?</w:t>
      </w:r>
    </w:p>
    <w:p w14:paraId="39650238" w14:textId="77777777" w:rsidR="00785556" w:rsidRDefault="00785556" w:rsidP="00970D2C">
      <w:pPr>
        <w:pStyle w:val="ListParagraph"/>
        <w:numPr>
          <w:ilvl w:val="3"/>
          <w:numId w:val="1"/>
        </w:numPr>
        <w:jc w:val="both"/>
      </w:pPr>
      <w:r>
        <w:lastRenderedPageBreak/>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1B939417" w:rsidR="00785556" w:rsidRDefault="00785556" w:rsidP="00970D2C">
      <w:pPr>
        <w:pStyle w:val="ListParagraph"/>
        <w:numPr>
          <w:ilvl w:val="3"/>
          <w:numId w:val="1"/>
        </w:numPr>
        <w:jc w:val="both"/>
      </w:pPr>
      <w:r>
        <w:t>Rebate Standards and Limitations</w:t>
      </w:r>
    </w:p>
    <w:p w14:paraId="07A50376" w14:textId="28701ADC" w:rsidR="00555C70" w:rsidRDefault="00555C70" w:rsidP="00555C70">
      <w:pPr>
        <w:pStyle w:val="ListParagraph"/>
        <w:numPr>
          <w:ilvl w:val="4"/>
          <w:numId w:val="1"/>
        </w:numPr>
        <w:spacing w:line="256" w:lineRule="auto"/>
        <w:jc w:val="both"/>
      </w:pPr>
      <w:r>
        <w:t>What if an insurer offers the service at a cost (full or portion) for the policyholder(s) after the pilot?</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0C01524A"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2C04CD" w:rsidRDefault="001014D0" w:rsidP="00970D2C">
      <w:pPr>
        <w:pStyle w:val="ListParagraph"/>
        <w:numPr>
          <w:ilvl w:val="1"/>
          <w:numId w:val="1"/>
        </w:numPr>
        <w:spacing w:line="276" w:lineRule="auto"/>
        <w:jc w:val="both"/>
        <w:rPr>
          <w:b/>
          <w:bCs/>
        </w:rPr>
      </w:pPr>
      <w:r w:rsidRPr="002C04CD">
        <w:t>Issue:  p</w:t>
      </w:r>
      <w:r w:rsidRPr="002C04CD">
        <w:rPr>
          <w:rFonts w:ascii="Calibri" w:eastAsia="Calibri" w:hAnsi="Calibri" w:cs="Calibri"/>
        </w:rPr>
        <w:t>otential consumer confusion concerning LTC wellness programs will be highly variable dependent upon factors such as the nature of the program, the consumers involved</w:t>
      </w:r>
      <w:r w:rsidR="00590FA3" w:rsidRPr="002C04CD">
        <w:rPr>
          <w:rFonts w:ascii="Calibri" w:eastAsia="Calibri" w:hAnsi="Calibri" w:cs="Calibri"/>
        </w:rPr>
        <w:t>,</w:t>
      </w:r>
      <w:r w:rsidRPr="002C04CD">
        <w:rPr>
          <w:rFonts w:ascii="Calibri" w:eastAsia="Calibri" w:hAnsi="Calibri" w:cs="Calibri"/>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 xml:space="preserve">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that will be more easily understood and documented.  Programs with newer </w:t>
      </w:r>
      <w:r>
        <w:lastRenderedPageBreak/>
        <w:t>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lastRenderedPageBreak/>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11"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As the wellness vetting subgroup works through the issues (program effectiveness, discrimination, data privacy, and tax considerations), the Vermont team hopes to 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the Model Law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w:t>
      </w:r>
      <w:r w:rsidRPr="00F24231">
        <w:rPr>
          <w:rFonts w:cstheme="minorHAnsi"/>
        </w:rPr>
        <w:lastRenderedPageBreak/>
        <w:t>lower the severity of LTC</w:t>
      </w:r>
      <w:r w:rsidR="001C22BD">
        <w:rPr>
          <w:rFonts w:cstheme="minorHAnsi"/>
        </w:rPr>
        <w:t xml:space="preserve"> insurance</w:t>
      </w:r>
      <w:r w:rsidRPr="00F24231">
        <w:rPr>
          <w:rFonts w:cstheme="minorHAnsi"/>
        </w:rPr>
        <w:t xml:space="preserve"> claims and improve health outcomes, as long as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75A3C310"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a number of states to carve out exceptions by individual amendments, regulations, bulletins</w:t>
      </w:r>
      <w:r w:rsidR="009A1306">
        <w:rPr>
          <w:rFonts w:cstheme="minorHAnsi"/>
        </w:rPr>
        <w:t>,</w:t>
      </w:r>
      <w:r w:rsidRPr="00F24231">
        <w:rPr>
          <w:rFonts w:cstheme="minorHAnsi"/>
        </w:rPr>
        <w:t xml:space="preserve"> or desk drawer rules.  And the Unfair Trade Practices Act is not the only model law with language prohibiting rebates in the business of insurance.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56DC1908" w14:textId="54B92EEF" w:rsidR="002C04CD" w:rsidRPr="002C04CD" w:rsidRDefault="000B1E86" w:rsidP="007A60B1">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 xml:space="preserve">Time to Dust Off </w:t>
      </w:r>
      <w:r w:rsidRPr="00F24231">
        <w:rPr>
          <w:rFonts w:cstheme="minorHAnsi"/>
          <w:i/>
          <w:iCs/>
        </w:rPr>
        <w:lastRenderedPageBreak/>
        <w:t>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5F4A574C" w14:textId="77777777" w:rsidR="002C04CD" w:rsidRDefault="002C04CD" w:rsidP="002C04CD">
      <w:pPr>
        <w:pStyle w:val="ListParagraph"/>
        <w:spacing w:line="276" w:lineRule="auto"/>
        <w:ind w:left="2160"/>
        <w:jc w:val="both"/>
      </w:pPr>
    </w:p>
    <w:p w14:paraId="010316BE" w14:textId="73531F13" w:rsidR="007A60B1" w:rsidRPr="007A60B1" w:rsidRDefault="000B1E86" w:rsidP="007A60B1">
      <w:pPr>
        <w:pStyle w:val="ListParagraph"/>
        <w:numPr>
          <w:ilvl w:val="2"/>
          <w:numId w:val="1"/>
        </w:numPr>
        <w:spacing w:line="276" w:lineRule="auto"/>
        <w:jc w:val="both"/>
      </w:pPr>
      <w:r w:rsidRPr="002C04CD">
        <w:rPr>
          <w:rFonts w:cstheme="minorHAnsi"/>
          <w:u w:val="single"/>
        </w:rPr>
        <w:t>Policy Considerations.</w:t>
      </w:r>
      <w:r w:rsidRPr="002C04CD">
        <w:rPr>
          <w:rFonts w:cstheme="minorHAnsi"/>
        </w:rPr>
        <w:t xml:space="preserve">  The exemptions in the current Model Law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1C22BD" w:rsidRPr="002C04CD">
        <w:rPr>
          <w:rFonts w:cstheme="minorHAnsi"/>
        </w:rPr>
        <w:t xml:space="preserve"> insurance</w:t>
      </w:r>
      <w:r w:rsidRPr="002C04CD">
        <w:rPr>
          <w:rFonts w:cstheme="minorHAnsi"/>
        </w:rPr>
        <w:t xml:space="preserve"> where consideration of these initiatives only began significantly after the policies were initially sold</w:t>
      </w:r>
      <w:r w:rsidR="00EC6F73" w:rsidRPr="002C04CD">
        <w:rPr>
          <w:rFonts w:cstheme="minorHAnsi"/>
        </w:rPr>
        <w:t>, where the initiatives do not begin at the moment the policy is issued</w:t>
      </w:r>
      <w:r w:rsidRPr="002C04CD">
        <w:rPr>
          <w:rFonts w:cstheme="minorHAnsi"/>
        </w:rPr>
        <w:t>, and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1C22BD" w:rsidRPr="002C04CD">
        <w:rPr>
          <w:rFonts w:cstheme="minorHAnsi"/>
        </w:rPr>
        <w:t xml:space="preserve"> insurance</w:t>
      </w:r>
      <w:r w:rsidRPr="002C04CD">
        <w:rPr>
          <w:rFonts w:cstheme="minorHAnsi"/>
        </w:rPr>
        <w:t xml:space="preserve"> market.  Rather, they are targeted at improving policyholder health and reducing the frequency and severity of claims.</w:t>
      </w:r>
    </w:p>
    <w:p w14:paraId="502B5EF9" w14:textId="77777777" w:rsidR="007A60B1" w:rsidRDefault="007A60B1" w:rsidP="007A60B1">
      <w:pPr>
        <w:pStyle w:val="ListParagraph"/>
        <w:spacing w:line="276" w:lineRule="auto"/>
        <w:ind w:left="2160"/>
        <w:jc w:val="both"/>
      </w:pPr>
    </w:p>
    <w:p w14:paraId="194F3B5C" w14:textId="58F86EAF" w:rsidR="007A60B1" w:rsidRPr="007A60B1" w:rsidRDefault="007A60B1" w:rsidP="007A60B1">
      <w:pPr>
        <w:pStyle w:val="ListParagraph"/>
        <w:numPr>
          <w:ilvl w:val="1"/>
          <w:numId w:val="1"/>
        </w:numPr>
        <w:spacing w:line="276" w:lineRule="auto"/>
        <w:jc w:val="both"/>
      </w:pPr>
      <w:r w:rsidRPr="007A60B1">
        <w:rPr>
          <w:rFonts w:cstheme="minorHAnsi"/>
        </w:rPr>
        <w:t>Next steps</w:t>
      </w:r>
      <w:r>
        <w:rPr>
          <w:rFonts w:cstheme="minorHAnsi"/>
        </w:rPr>
        <w:t>:</w:t>
      </w:r>
    </w:p>
    <w:p w14:paraId="3960709A" w14:textId="53BDEAD9" w:rsidR="007A60B1" w:rsidRPr="007A60B1" w:rsidRDefault="000B1E86" w:rsidP="007A60B1">
      <w:pPr>
        <w:pStyle w:val="ListParagraph"/>
        <w:numPr>
          <w:ilvl w:val="2"/>
          <w:numId w:val="1"/>
        </w:numPr>
        <w:spacing w:line="276" w:lineRule="auto"/>
        <w:jc w:val="both"/>
      </w:pPr>
      <w:r w:rsidRPr="007A60B1">
        <w:rPr>
          <w:rFonts w:cstheme="minorHAnsi"/>
        </w:rPr>
        <w:t>Given the current legal landscape with respect to rebating, to facilitate the success of Wellness Initiatives jurisdictions could either</w:t>
      </w:r>
      <w:r w:rsidR="007A60B1">
        <w:rPr>
          <w:rFonts w:cstheme="minorHAnsi"/>
        </w:rPr>
        <w:t>:</w:t>
      </w:r>
    </w:p>
    <w:p w14:paraId="233A60C2" w14:textId="4DBB261C" w:rsidR="007A60B1" w:rsidRPr="00540324" w:rsidRDefault="000B1E86" w:rsidP="007A60B1">
      <w:pPr>
        <w:pStyle w:val="ListParagraph"/>
        <w:numPr>
          <w:ilvl w:val="3"/>
          <w:numId w:val="1"/>
        </w:numPr>
        <w:spacing w:line="276" w:lineRule="auto"/>
        <w:jc w:val="both"/>
      </w:pPr>
      <w:r w:rsidRPr="007A60B1">
        <w:rPr>
          <w:rFonts w:cstheme="minorHAnsi"/>
        </w:rPr>
        <w:t>adopt the recently added rebating exemptions found in the current version of the Model Law, which would explicitly permit such initiatives, or</w:t>
      </w:r>
    </w:p>
    <w:p w14:paraId="0C42F425" w14:textId="1FB1E7A6" w:rsidR="007A60B1" w:rsidRPr="00540324" w:rsidRDefault="000B1E86" w:rsidP="007A60B1">
      <w:pPr>
        <w:pStyle w:val="ListParagraph"/>
        <w:numPr>
          <w:ilvl w:val="3"/>
          <w:numId w:val="1"/>
        </w:numPr>
        <w:spacing w:line="276" w:lineRule="auto"/>
        <w:jc w:val="both"/>
      </w:pPr>
      <w:r w:rsidRPr="007A60B1">
        <w:rPr>
          <w:rFonts w:cstheme="minorHAnsi"/>
        </w:rPr>
        <w:t>take action to interpret and apply their existing laws in a manner that would allow the provision of products or services that are directly related to the insurance policy in question and designed to reduce claims or improve health.</w:t>
      </w:r>
    </w:p>
    <w:p w14:paraId="3FA90F54" w14:textId="77777777" w:rsidR="007A60B1" w:rsidRPr="00D9699E" w:rsidRDefault="007A60B1" w:rsidP="007A60B1">
      <w:pPr>
        <w:pStyle w:val="ListParagraph"/>
        <w:spacing w:line="276" w:lineRule="auto"/>
        <w:ind w:left="2880"/>
        <w:jc w:val="both"/>
      </w:pPr>
    </w:p>
    <w:p w14:paraId="39963803" w14:textId="07109F3A" w:rsidR="000B1E86" w:rsidRPr="00F24231" w:rsidRDefault="000B1E86" w:rsidP="007A60B1">
      <w:pPr>
        <w:pStyle w:val="ListParagraph"/>
        <w:numPr>
          <w:ilvl w:val="2"/>
          <w:numId w:val="1"/>
        </w:numPr>
        <w:spacing w:line="276" w:lineRule="auto"/>
        <w:jc w:val="both"/>
      </w:pPr>
      <w:r w:rsidRPr="007A60B1">
        <w:rPr>
          <w:rFonts w:cstheme="minorHAnsi"/>
        </w:rPr>
        <w:t xml:space="preserve">Absent adoption of the current version of the Model Law,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0004A62" w:rsidR="00A77BC0" w:rsidRDefault="00A55CAE" w:rsidP="00970D2C">
      <w:pPr>
        <w:pStyle w:val="ListParagraph"/>
        <w:numPr>
          <w:ilvl w:val="2"/>
          <w:numId w:val="1"/>
        </w:numPr>
        <w:spacing w:line="276" w:lineRule="auto"/>
        <w:jc w:val="both"/>
      </w:pPr>
      <w:r>
        <w:t xml:space="preserve">In order for a contract to be a “qualified long-term care insurance contract” (QLTCI) as defined in 26 USC 7702B, it must satisfy a number of definitional requirements, including that such a contract must provide insurance coverage only of qualified long-term care services and it generally cannot provide a cash value.  </w:t>
      </w:r>
      <w:r w:rsidR="00A77BC0">
        <w:t xml:space="preserve">There may be </w:t>
      </w:r>
      <w:r>
        <w:t xml:space="preserve">adverse </w:t>
      </w:r>
      <w:r w:rsidR="00A77BC0">
        <w:t xml:space="preserve">tax consequences for consumers if </w:t>
      </w:r>
      <w:r>
        <w:t xml:space="preserve">a contract provided </w:t>
      </w:r>
      <w:r w:rsidR="00A77BC0">
        <w:t xml:space="preserve">benefits </w:t>
      </w:r>
      <w:r>
        <w:t>that are inconsistent with the definitional requirements</w:t>
      </w:r>
      <w:r w:rsidR="00A77BC0">
        <w:t>.</w:t>
      </w:r>
    </w:p>
    <w:p w14:paraId="0D9FD2EE" w14:textId="7151A026" w:rsidR="00AE345A" w:rsidRPr="007A60B1" w:rsidRDefault="00A77BC0" w:rsidP="00970D2C">
      <w:pPr>
        <w:pStyle w:val="ListParagraph"/>
        <w:numPr>
          <w:ilvl w:val="1"/>
          <w:numId w:val="1"/>
        </w:numPr>
        <w:spacing w:line="276" w:lineRule="auto"/>
        <w:jc w:val="both"/>
      </w:pPr>
      <w:r w:rsidRPr="00F24231">
        <w:lastRenderedPageBreak/>
        <w:t>Addressing issues:</w:t>
      </w:r>
    </w:p>
    <w:p w14:paraId="3EFCB4D1" w14:textId="5F1DED70" w:rsidR="007A60B1" w:rsidRDefault="00A55CAE" w:rsidP="007A60B1">
      <w:pPr>
        <w:pStyle w:val="ListParagraph"/>
        <w:numPr>
          <w:ilvl w:val="2"/>
          <w:numId w:val="1"/>
        </w:numPr>
        <w:spacing w:line="276" w:lineRule="auto"/>
        <w:ind w:left="2174" w:hanging="187"/>
        <w:jc w:val="both"/>
      </w:pPr>
      <w:r>
        <w:t>If a QLTCI contract</w:t>
      </w:r>
      <w:r w:rsidR="007A60B1" w:rsidRPr="007A60B1">
        <w:t xml:space="preserve"> meets the statutory definition, </w:t>
      </w:r>
      <w:r>
        <w:t>it is</w:t>
      </w:r>
      <w:r w:rsidR="007A60B1" w:rsidRPr="007A60B1">
        <w:t xml:space="preserve"> treated as an accident and health insurance contract.  </w:t>
      </w:r>
      <w:r>
        <w:t xml:space="preserve">See 26 USC 7702B(a)(1).  </w:t>
      </w:r>
      <w:r w:rsidR="007A60B1" w:rsidRPr="007A60B1">
        <w:t xml:space="preserve">The NAIC is addressing the addition of wellness benefits to </w:t>
      </w:r>
      <w:r>
        <w:t>Q</w:t>
      </w:r>
      <w:r w:rsidR="007A60B1" w:rsidRPr="007A60B1">
        <w:t>LTC</w:t>
      </w:r>
      <w:r>
        <w:t>I contracts, and it is understood that insurers would only offer such benefits where this could be done</w:t>
      </w:r>
      <w:r w:rsidR="007A60B1" w:rsidRPr="007A60B1">
        <w:t xml:space="preserve"> without forfeiting the </w:t>
      </w:r>
      <w:r>
        <w:t xml:space="preserve">contract’s </w:t>
      </w:r>
      <w:r w:rsidR="007A60B1" w:rsidRPr="007A60B1">
        <w:t xml:space="preserve">tax qualified status.  Wellness benefits may include provision of home assessments to identify risks which could lead to a chronic illness such as tripping hazards, installation of ramps and railings, caregiver training for family members and sharing information regarding local LTC providers to those in need or anticipating assistance.   </w:t>
      </w:r>
    </w:p>
    <w:p w14:paraId="14275174" w14:textId="7B1DBD86" w:rsidR="007A60B1" w:rsidRPr="007A60B1" w:rsidRDefault="007A60B1" w:rsidP="007A60B1">
      <w:pPr>
        <w:pStyle w:val="ListParagraph"/>
        <w:spacing w:line="276" w:lineRule="auto"/>
        <w:ind w:left="2174"/>
        <w:jc w:val="both"/>
      </w:pPr>
      <w:r w:rsidRPr="007A60B1">
        <w:t xml:space="preserve"> </w:t>
      </w:r>
    </w:p>
    <w:p w14:paraId="0C718C3D" w14:textId="09C161DE" w:rsidR="007A60B1" w:rsidRDefault="007A60B1" w:rsidP="007A60B1">
      <w:pPr>
        <w:pStyle w:val="ListParagraph"/>
        <w:numPr>
          <w:ilvl w:val="2"/>
          <w:numId w:val="1"/>
        </w:numPr>
        <w:spacing w:line="276" w:lineRule="auto"/>
        <w:ind w:left="2174" w:hanging="187"/>
        <w:jc w:val="both"/>
      </w:pPr>
      <w:r w:rsidRPr="007A60B1">
        <w:t xml:space="preserve">While not exactly on point, two interpretive letters* from the Internal Revenue Service responded to questions from </w:t>
      </w:r>
      <w:r w:rsidR="00C13E17">
        <w:t>a taxpayer</w:t>
      </w:r>
      <w:r w:rsidRPr="007A60B1">
        <w:t xml:space="preserve"> regarding the inclusion of riders to </w:t>
      </w:r>
      <w:r w:rsidR="00C13E17">
        <w:t>Q</w:t>
      </w:r>
      <w:r w:rsidRPr="007A60B1">
        <w:t>LTC</w:t>
      </w:r>
      <w:r w:rsidR="00C13E17">
        <w:t>I</w:t>
      </w:r>
      <w:r w:rsidRPr="007A60B1">
        <w:t xml:space="preserve"> that 1) </w:t>
      </w:r>
      <w:r w:rsidR="00C13E17">
        <w:t>“</w:t>
      </w:r>
      <w:r w:rsidRPr="007A60B1">
        <w:t>allow access to information pertaining to health, wellness and long term care that promotes and encourages a healthy lifestyle</w:t>
      </w:r>
      <w:r w:rsidR="00C13E17">
        <w:t>,”</w:t>
      </w:r>
      <w:r w:rsidRPr="007A60B1">
        <w:t xml:space="preserve"> and 2) allow participation in voluntary incentive programs that are based on periodic health assessments </w:t>
      </w:r>
      <w:r w:rsidR="00C13E17">
        <w:t xml:space="preserve">and other medical criteria evidencing health living </w:t>
      </w:r>
      <w:r w:rsidRPr="007A60B1">
        <w:t xml:space="preserve">and </w:t>
      </w:r>
      <w:r w:rsidR="00C13E17">
        <w:t>could result in premium discounts or increases in benefits</w:t>
      </w:r>
      <w:r w:rsidRPr="007A60B1">
        <w:t>.</w:t>
      </w:r>
    </w:p>
    <w:p w14:paraId="58D1304A" w14:textId="77777777" w:rsidR="007A60B1" w:rsidRDefault="007A60B1" w:rsidP="007A60B1">
      <w:pPr>
        <w:pStyle w:val="ListParagraph"/>
        <w:spacing w:line="276" w:lineRule="auto"/>
        <w:ind w:left="2174"/>
        <w:jc w:val="both"/>
      </w:pPr>
    </w:p>
    <w:p w14:paraId="2BD77080" w14:textId="7CC46112" w:rsidR="007A60B1" w:rsidRDefault="007A60B1" w:rsidP="007A60B1">
      <w:pPr>
        <w:pStyle w:val="ListParagraph"/>
        <w:numPr>
          <w:ilvl w:val="2"/>
          <w:numId w:val="1"/>
        </w:numPr>
        <w:spacing w:line="276" w:lineRule="auto"/>
        <w:ind w:left="2174" w:hanging="187"/>
        <w:jc w:val="both"/>
      </w:pPr>
      <w:r w:rsidRPr="007A60B1">
        <w:t>The interpretive letters</w:t>
      </w:r>
      <w:r w:rsidR="00C13E17">
        <w:t xml:space="preserve"> observe</w:t>
      </w:r>
      <w:r w:rsidRPr="007A60B1">
        <w:t xml:space="preserve"> that 26 USC 7702B was enacted to provide incentive for individuals to take financial responsibility for their long-term needs and therefore generally provides favorable tax treatment with respect to </w:t>
      </w:r>
      <w:r w:rsidR="00C13E17">
        <w:t>Q</w:t>
      </w:r>
      <w:r w:rsidRPr="007A60B1">
        <w:t>LTC</w:t>
      </w:r>
      <w:r w:rsidR="00C13E17">
        <w:t>I</w:t>
      </w:r>
      <w:r w:rsidRPr="007A60B1">
        <w:t xml:space="preserve"> and </w:t>
      </w:r>
      <w:r w:rsidR="00C13E17">
        <w:t xml:space="preserve">qualified long-term care </w:t>
      </w:r>
      <w:r w:rsidRPr="007A60B1">
        <w:t xml:space="preserve">services meeting the statutory requirements.  The </w:t>
      </w:r>
      <w:r w:rsidR="001D2F4D">
        <w:t>C</w:t>
      </w:r>
      <w:r w:rsidRPr="007A60B1">
        <w:t xml:space="preserve">ode defines </w:t>
      </w:r>
      <w:r w:rsidR="001D2F4D">
        <w:t xml:space="preserve">“qualified long-term care </w:t>
      </w:r>
      <w:r w:rsidRPr="007A60B1">
        <w:t>services</w:t>
      </w:r>
      <w:r w:rsidR="001D2F4D">
        <w:t>”</w:t>
      </w:r>
      <w:r w:rsidRPr="007A60B1">
        <w:t xml:space="preserve"> as necessary diagnostic, preventive, therapeutic, curing, treating, mitigating and rehabilitative services and maintenance or personal care services which are required by a chronically ill individuals and are pursuant to a plan of care prescribed by a licensed health care practitioner</w:t>
      </w:r>
      <w:r w:rsidR="001D2F4D">
        <w:t xml:space="preserve">.  </w:t>
      </w:r>
      <w:r w:rsidR="001D2F4D" w:rsidRPr="001D2F4D">
        <w:t>The IRS further observed that, in essence, the rider allows the contract to be implemented based on the risk profile of the insured.  The IRS held that the inclusion of the rider in a QLTCI contract will not cause the contract to be treated as providing insurance coverage other than of qualified long-term care services</w:t>
      </w:r>
      <w:r w:rsidRPr="007A60B1">
        <w:t xml:space="preserve">.  * The guidance contained in the interpretive letters is directed only to the requesting taxpayer(s) and may not be used or cited as precedent. </w:t>
      </w:r>
    </w:p>
    <w:p w14:paraId="588E52B6" w14:textId="77777777" w:rsidR="009C6EC0" w:rsidRPr="00F24231" w:rsidRDefault="009C6EC0" w:rsidP="009C6EC0">
      <w:pPr>
        <w:pStyle w:val="ListParagraph"/>
        <w:spacing w:line="276" w:lineRule="auto"/>
        <w:ind w:left="2174"/>
        <w:jc w:val="both"/>
      </w:pPr>
    </w:p>
    <w:p w14:paraId="38B113A1" w14:textId="77777777" w:rsidR="00A77BC0" w:rsidRDefault="00A77BC0" w:rsidP="00970D2C">
      <w:pPr>
        <w:pStyle w:val="ListParagraph"/>
        <w:numPr>
          <w:ilvl w:val="1"/>
          <w:numId w:val="1"/>
        </w:numPr>
        <w:spacing w:line="276" w:lineRule="auto"/>
        <w:jc w:val="both"/>
      </w:pPr>
      <w:r>
        <w:t>Next steps:</w:t>
      </w:r>
    </w:p>
    <w:p w14:paraId="374FC8C9" w14:textId="358BD310" w:rsidR="007A60B1" w:rsidRPr="00B242F6" w:rsidRDefault="007A60B1" w:rsidP="0035042D">
      <w:pPr>
        <w:pStyle w:val="ListParagraph"/>
        <w:numPr>
          <w:ilvl w:val="5"/>
          <w:numId w:val="6"/>
        </w:numPr>
        <w:spacing w:line="276" w:lineRule="auto"/>
        <w:ind w:left="2160"/>
      </w:pPr>
      <w:r w:rsidRPr="00B242F6">
        <w:t xml:space="preserve">Insurers and policyholders could benefit from federal guidance regarding tax qualification of broad classes of </w:t>
      </w:r>
      <w:r w:rsidR="001D2F4D">
        <w:t>Q</w:t>
      </w:r>
      <w:r w:rsidRPr="00B242F6">
        <w:t>LTC</w:t>
      </w:r>
      <w:r w:rsidR="001D2F4D">
        <w:t>I, including QLTCI</w:t>
      </w:r>
      <w:r w:rsidRPr="00B242F6">
        <w:t xml:space="preserve"> combo products. </w:t>
      </w:r>
      <w:r w:rsidR="001D2F4D">
        <w:t xml:space="preserve"> S</w:t>
      </w:r>
      <w:r w:rsidRPr="00B242F6">
        <w:t xml:space="preserve">uch guidance would clearly articulate: </w:t>
      </w:r>
    </w:p>
    <w:p w14:paraId="2DCACCAC" w14:textId="5B1EBC17" w:rsidR="007A60B1" w:rsidRPr="00B242F6" w:rsidRDefault="007A60B1" w:rsidP="0035042D">
      <w:pPr>
        <w:pStyle w:val="ListParagraph"/>
        <w:numPr>
          <w:ilvl w:val="3"/>
          <w:numId w:val="8"/>
        </w:numPr>
        <w:spacing w:line="276" w:lineRule="auto"/>
      </w:pPr>
      <w:r w:rsidRPr="00B242F6">
        <w:t xml:space="preserve">Safe harbor product </w:t>
      </w:r>
      <w:r w:rsidR="00A426E2">
        <w:t>features</w:t>
      </w:r>
      <w:r w:rsidRPr="00B242F6">
        <w:t xml:space="preserve"> that would </w:t>
      </w:r>
      <w:r w:rsidR="00A426E2">
        <w:t xml:space="preserve">not </w:t>
      </w:r>
      <w:r w:rsidRPr="00B242F6">
        <w:t>be</w:t>
      </w:r>
      <w:r w:rsidR="00A426E2">
        <w:t xml:space="preserve"> inconsistent with the tax qualification requirements for QLTCI</w:t>
      </w:r>
      <w:r w:rsidRPr="00B242F6">
        <w:t xml:space="preserve">; </w:t>
      </w:r>
    </w:p>
    <w:p w14:paraId="7473BACA" w14:textId="77777777" w:rsidR="00A426E2" w:rsidRPr="00A426E2" w:rsidRDefault="00A426E2" w:rsidP="00A426E2">
      <w:pPr>
        <w:pStyle w:val="ListParagraph"/>
        <w:numPr>
          <w:ilvl w:val="3"/>
          <w:numId w:val="8"/>
        </w:numPr>
      </w:pPr>
      <w:r w:rsidRPr="00A426E2">
        <w:lastRenderedPageBreak/>
        <w:t>That the safe harbors are not exhaustive of permissible wellness and other features for reducing the risk of chronic illness or severity of any future chronic illness; and</w:t>
      </w:r>
    </w:p>
    <w:p w14:paraId="5E32B7A3" w14:textId="0DB5947E" w:rsidR="007A60B1" w:rsidRPr="00B242F6" w:rsidRDefault="00A426E2" w:rsidP="005A37C3">
      <w:pPr>
        <w:pStyle w:val="ListParagraph"/>
        <w:numPr>
          <w:ilvl w:val="3"/>
          <w:numId w:val="8"/>
        </w:numPr>
        <w:spacing w:line="276" w:lineRule="auto"/>
      </w:pPr>
      <w:r w:rsidRPr="00A426E2">
        <w:t>That the IRS may supplement safe harbor guidance as appropriate, and that taxpayers may utilize the private letter ruling process of clarifying the treatment of particular features not covered by safe harbors</w:t>
      </w:r>
      <w:r w:rsidR="007A60B1" w:rsidRPr="00B242F6">
        <w:t>.</w:t>
      </w:r>
    </w:p>
    <w:p w14:paraId="4EB8F88B" w14:textId="77777777" w:rsidR="007A60B1" w:rsidRPr="00F24231" w:rsidRDefault="007A60B1" w:rsidP="007A60B1">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bookmarkStart w:id="0" w:name="_Hlk80969042"/>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5940508A" w14:textId="1A642510" w:rsidR="00D835BE" w:rsidRDefault="000B1E86" w:rsidP="00D835BE">
      <w:pPr>
        <w:pStyle w:val="ListParagraph"/>
        <w:numPr>
          <w:ilvl w:val="1"/>
          <w:numId w:val="1"/>
        </w:numPr>
        <w:spacing w:line="276" w:lineRule="auto"/>
        <w:jc w:val="both"/>
      </w:pPr>
      <w:r>
        <w:t>Addressing issues</w:t>
      </w:r>
    </w:p>
    <w:p w14:paraId="3D9DE55F" w14:textId="77777777" w:rsidR="00AE5C32" w:rsidRDefault="00AE5C32" w:rsidP="00AE5C32">
      <w:pPr>
        <w:pStyle w:val="ListParagraph"/>
        <w:numPr>
          <w:ilvl w:val="2"/>
          <w:numId w:val="1"/>
        </w:numPr>
        <w:spacing w:line="276" w:lineRule="auto"/>
        <w:jc w:val="both"/>
      </w:pPr>
      <w:r>
        <w:t>Idea:</w:t>
      </w:r>
    </w:p>
    <w:p w14:paraId="6D7551EA" w14:textId="77777777" w:rsidR="00AE5C32" w:rsidRDefault="00AE5C32" w:rsidP="00AE5C32">
      <w:pPr>
        <w:pStyle w:val="ListParagraph"/>
        <w:numPr>
          <w:ilvl w:val="3"/>
          <w:numId w:val="1"/>
        </w:numPr>
        <w:spacing w:line="276" w:lineRule="auto"/>
        <w:jc w:val="both"/>
      </w:pPr>
      <w:r>
        <w:t>Provide guidance that companies should have available, upon request, documentation of their programs and documentation that key issues our group identified have been addressed.</w:t>
      </w:r>
    </w:p>
    <w:p w14:paraId="48D46722" w14:textId="49E5CE18" w:rsidR="00AE5C32" w:rsidRDefault="00AE5C32" w:rsidP="00AE5C32">
      <w:pPr>
        <w:pStyle w:val="ListParagraph"/>
        <w:numPr>
          <w:ilvl w:val="4"/>
          <w:numId w:val="1"/>
        </w:numPr>
        <w:spacing w:line="276" w:lineRule="auto"/>
        <w:jc w:val="both"/>
      </w:pPr>
      <w:r>
        <w:t>These issues include company plans to accumulate data on programs’ effectiveness, avoiding unfair discrimination, preventing consumer confusion, their take on rebating, avoiding unfavorable consumer tax issues, and data privacy.</w:t>
      </w:r>
    </w:p>
    <w:p w14:paraId="1020456A" w14:textId="00A58B0E" w:rsidR="00AE5C32" w:rsidRDefault="00AE5C32" w:rsidP="00AE5C32">
      <w:pPr>
        <w:pStyle w:val="ListParagraph"/>
        <w:numPr>
          <w:ilvl w:val="3"/>
          <w:numId w:val="1"/>
        </w:numPr>
        <w:spacing w:line="276" w:lineRule="auto"/>
        <w:jc w:val="both"/>
      </w:pPr>
      <w:r>
        <w:t>States retain the right to conduct back-end reviews</w:t>
      </w:r>
      <w:r w:rsidR="000E0C42">
        <w:t>, targeting any critical areas of regulatory focus</w:t>
      </w:r>
      <w:r>
        <w:t>.</w:t>
      </w:r>
    </w:p>
    <w:p w14:paraId="56D635E0" w14:textId="4F98A441" w:rsidR="00AE5C32" w:rsidRDefault="00AE5C32" w:rsidP="00AE5C32">
      <w:pPr>
        <w:pStyle w:val="ListParagraph"/>
        <w:numPr>
          <w:ilvl w:val="3"/>
          <w:numId w:val="1"/>
        </w:numPr>
        <w:spacing w:line="276" w:lineRule="auto"/>
        <w:jc w:val="both"/>
      </w:pPr>
      <w:r>
        <w:t xml:space="preserve">Companies </w:t>
      </w:r>
      <w:r w:rsidR="000E0C42">
        <w:t xml:space="preserve">and regulators </w:t>
      </w:r>
      <w:r>
        <w:t xml:space="preserve">need to ensure </w:t>
      </w:r>
      <w:r w:rsidR="000E0C42">
        <w:t xml:space="preserve">that this approach is in </w:t>
      </w:r>
      <w:r>
        <w:t xml:space="preserve">compliance with </w:t>
      </w:r>
      <w:r w:rsidR="00A94665">
        <w:t xml:space="preserve">existing </w:t>
      </w:r>
      <w:r>
        <w:t>state law</w:t>
      </w:r>
      <w:r w:rsidR="000E0C42">
        <w:t>s</w:t>
      </w:r>
      <w:r>
        <w:t>.</w:t>
      </w:r>
    </w:p>
    <w:p w14:paraId="7E522AC6" w14:textId="0C73B91C" w:rsidR="00F74465" w:rsidRDefault="00283CD7" w:rsidP="00F74465">
      <w:pPr>
        <w:pStyle w:val="ListParagraph"/>
        <w:numPr>
          <w:ilvl w:val="4"/>
          <w:numId w:val="1"/>
        </w:numPr>
        <w:spacing w:line="276" w:lineRule="auto"/>
        <w:jc w:val="both"/>
      </w:pPr>
      <w:r>
        <w:t xml:space="preserve">The </w:t>
      </w:r>
      <w:r w:rsidR="00F74465" w:rsidRPr="00F74465">
        <w:t>NAIC Model Unfair Trade Practices Law</w:t>
      </w:r>
      <w:r>
        <w:t xml:space="preserve"> appears to contemplate </w:t>
      </w:r>
      <w:r w:rsidR="00A94665">
        <w:t xml:space="preserve">either </w:t>
      </w:r>
      <w:r>
        <w:t xml:space="preserve">a “provide notice and opportunity for objection” approach </w:t>
      </w:r>
      <w:r w:rsidR="00A94665">
        <w:t>or</w:t>
      </w:r>
      <w:r>
        <w:t xml:space="preserve"> a “documented criteria must be maintained by the insurer and produced to the regulator upon request” approach</w:t>
      </w:r>
      <w:r w:rsidR="00A94665">
        <w:t>, depending on the circum</w:t>
      </w:r>
      <w:r w:rsidR="004A6853">
        <w:t>s</w:t>
      </w:r>
      <w:r w:rsidR="00A94665">
        <w:t>tances</w:t>
      </w:r>
      <w:r w:rsidR="00F74465" w:rsidRPr="00F74465">
        <w:t>.</w:t>
      </w:r>
    </w:p>
    <w:p w14:paraId="0CFCDF61" w14:textId="2FD2A055" w:rsidR="00D835BE" w:rsidRDefault="00D835BE" w:rsidP="00D835BE">
      <w:pPr>
        <w:pStyle w:val="ListParagraph"/>
        <w:numPr>
          <w:ilvl w:val="2"/>
          <w:numId w:val="1"/>
        </w:numPr>
        <w:spacing w:line="276" w:lineRule="auto"/>
        <w:jc w:val="both"/>
      </w:pPr>
      <w:r>
        <w:t>Considerations:</w:t>
      </w:r>
    </w:p>
    <w:p w14:paraId="142D18C5" w14:textId="66B16DF3" w:rsidR="00D835BE" w:rsidRDefault="00D835BE" w:rsidP="00D835BE">
      <w:pPr>
        <w:pStyle w:val="ListParagraph"/>
        <w:numPr>
          <w:ilvl w:val="3"/>
          <w:numId w:val="1"/>
        </w:numPr>
        <w:spacing w:line="276" w:lineRule="auto"/>
        <w:jc w:val="both"/>
      </w:pPr>
      <w:r>
        <w:t>Balance between holding companies accountable while not creating a burden that could prevent or slow up companies from pursuing beneficial programs.</w:t>
      </w:r>
    </w:p>
    <w:p w14:paraId="3FD3FE3C" w14:textId="7E93CF87" w:rsidR="00D835BE" w:rsidRPr="00D5578B" w:rsidRDefault="00A87408" w:rsidP="00A87408">
      <w:pPr>
        <w:pStyle w:val="ListParagraph"/>
        <w:numPr>
          <w:ilvl w:val="3"/>
          <w:numId w:val="1"/>
        </w:numPr>
        <w:spacing w:line="276" w:lineRule="auto"/>
        <w:jc w:val="both"/>
      </w:pPr>
      <w:r w:rsidRPr="00D5578B">
        <w:t>There may be mixed policies regarding pre-approval or filing of documentation by state.  An effort to make any filing process as efficient as possible for regulators and companies should be pursued to avoid any</w:t>
      </w:r>
      <w:r w:rsidR="00D835BE" w:rsidRPr="00D5578B">
        <w:t xml:space="preserve"> un</w:t>
      </w:r>
      <w:r w:rsidR="003C64C2" w:rsidRPr="00D5578B">
        <w:t>constructive</w:t>
      </w:r>
      <w:r w:rsidR="00D835BE" w:rsidRPr="00D5578B">
        <w:t xml:space="preserve"> burden</w:t>
      </w:r>
      <w:r w:rsidRPr="00D5578B">
        <w:t>s</w:t>
      </w:r>
      <w:r w:rsidR="00D835BE" w:rsidRPr="00D5578B">
        <w:t xml:space="preserve">.  </w:t>
      </w:r>
    </w:p>
    <w:p w14:paraId="57B8BAC5" w14:textId="2592A4DA" w:rsidR="00D835BE" w:rsidRDefault="00AE5C32" w:rsidP="003C64C2">
      <w:pPr>
        <w:pStyle w:val="ListParagraph"/>
        <w:numPr>
          <w:ilvl w:val="3"/>
          <w:numId w:val="1"/>
        </w:numPr>
        <w:spacing w:line="276" w:lineRule="auto"/>
        <w:jc w:val="both"/>
      </w:pPr>
      <w:r>
        <w:t>Companies being alerted that documentation must be available would likely ensure they at least attempt to address each of the issues prior to implementing a program.</w:t>
      </w:r>
    </w:p>
    <w:p w14:paraId="05CB0DF3" w14:textId="3FCF0455" w:rsidR="00D4711C" w:rsidRDefault="00D4711C" w:rsidP="00D4711C">
      <w:pPr>
        <w:pStyle w:val="ListParagraph"/>
        <w:numPr>
          <w:ilvl w:val="3"/>
          <w:numId w:val="1"/>
        </w:numPr>
        <w:spacing w:line="276" w:lineRule="auto"/>
        <w:jc w:val="both"/>
      </w:pPr>
      <w:r>
        <w:lastRenderedPageBreak/>
        <w:t>Would states be interested in being provided notice of development of a new wellness program?  Would states want to be notified of every change in or addition to a program?  In what form would the notification occur?</w:t>
      </w:r>
    </w:p>
    <w:p w14:paraId="03E60973" w14:textId="529BFC36" w:rsidR="00D4711C" w:rsidRDefault="00D4711C" w:rsidP="00D4711C">
      <w:pPr>
        <w:pStyle w:val="ListParagraph"/>
        <w:numPr>
          <w:ilvl w:val="3"/>
          <w:numId w:val="1"/>
        </w:numPr>
        <w:spacing w:line="276" w:lineRule="auto"/>
        <w:jc w:val="both"/>
      </w:pPr>
      <w:r>
        <w:t>Would a state have a right to object to an aspect of a program?  If the objection leads to elimination of the program in that state, would that lead to other concerns</w:t>
      </w:r>
      <w:r w:rsidR="00FC0A3B">
        <w:t>, e.g., discrimination</w:t>
      </w:r>
      <w:r>
        <w:t>?</w:t>
      </w:r>
    </w:p>
    <w:p w14:paraId="2F39C66A" w14:textId="77777777" w:rsidR="00FC0A3B" w:rsidRDefault="00D4711C" w:rsidP="00FC0A3B">
      <w:pPr>
        <w:pStyle w:val="ListParagraph"/>
        <w:numPr>
          <w:ilvl w:val="3"/>
          <w:numId w:val="1"/>
        </w:numPr>
        <w:spacing w:line="276" w:lineRule="auto"/>
        <w:jc w:val="both"/>
      </w:pPr>
      <w:r>
        <w:t>Would development of a uniform LTC wellness template help creating uniformity in how states interact with companies offering programs?</w:t>
      </w:r>
    </w:p>
    <w:p w14:paraId="5570BAF2" w14:textId="0749D7D5" w:rsidR="00D4711C" w:rsidRDefault="00FC0A3B" w:rsidP="00FC0A3B">
      <w:pPr>
        <w:pStyle w:val="ListParagraph"/>
        <w:numPr>
          <w:ilvl w:val="3"/>
          <w:numId w:val="1"/>
        </w:numPr>
        <w:spacing w:line="276" w:lineRule="auto"/>
        <w:jc w:val="both"/>
      </w:pPr>
      <w:r>
        <w:t>Need to determine consequences for a company that does not maintain the required documentation.</w:t>
      </w:r>
    </w:p>
    <w:p w14:paraId="0EEE8D10" w14:textId="4D654372" w:rsidR="00D835BE" w:rsidRPr="00144A52" w:rsidRDefault="00AE5C32" w:rsidP="003C64C2">
      <w:pPr>
        <w:pStyle w:val="ListParagraph"/>
        <w:numPr>
          <w:ilvl w:val="2"/>
          <w:numId w:val="1"/>
        </w:numPr>
        <w:spacing w:line="276" w:lineRule="auto"/>
        <w:jc w:val="both"/>
      </w:pPr>
      <w:r>
        <w:t>A</w:t>
      </w:r>
      <w:r w:rsidR="00D835BE">
        <w:t xml:space="preserve">fter experiencing several companies’ pilot programs and identifying actual problem areas (as opposed to hypothetical issues), </w:t>
      </w:r>
      <w:r>
        <w:t xml:space="preserve">it is possible </w:t>
      </w:r>
      <w:r w:rsidR="00D835BE">
        <w:t xml:space="preserve">regulators will want to pursue a targeted pre-approval process or up-front receipt of documentation.  That could be decided </w:t>
      </w:r>
      <w:r w:rsidR="00A87408">
        <w:t>at a later date.</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08B74B5C" w:rsidR="00E45BFB" w:rsidRPr="00A87408" w:rsidRDefault="00E45BFB" w:rsidP="00970D2C">
      <w:pPr>
        <w:pStyle w:val="ListParagraph"/>
        <w:numPr>
          <w:ilvl w:val="2"/>
          <w:numId w:val="1"/>
        </w:numPr>
        <w:spacing w:line="276" w:lineRule="auto"/>
        <w:jc w:val="both"/>
        <w:rPr>
          <w:b/>
          <w:bCs/>
        </w:rPr>
      </w:pPr>
      <w:r>
        <w:t>Analyze flexibility in existing laws that would allow for innovation that could potentially result in better health for policyholders and lower claims costs for insurance companies.</w:t>
      </w:r>
    </w:p>
    <w:p w14:paraId="7AD2B201" w14:textId="1ACFFCF8" w:rsidR="00A87408" w:rsidRPr="00D5578B" w:rsidRDefault="00A87408" w:rsidP="00970D2C">
      <w:pPr>
        <w:pStyle w:val="ListParagraph"/>
        <w:numPr>
          <w:ilvl w:val="2"/>
          <w:numId w:val="1"/>
        </w:numPr>
        <w:spacing w:line="276" w:lineRule="auto"/>
        <w:jc w:val="both"/>
        <w:rPr>
          <w:b/>
          <w:bCs/>
        </w:rPr>
      </w:pPr>
      <w:r w:rsidRPr="00D5578B">
        <w:t>Consider developing a template that a company could fill in with narrative explanation of how they have considered identified issues in development of a LTC wellness program.  An efficient manner to have this information received by interested regulators resulting from a single company filing (perhaps through SERFF or an NAIC portal) can be pursued.</w:t>
      </w:r>
    </w:p>
    <w:bookmarkEnd w:id="0"/>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 xml:space="preserve">be </w:t>
      </w:r>
      <w:r w:rsidRPr="00F24231">
        <w:lastRenderedPageBreak/>
        <w:t>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t xml:space="preserve">The NAIC Guidance Manual for Rating Aspect of the Long-Term Care Insurance Model Regulation and NAIC Health Actuarial Task Force-adopted Consolidated, Most Commonly Asked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C35C5B">
      <w:pPr>
        <w:pStyle w:val="ListParagraph"/>
        <w:numPr>
          <w:ilvl w:val="0"/>
          <w:numId w:val="1"/>
        </w:numPr>
        <w:spacing w:line="276" w:lineRule="auto"/>
        <w:ind w:left="360"/>
        <w:jc w:val="both"/>
        <w:rPr>
          <w:b/>
          <w:bCs/>
        </w:rPr>
      </w:pPr>
      <w:r>
        <w:rPr>
          <w:b/>
          <w:bCs/>
        </w:rPr>
        <w:t>Data p</w:t>
      </w:r>
      <w:r w:rsidR="00D738A4" w:rsidRPr="00976CB8">
        <w:rPr>
          <w:b/>
          <w:bCs/>
        </w:rPr>
        <w:t>rivacy</w:t>
      </w:r>
    </w:p>
    <w:p w14:paraId="5F40FB05" w14:textId="3B1456D4"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w:t>
      </w:r>
      <w:r w:rsidR="00555C70">
        <w:t xml:space="preserve">Big Data or artificial intelligence </w:t>
      </w:r>
      <w:r>
        <w:t xml:space="preserve">to develop the target demographic for new sales, the selection of the existing consumers for wellness initiatives, or to determine the results of the initiative, could result in an insurer or </w:t>
      </w:r>
      <w:r w:rsidR="009A1306">
        <w:t>third-party</w:t>
      </w:r>
      <w:r>
        <w:t xml:space="preserve">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0B7D2D08"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5C354560" w14:textId="6B518675" w:rsidR="0059110E" w:rsidRDefault="0059110E" w:rsidP="00970D2C">
      <w:pPr>
        <w:pStyle w:val="ListParagraph"/>
        <w:numPr>
          <w:ilvl w:val="2"/>
          <w:numId w:val="1"/>
        </w:numPr>
        <w:spacing w:line="276" w:lineRule="auto"/>
        <w:jc w:val="both"/>
      </w:pPr>
      <w:r w:rsidRPr="0059110E">
        <w:t xml:space="preserve">States’ continuous adoption of data and privacy regulations will need to be available for insurers to assess the compliance of their wellness initiatives.  </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3D5B2F29" w:rsidR="00026509" w:rsidRDefault="009A1306" w:rsidP="00970D2C">
      <w:pPr>
        <w:pStyle w:val="ListParagraph"/>
        <w:numPr>
          <w:ilvl w:val="3"/>
          <w:numId w:val="1"/>
        </w:numPr>
        <w:spacing w:line="276" w:lineRule="auto"/>
        <w:jc w:val="both"/>
      </w:pPr>
      <w:r w:rsidRPr="00F24231">
        <w:t>Policyho</w:t>
      </w:r>
      <w:r>
        <w:t>lders’</w:t>
      </w:r>
      <w:r w:rsidR="00026509">
        <w:t xml:space="preserve">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lastRenderedPageBreak/>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6FF30F39" w:rsidR="00026509" w:rsidRPr="002C70C8" w:rsidRDefault="00026509" w:rsidP="00970D2C">
      <w:pPr>
        <w:pStyle w:val="ListParagraph"/>
        <w:numPr>
          <w:ilvl w:val="4"/>
          <w:numId w:val="1"/>
        </w:numPr>
        <w:spacing w:line="276" w:lineRule="auto"/>
        <w:jc w:val="both"/>
        <w:rPr>
          <w:u w:val="single"/>
        </w:rPr>
      </w:pPr>
      <w:r w:rsidRPr="00F24231">
        <w:t>Should the policyholder have the option to “opt in/out” of their data being used internally for other initiatives or for external sale or use?</w:t>
      </w:r>
    </w:p>
    <w:p w14:paraId="5A9BE33C" w14:textId="20C7258E" w:rsidR="002C70C8" w:rsidRPr="002C70C8" w:rsidRDefault="002C70C8" w:rsidP="002C70C8">
      <w:pPr>
        <w:pStyle w:val="ListParagraph"/>
        <w:numPr>
          <w:ilvl w:val="4"/>
          <w:numId w:val="1"/>
        </w:numPr>
      </w:pPr>
      <w:r w:rsidRPr="002C70C8">
        <w:t>Should policyholders have the ability to have appropriate control over their information, including the ability to access and correct inaccuracies, consistent with legitimate business purposes and/or legal requirements to retain such information?</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6F3E1F4A" w:rsidR="00026509"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3D433EE3" w14:textId="2D7CCDB0" w:rsidR="002C70C8" w:rsidRPr="00F24231" w:rsidRDefault="002C70C8" w:rsidP="002C70C8">
      <w:pPr>
        <w:pStyle w:val="ListParagraph"/>
        <w:numPr>
          <w:ilvl w:val="4"/>
          <w:numId w:val="1"/>
        </w:numPr>
      </w:pPr>
      <w:r w:rsidRPr="002C70C8">
        <w:t>How should insurers use clear and concise notice about the collection, use, and disclosure of personal information?</w:t>
      </w:r>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(e.g.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lastRenderedPageBreak/>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187B4ADD" w:rsidR="00DA7772" w:rsidRDefault="00026509" w:rsidP="00970D2C">
      <w:pPr>
        <w:pStyle w:val="ListParagraph"/>
        <w:numPr>
          <w:ilvl w:val="2"/>
          <w:numId w:val="1"/>
        </w:numPr>
        <w:spacing w:line="276" w:lineRule="auto"/>
        <w:jc w:val="both"/>
      </w:pPr>
      <w:r>
        <w:t>Unfair Discrimination</w:t>
      </w:r>
    </w:p>
    <w:p w14:paraId="4CF3C37F" w14:textId="15A8812B" w:rsidR="002C70C8" w:rsidRDefault="002C70C8" w:rsidP="002C70C8">
      <w:pPr>
        <w:pStyle w:val="ListParagraph"/>
        <w:numPr>
          <w:ilvl w:val="2"/>
          <w:numId w:val="1"/>
        </w:numPr>
      </w:pPr>
      <w:r w:rsidRPr="002C70C8">
        <w:t xml:space="preserve">States' adoption of wellness initiatives could make it difficult to implement a program uniformly. </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lastRenderedPageBreak/>
        <w:t>Can n</w:t>
      </w:r>
      <w:r w:rsidR="00913E8C" w:rsidRPr="00913E8C">
        <w:t>ew contracts be written with evergreen access to some private data</w:t>
      </w:r>
      <w:r w:rsidR="00CB1E73">
        <w:t>?</w:t>
      </w:r>
    </w:p>
    <w:p w14:paraId="07D0E2D3" w14:textId="1B782B55" w:rsidR="00F24231" w:rsidRDefault="00F24231" w:rsidP="00970D2C">
      <w:pPr>
        <w:pStyle w:val="ListParagraph"/>
        <w:spacing w:line="276" w:lineRule="auto"/>
        <w:ind w:left="2160"/>
        <w:jc w:val="both"/>
      </w:pPr>
    </w:p>
    <w:p w14:paraId="6C231D70" w14:textId="1A2D4F6B" w:rsidR="009A1306" w:rsidRDefault="009A1306" w:rsidP="00970D2C">
      <w:pPr>
        <w:pStyle w:val="ListParagraph"/>
        <w:spacing w:line="276" w:lineRule="auto"/>
        <w:ind w:left="2160"/>
        <w:jc w:val="both"/>
      </w:pPr>
    </w:p>
    <w:p w14:paraId="574C8DEB" w14:textId="77777777" w:rsidR="009A1306" w:rsidRPr="00F24231" w:rsidRDefault="009A1306"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12451F6A" w14:textId="77777777" w:rsidR="002C70C8" w:rsidRDefault="002C70C8" w:rsidP="002C70C8">
      <w:pPr>
        <w:pStyle w:val="ListParagraph"/>
        <w:spacing w:line="276" w:lineRule="auto"/>
        <w:ind w:left="2160"/>
        <w:jc w:val="both"/>
      </w:pPr>
    </w:p>
    <w:p w14:paraId="6FC2B374" w14:textId="70E9920A" w:rsidR="002C70C8" w:rsidRPr="002C70C8" w:rsidRDefault="002C70C8" w:rsidP="00C35C5B">
      <w:pPr>
        <w:pStyle w:val="ListParagraph"/>
        <w:numPr>
          <w:ilvl w:val="0"/>
          <w:numId w:val="1"/>
        </w:numPr>
        <w:spacing w:line="276" w:lineRule="auto"/>
        <w:ind w:left="360"/>
        <w:jc w:val="both"/>
        <w:rPr>
          <w:b/>
          <w:bCs/>
        </w:rPr>
      </w:pPr>
      <w:r w:rsidRPr="002C70C8">
        <w:rPr>
          <w:b/>
          <w:bCs/>
        </w:rPr>
        <w:t xml:space="preserve">Miscellaneous </w:t>
      </w:r>
      <w:r>
        <w:rPr>
          <w:b/>
          <w:bCs/>
        </w:rPr>
        <w:t>topics</w:t>
      </w:r>
    </w:p>
    <w:p w14:paraId="33F3F742" w14:textId="77777777" w:rsidR="002C70C8" w:rsidRDefault="002C70C8" w:rsidP="002C70C8">
      <w:pPr>
        <w:pStyle w:val="ListParagraph"/>
        <w:numPr>
          <w:ilvl w:val="1"/>
          <w:numId w:val="1"/>
        </w:numPr>
        <w:spacing w:line="276" w:lineRule="auto"/>
        <w:jc w:val="both"/>
      </w:pPr>
      <w:r>
        <w:t xml:space="preserve">How will insurers report on issues and learnings? </w:t>
      </w:r>
    </w:p>
    <w:p w14:paraId="6346D419" w14:textId="2F43A4DD" w:rsidR="002C70C8" w:rsidRDefault="002C70C8" w:rsidP="002C70C8">
      <w:pPr>
        <w:pStyle w:val="ListParagraph"/>
        <w:numPr>
          <w:ilvl w:val="1"/>
          <w:numId w:val="1"/>
        </w:numPr>
        <w:spacing w:line="276" w:lineRule="auto"/>
        <w:jc w:val="both"/>
      </w:pPr>
      <w:r>
        <w:t>This document will likely need to be updated with new learnings or issues.</w:t>
      </w:r>
    </w:p>
    <w:p w14:paraId="51188DB2" w14:textId="38389F52" w:rsidR="002C70C8" w:rsidRDefault="002C70C8" w:rsidP="002C70C8">
      <w:pPr>
        <w:pStyle w:val="ListParagraph"/>
        <w:numPr>
          <w:ilvl w:val="1"/>
          <w:numId w:val="1"/>
        </w:numPr>
        <w:spacing w:line="276" w:lineRule="auto"/>
        <w:jc w:val="both"/>
      </w:pPr>
      <w:r>
        <w:t>Continuous collaboration with insurers regarding issues or new initiatives will likely be needed.</w:t>
      </w:r>
    </w:p>
    <w:p w14:paraId="6F44E068" w14:textId="4CE6E69D" w:rsidR="002C70C8" w:rsidRDefault="002C70C8" w:rsidP="002C70C8">
      <w:pPr>
        <w:pStyle w:val="ListParagraph"/>
        <w:numPr>
          <w:ilvl w:val="1"/>
          <w:numId w:val="1"/>
        </w:numPr>
        <w:spacing w:line="276" w:lineRule="auto"/>
        <w:jc w:val="both"/>
      </w:pPr>
      <w:r>
        <w:t>Note that there are hybrid products that contain wellness benefits.  However, the scope of this document is wellness associated with stand-alone LTC insurance policies, which tend to have more volatile financial profiles than hybrid products.</w:t>
      </w:r>
    </w:p>
    <w:p w14:paraId="711F16E1" w14:textId="518557A8" w:rsidR="00A333BB" w:rsidRDefault="00A333BB" w:rsidP="002C70C8">
      <w:pPr>
        <w:pStyle w:val="ListParagraph"/>
        <w:spacing w:line="276" w:lineRule="auto"/>
        <w:ind w:left="1440"/>
        <w:jc w:val="both"/>
      </w:pPr>
    </w:p>
    <w:sectPr w:rsidR="00A333BB" w:rsidSect="00F24231">
      <w:headerReference w:type="even" r:id="rId12"/>
      <w:headerReference w:type="default" r:id="rId13"/>
      <w:footerReference w:type="even" r:id="rId14"/>
      <w:footerReference w:type="default" r:id="rId15"/>
      <w:headerReference w:type="first" r:id="rId16"/>
      <w:footerReference w:type="first" r:id="rId17"/>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7EFE" w14:textId="5526836F" w:rsidR="004F53C4" w:rsidRDefault="004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3974A3BA"/>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42307"/>
    <w:multiLevelType w:val="hybridMultilevel"/>
    <w:tmpl w:val="8EBC6BF0"/>
    <w:lvl w:ilvl="0" w:tplc="5F523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52412"/>
    <w:multiLevelType w:val="hybridMultilevel"/>
    <w:tmpl w:val="5C5A6C7E"/>
    <w:lvl w:ilvl="0" w:tplc="F6DE43BA">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F44D5E">
      <w:start w:val="1"/>
      <w:numFmt w:val="decimal"/>
      <w:lvlText w:val="%4."/>
      <w:lvlJc w:val="left"/>
      <w:pPr>
        <w:ind w:left="2880" w:hanging="360"/>
      </w:pPr>
      <w:rPr>
        <w:rFonts w:asciiTheme="minorHAnsi" w:eastAsiaTheme="minorHAnsi" w:hAnsiTheme="minorHAnsi" w:cstheme="minorBidi"/>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03F3B"/>
    <w:rsid w:val="00013E80"/>
    <w:rsid w:val="00026509"/>
    <w:rsid w:val="00036EB2"/>
    <w:rsid w:val="00047D16"/>
    <w:rsid w:val="0006174A"/>
    <w:rsid w:val="00063C51"/>
    <w:rsid w:val="000706B7"/>
    <w:rsid w:val="000863F9"/>
    <w:rsid w:val="000908E0"/>
    <w:rsid w:val="00090A26"/>
    <w:rsid w:val="000B1E86"/>
    <w:rsid w:val="000E0C42"/>
    <w:rsid w:val="000F176E"/>
    <w:rsid w:val="001006EC"/>
    <w:rsid w:val="001014D0"/>
    <w:rsid w:val="001148DE"/>
    <w:rsid w:val="001419DB"/>
    <w:rsid w:val="00143E01"/>
    <w:rsid w:val="00144A52"/>
    <w:rsid w:val="00160FBD"/>
    <w:rsid w:val="001830BA"/>
    <w:rsid w:val="001B2F99"/>
    <w:rsid w:val="001B3F0B"/>
    <w:rsid w:val="001C22BD"/>
    <w:rsid w:val="001D2F4D"/>
    <w:rsid w:val="001D3237"/>
    <w:rsid w:val="001E1A96"/>
    <w:rsid w:val="001E6E4D"/>
    <w:rsid w:val="00207E74"/>
    <w:rsid w:val="00216AF5"/>
    <w:rsid w:val="002827D0"/>
    <w:rsid w:val="00283CD7"/>
    <w:rsid w:val="002C04CD"/>
    <w:rsid w:val="002C5014"/>
    <w:rsid w:val="002C70C8"/>
    <w:rsid w:val="002E1E3A"/>
    <w:rsid w:val="002E4485"/>
    <w:rsid w:val="002F76A5"/>
    <w:rsid w:val="00302D87"/>
    <w:rsid w:val="0032367C"/>
    <w:rsid w:val="003242DE"/>
    <w:rsid w:val="003326CB"/>
    <w:rsid w:val="00337401"/>
    <w:rsid w:val="0035042D"/>
    <w:rsid w:val="00353748"/>
    <w:rsid w:val="003540FD"/>
    <w:rsid w:val="00373318"/>
    <w:rsid w:val="00373489"/>
    <w:rsid w:val="003A6B70"/>
    <w:rsid w:val="003C64C2"/>
    <w:rsid w:val="003D0402"/>
    <w:rsid w:val="003D5209"/>
    <w:rsid w:val="003D6338"/>
    <w:rsid w:val="003E0008"/>
    <w:rsid w:val="00411B75"/>
    <w:rsid w:val="0042618D"/>
    <w:rsid w:val="004314CA"/>
    <w:rsid w:val="004521DD"/>
    <w:rsid w:val="00452301"/>
    <w:rsid w:val="00471975"/>
    <w:rsid w:val="00483B04"/>
    <w:rsid w:val="004A05D1"/>
    <w:rsid w:val="004A3C51"/>
    <w:rsid w:val="004A6853"/>
    <w:rsid w:val="004C3EC4"/>
    <w:rsid w:val="004C6678"/>
    <w:rsid w:val="004D29C7"/>
    <w:rsid w:val="004F53C4"/>
    <w:rsid w:val="00501BFD"/>
    <w:rsid w:val="00516E5B"/>
    <w:rsid w:val="00522818"/>
    <w:rsid w:val="0052606D"/>
    <w:rsid w:val="00527874"/>
    <w:rsid w:val="0053164A"/>
    <w:rsid w:val="00540324"/>
    <w:rsid w:val="005472B4"/>
    <w:rsid w:val="00555C70"/>
    <w:rsid w:val="00561350"/>
    <w:rsid w:val="005700D7"/>
    <w:rsid w:val="0057440F"/>
    <w:rsid w:val="00575624"/>
    <w:rsid w:val="00590FA3"/>
    <w:rsid w:val="0059110E"/>
    <w:rsid w:val="005A6D47"/>
    <w:rsid w:val="005B75B6"/>
    <w:rsid w:val="005D7F86"/>
    <w:rsid w:val="005F683C"/>
    <w:rsid w:val="006011E1"/>
    <w:rsid w:val="00605159"/>
    <w:rsid w:val="006169B0"/>
    <w:rsid w:val="00616F7C"/>
    <w:rsid w:val="00620AA5"/>
    <w:rsid w:val="00637284"/>
    <w:rsid w:val="006A1A54"/>
    <w:rsid w:val="006B0626"/>
    <w:rsid w:val="006C501B"/>
    <w:rsid w:val="006E1599"/>
    <w:rsid w:val="006E6AE7"/>
    <w:rsid w:val="006F08CE"/>
    <w:rsid w:val="0070153D"/>
    <w:rsid w:val="00710F0D"/>
    <w:rsid w:val="007221DC"/>
    <w:rsid w:val="00736496"/>
    <w:rsid w:val="00755702"/>
    <w:rsid w:val="0077633B"/>
    <w:rsid w:val="00785556"/>
    <w:rsid w:val="007A60B1"/>
    <w:rsid w:val="007A7D18"/>
    <w:rsid w:val="007C1BF0"/>
    <w:rsid w:val="007C51EF"/>
    <w:rsid w:val="007D3B75"/>
    <w:rsid w:val="007D6262"/>
    <w:rsid w:val="007E258D"/>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63742"/>
    <w:rsid w:val="00970D2C"/>
    <w:rsid w:val="00976CB8"/>
    <w:rsid w:val="009A1306"/>
    <w:rsid w:val="009A6640"/>
    <w:rsid w:val="009C4644"/>
    <w:rsid w:val="009C6EC0"/>
    <w:rsid w:val="009F5FAD"/>
    <w:rsid w:val="00A333BB"/>
    <w:rsid w:val="00A34376"/>
    <w:rsid w:val="00A414BA"/>
    <w:rsid w:val="00A426E2"/>
    <w:rsid w:val="00A55CAE"/>
    <w:rsid w:val="00A62119"/>
    <w:rsid w:val="00A77BC0"/>
    <w:rsid w:val="00A87408"/>
    <w:rsid w:val="00A94665"/>
    <w:rsid w:val="00AD41F8"/>
    <w:rsid w:val="00AE345A"/>
    <w:rsid w:val="00AE5C32"/>
    <w:rsid w:val="00B00A75"/>
    <w:rsid w:val="00B05392"/>
    <w:rsid w:val="00B242F6"/>
    <w:rsid w:val="00B36660"/>
    <w:rsid w:val="00B53C2C"/>
    <w:rsid w:val="00B54E73"/>
    <w:rsid w:val="00B56C96"/>
    <w:rsid w:val="00B61E75"/>
    <w:rsid w:val="00B620FD"/>
    <w:rsid w:val="00B81EF5"/>
    <w:rsid w:val="00B95FBE"/>
    <w:rsid w:val="00BA5222"/>
    <w:rsid w:val="00BA6A8B"/>
    <w:rsid w:val="00BB365B"/>
    <w:rsid w:val="00BB7882"/>
    <w:rsid w:val="00BD0422"/>
    <w:rsid w:val="00BD2465"/>
    <w:rsid w:val="00BF64E8"/>
    <w:rsid w:val="00C0163A"/>
    <w:rsid w:val="00C04D9D"/>
    <w:rsid w:val="00C13E17"/>
    <w:rsid w:val="00C17CC0"/>
    <w:rsid w:val="00C229A4"/>
    <w:rsid w:val="00C22ECD"/>
    <w:rsid w:val="00C3220E"/>
    <w:rsid w:val="00C35C5B"/>
    <w:rsid w:val="00C672A0"/>
    <w:rsid w:val="00CA04F6"/>
    <w:rsid w:val="00CA49A9"/>
    <w:rsid w:val="00CB1E73"/>
    <w:rsid w:val="00CC75CC"/>
    <w:rsid w:val="00CD70DC"/>
    <w:rsid w:val="00CE73C7"/>
    <w:rsid w:val="00D114CD"/>
    <w:rsid w:val="00D172E6"/>
    <w:rsid w:val="00D223BC"/>
    <w:rsid w:val="00D277F3"/>
    <w:rsid w:val="00D31E60"/>
    <w:rsid w:val="00D3687F"/>
    <w:rsid w:val="00D4711C"/>
    <w:rsid w:val="00D5578B"/>
    <w:rsid w:val="00D737FA"/>
    <w:rsid w:val="00D738A4"/>
    <w:rsid w:val="00D75249"/>
    <w:rsid w:val="00D76A2F"/>
    <w:rsid w:val="00D835BE"/>
    <w:rsid w:val="00D968CF"/>
    <w:rsid w:val="00D9699E"/>
    <w:rsid w:val="00DA2BEB"/>
    <w:rsid w:val="00DA7772"/>
    <w:rsid w:val="00DF09C0"/>
    <w:rsid w:val="00E269AB"/>
    <w:rsid w:val="00E3337E"/>
    <w:rsid w:val="00E41916"/>
    <w:rsid w:val="00E45BFB"/>
    <w:rsid w:val="00E55D04"/>
    <w:rsid w:val="00E74B2D"/>
    <w:rsid w:val="00E75A92"/>
    <w:rsid w:val="00E76D40"/>
    <w:rsid w:val="00EA3BE3"/>
    <w:rsid w:val="00EC3318"/>
    <w:rsid w:val="00EC4503"/>
    <w:rsid w:val="00EC6F73"/>
    <w:rsid w:val="00F24231"/>
    <w:rsid w:val="00F50B5B"/>
    <w:rsid w:val="00F60CC3"/>
    <w:rsid w:val="00F62176"/>
    <w:rsid w:val="00F74465"/>
    <w:rsid w:val="00F845F6"/>
    <w:rsid w:val="00F8739F"/>
    <w:rsid w:val="00FA5257"/>
    <w:rsid w:val="00FC0A3B"/>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144851862">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455372330">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1980112741">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 w:id="20963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medicaid/long-term-services-supports/pace/programs-all-inclusive-care-elderly-benefits/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EDE3-3BA1-4059-8887-6B10009305D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7A2F3E7F-26FC-4056-AE2A-989ED57A9356}">
  <ds:schemaRefs>
    <ds:schemaRef ds:uri="http://schemas.microsoft.com/sharepoint/v3/contenttype/forms"/>
  </ds:schemaRefs>
</ds:datastoreItem>
</file>

<file path=customXml/itemProps3.xml><?xml version="1.0" encoding="utf-8"?>
<ds:datastoreItem xmlns:ds="http://schemas.openxmlformats.org/officeDocument/2006/customXml" ds:itemID="{45343377-B9F5-4C9D-86BA-CF8D5D639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King, Eric</cp:lastModifiedBy>
  <cp:revision>4</cp:revision>
  <dcterms:created xsi:type="dcterms:W3CDTF">2021-12-07T19:39:00Z</dcterms:created>
  <dcterms:modified xsi:type="dcterms:W3CDTF">2021-12-07T19:41:00Z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